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F8F" w:rsidRPr="00AA5756" w:rsidRDefault="00C23FCD" w:rsidP="005E07CF">
      <w:pPr>
        <w:jc w:val="center"/>
        <w:rPr>
          <w:b/>
          <w:lang w:val="en-GB"/>
        </w:rPr>
      </w:pPr>
      <w:bookmarkStart w:id="0" w:name="_GoBack"/>
      <w:bookmarkEnd w:id="0"/>
      <w:r>
        <w:rPr>
          <w:b/>
          <w:lang w:val="en-GB"/>
        </w:rPr>
        <w:t>Eager to exit or forced to retire?</w:t>
      </w:r>
      <w:r w:rsidR="005E07CF" w:rsidRPr="00AA5756">
        <w:rPr>
          <w:b/>
          <w:lang w:val="en-GB"/>
        </w:rPr>
        <w:br/>
      </w:r>
      <w:r>
        <w:rPr>
          <w:b/>
          <w:lang w:val="en-GB"/>
        </w:rPr>
        <w:t>Exploring Patterns and Determinants of</w:t>
      </w:r>
      <w:r w:rsidR="005E07CF" w:rsidRPr="00AA5756">
        <w:rPr>
          <w:b/>
          <w:lang w:val="en-GB"/>
        </w:rPr>
        <w:t xml:space="preserve"> Voluntary and Involuntary Retirement</w:t>
      </w:r>
      <w:r>
        <w:rPr>
          <w:b/>
          <w:lang w:val="en-GB"/>
        </w:rPr>
        <w:t xml:space="preserve"> in Europe</w:t>
      </w:r>
      <w:r w:rsidR="005E07CF" w:rsidRPr="00AA5756">
        <w:rPr>
          <w:b/>
          <w:lang w:val="en-GB"/>
        </w:rPr>
        <w:br/>
      </w:r>
    </w:p>
    <w:p w:rsidR="008D3F8F" w:rsidRPr="00AA5756" w:rsidRDefault="008D3F8F" w:rsidP="008D3F8F">
      <w:pPr>
        <w:jc w:val="center"/>
        <w:rPr>
          <w:lang w:val="en-GB"/>
        </w:rPr>
      </w:pPr>
      <w:r w:rsidRPr="00AA5756">
        <w:rPr>
          <w:lang w:val="en-GB"/>
        </w:rPr>
        <w:t xml:space="preserve">Paper for the </w:t>
      </w:r>
      <w:r w:rsidRPr="00AA5756">
        <w:rPr>
          <w:rStyle w:val="Fett"/>
          <w:b w:val="0"/>
          <w:lang w:val="en-GB"/>
        </w:rPr>
        <w:t>5</w:t>
      </w:r>
      <w:r w:rsidRPr="00AA5756">
        <w:rPr>
          <w:rStyle w:val="Fett"/>
          <w:b w:val="0"/>
          <w:vertAlign w:val="superscript"/>
          <w:lang w:val="en-GB"/>
        </w:rPr>
        <w:t>th</w:t>
      </w:r>
      <w:r w:rsidRPr="00AA5756">
        <w:rPr>
          <w:rStyle w:val="Fett"/>
          <w:b w:val="0"/>
          <w:lang w:val="en-GB"/>
        </w:rPr>
        <w:t> Equality, Diversity and Inclusion International Conference, 2012, Toulouse, France</w:t>
      </w:r>
      <w:r w:rsidRPr="00AA5756">
        <w:rPr>
          <w:rStyle w:val="Fett"/>
          <w:b w:val="0"/>
          <w:lang w:val="en-GB"/>
        </w:rPr>
        <w:br/>
        <w:t xml:space="preserve">Stream 16: </w:t>
      </w:r>
      <w:r w:rsidRPr="00AA5756">
        <w:rPr>
          <w:lang w:val="en-GB"/>
        </w:rPr>
        <w:t>Comparative Analyses of Diversities at Work: Insights from a Life Course Perspective</w:t>
      </w:r>
    </w:p>
    <w:p w:rsidR="008D3F8F" w:rsidRPr="00AA5756" w:rsidRDefault="008D3F8F" w:rsidP="008D3F8F">
      <w:pPr>
        <w:jc w:val="center"/>
        <w:rPr>
          <w:i/>
          <w:lang w:val="en-GB"/>
        </w:rPr>
      </w:pPr>
      <w:proofErr w:type="spellStart"/>
      <w:r w:rsidRPr="00AA5756">
        <w:rPr>
          <w:i/>
          <w:lang w:val="en-GB"/>
        </w:rPr>
        <w:t>Dr.</w:t>
      </w:r>
      <w:proofErr w:type="spellEnd"/>
      <w:r w:rsidRPr="00AA5756">
        <w:rPr>
          <w:i/>
          <w:lang w:val="en-GB"/>
        </w:rPr>
        <w:t xml:space="preserve"> Dirk </w:t>
      </w:r>
      <w:proofErr w:type="spellStart"/>
      <w:r w:rsidRPr="00AA5756">
        <w:rPr>
          <w:i/>
          <w:lang w:val="en-GB"/>
        </w:rPr>
        <w:t>Hofäcker</w:t>
      </w:r>
      <w:proofErr w:type="spellEnd"/>
      <w:r w:rsidRPr="00AA5756">
        <w:rPr>
          <w:i/>
          <w:lang w:val="en-GB"/>
        </w:rPr>
        <w:t>, Mannheim Centre for European Social Research (MZES), Germany</w:t>
      </w:r>
    </w:p>
    <w:p w:rsidR="008D3F8F" w:rsidRPr="00AA5756" w:rsidRDefault="008D3F8F" w:rsidP="00C23FCD">
      <w:pPr>
        <w:pStyle w:val="Listenabsatz"/>
        <w:pBdr>
          <w:top w:val="single" w:sz="4" w:space="1" w:color="auto"/>
          <w:left w:val="single" w:sz="4" w:space="4" w:color="auto"/>
          <w:bottom w:val="single" w:sz="4" w:space="1" w:color="auto"/>
          <w:right w:val="single" w:sz="4" w:space="4" w:color="auto"/>
        </w:pBdr>
        <w:ind w:left="0"/>
        <w:jc w:val="center"/>
        <w:rPr>
          <w:b/>
          <w:lang w:val="en-GB"/>
        </w:rPr>
      </w:pPr>
      <w:r w:rsidRPr="00AA5756">
        <w:rPr>
          <w:b/>
          <w:lang w:val="en-GB"/>
        </w:rPr>
        <w:t>- FIRST DRAFT, PLEASE DO NOT CITE! –</w:t>
      </w:r>
    </w:p>
    <w:p w:rsidR="003072D7" w:rsidRPr="003072D7" w:rsidRDefault="003072D7" w:rsidP="00DB7B77">
      <w:pPr>
        <w:spacing w:after="0"/>
        <w:rPr>
          <w:i/>
          <w:lang w:val="en-US"/>
        </w:rPr>
      </w:pPr>
      <w:proofErr w:type="gramStart"/>
      <w:r w:rsidRPr="003072D7">
        <w:rPr>
          <w:i/>
          <w:lang w:val="en-US"/>
        </w:rPr>
        <w:t>1.Purpose</w:t>
      </w:r>
      <w:proofErr w:type="gramEnd"/>
    </w:p>
    <w:p w:rsidR="003072D7" w:rsidRPr="00AA5756" w:rsidRDefault="003072D7" w:rsidP="003072D7">
      <w:pPr>
        <w:spacing w:after="120"/>
        <w:jc w:val="both"/>
        <w:rPr>
          <w:lang w:val="en-GB"/>
        </w:rPr>
      </w:pPr>
      <w:r>
        <w:rPr>
          <w:lang w:val="en-GB"/>
        </w:rPr>
        <w:t>T</w:t>
      </w:r>
      <w:r w:rsidRPr="00AA5756">
        <w:rPr>
          <w:lang w:val="en-GB"/>
        </w:rPr>
        <w:t xml:space="preserve">he aim of this paper is to provide an insight into the degree of voluntariness in older workers’ retirement transitions within Europe, using data from the </w:t>
      </w:r>
      <w:r>
        <w:rPr>
          <w:lang w:val="en-GB"/>
        </w:rPr>
        <w:t xml:space="preserve">first two waves of the </w:t>
      </w:r>
      <w:r w:rsidRPr="00AA5756">
        <w:rPr>
          <w:lang w:val="en-GB"/>
        </w:rPr>
        <w:t>SHARE</w:t>
      </w:r>
      <w:r w:rsidR="003F2928">
        <w:rPr>
          <w:lang w:val="en-GB"/>
        </w:rPr>
        <w:t xml:space="preserve"> Survey</w:t>
      </w:r>
      <w:r w:rsidRPr="00AA5756">
        <w:rPr>
          <w:lang w:val="en-GB"/>
        </w:rPr>
        <w:t xml:space="preserve">. </w:t>
      </w:r>
      <w:r>
        <w:rPr>
          <w:lang w:val="en-GB"/>
        </w:rPr>
        <w:t>Comparing retirement transitions in 11 different European welfare states, t</w:t>
      </w:r>
      <w:r w:rsidRPr="00AA5756">
        <w:rPr>
          <w:lang w:val="en-GB"/>
        </w:rPr>
        <w:t xml:space="preserve">he paper </w:t>
      </w:r>
      <w:r>
        <w:rPr>
          <w:lang w:val="en-GB"/>
        </w:rPr>
        <w:t>does</w:t>
      </w:r>
      <w:r w:rsidRPr="00AA5756">
        <w:rPr>
          <w:lang w:val="en-GB"/>
        </w:rPr>
        <w:t xml:space="preserve"> identify the institutional conditions under which retirement is perceived as being voluntary respectively involuntary. </w:t>
      </w:r>
      <w:r>
        <w:rPr>
          <w:lang w:val="en-GB"/>
        </w:rPr>
        <w:t>Furthermore,</w:t>
      </w:r>
      <w:r w:rsidRPr="00AA5756">
        <w:rPr>
          <w:lang w:val="en-GB"/>
        </w:rPr>
        <w:t xml:space="preserve"> the paper </w:t>
      </w:r>
      <w:r>
        <w:rPr>
          <w:lang w:val="en-GB"/>
        </w:rPr>
        <w:t>investigates</w:t>
      </w:r>
      <w:r w:rsidRPr="00AA5756">
        <w:rPr>
          <w:lang w:val="en-GB"/>
        </w:rPr>
        <w:t xml:space="preserve"> which </w:t>
      </w:r>
      <w:r w:rsidR="003F2928">
        <w:rPr>
          <w:lang w:val="en-GB"/>
        </w:rPr>
        <w:t>social</w:t>
      </w:r>
      <w:r w:rsidRPr="00AA5756">
        <w:rPr>
          <w:lang w:val="en-GB"/>
        </w:rPr>
        <w:t xml:space="preserve"> strata are disproportionately affected by involuntary retirement</w:t>
      </w:r>
      <w:r>
        <w:rPr>
          <w:lang w:val="en-GB"/>
        </w:rPr>
        <w:t xml:space="preserve">, and thus are being at risk to become marginalised during the shift from early exit to active ageing. </w:t>
      </w:r>
      <w:r w:rsidRPr="00AA5756">
        <w:rPr>
          <w:lang w:val="en-GB"/>
        </w:rPr>
        <w:t xml:space="preserve"> </w:t>
      </w:r>
    </w:p>
    <w:p w:rsidR="003072D7" w:rsidRDefault="003072D7" w:rsidP="00DB7B77">
      <w:pPr>
        <w:spacing w:after="0"/>
        <w:rPr>
          <w:i/>
          <w:lang w:val="en-US"/>
        </w:rPr>
      </w:pPr>
      <w:r w:rsidRPr="003072D7">
        <w:rPr>
          <w:i/>
          <w:lang w:val="en-US"/>
        </w:rPr>
        <w:t>2. Design/methodology/approach</w:t>
      </w:r>
    </w:p>
    <w:p w:rsidR="003072D7" w:rsidRPr="003072D7" w:rsidRDefault="003072D7" w:rsidP="003072D7">
      <w:pPr>
        <w:rPr>
          <w:i/>
          <w:lang w:val="en-US"/>
        </w:rPr>
      </w:pPr>
      <w:r>
        <w:rPr>
          <w:lang w:val="en-GB"/>
        </w:rPr>
        <w:t xml:space="preserve">The paper takes a quantitative approach, based on data from the first two waves of the </w:t>
      </w:r>
      <w:r w:rsidRPr="00AA5756">
        <w:rPr>
          <w:lang w:val="en-GB"/>
        </w:rPr>
        <w:t>Survey of Health, Ageing and Retirement in Europe (SHARE).</w:t>
      </w:r>
      <w:r>
        <w:rPr>
          <w:lang w:val="en-GB"/>
        </w:rPr>
        <w:t xml:space="preserve"> Multiple logistic regression methods are e</w:t>
      </w:r>
      <w:r w:rsidR="003F2928">
        <w:rPr>
          <w:lang w:val="en-GB"/>
        </w:rPr>
        <w:t>mployed to identify the determi</w:t>
      </w:r>
      <w:r>
        <w:rPr>
          <w:lang w:val="en-GB"/>
        </w:rPr>
        <w:t>n</w:t>
      </w:r>
      <w:r w:rsidR="003F2928">
        <w:rPr>
          <w:lang w:val="en-GB"/>
        </w:rPr>
        <w:t>a</w:t>
      </w:r>
      <w:r>
        <w:rPr>
          <w:lang w:val="en-GB"/>
        </w:rPr>
        <w:t>nts of voluntary and involuntary retirement at the national, firm and individual level.</w:t>
      </w:r>
    </w:p>
    <w:p w:rsidR="003072D7" w:rsidRPr="003072D7" w:rsidRDefault="003072D7" w:rsidP="00DB7B77">
      <w:pPr>
        <w:spacing w:after="0"/>
        <w:rPr>
          <w:i/>
          <w:lang w:val="en-US"/>
        </w:rPr>
      </w:pPr>
      <w:r w:rsidRPr="003072D7">
        <w:rPr>
          <w:i/>
          <w:lang w:val="en-US"/>
        </w:rPr>
        <w:t>3. Findings</w:t>
      </w:r>
    </w:p>
    <w:p w:rsidR="003F2928" w:rsidRDefault="003072D7" w:rsidP="003F2928">
      <w:pPr>
        <w:pStyle w:val="Listenabsatz"/>
        <w:ind w:left="0"/>
        <w:jc w:val="both"/>
        <w:rPr>
          <w:lang w:val="en-GB"/>
        </w:rPr>
      </w:pPr>
      <w:r w:rsidRPr="003F2928">
        <w:rPr>
          <w:lang w:val="en-GB"/>
        </w:rPr>
        <w:t xml:space="preserve">The results show that not all retirement transitions are voluntary and that the quality of an employment withdrawal may differ significantly, depending on national institutional, firm-level as well as individual characteristics. </w:t>
      </w:r>
      <w:r w:rsidR="003F2928">
        <w:rPr>
          <w:lang w:val="en-GB"/>
        </w:rPr>
        <w:t>S</w:t>
      </w:r>
      <w:r w:rsidRPr="003F2928">
        <w:rPr>
          <w:lang w:val="en-GB"/>
        </w:rPr>
        <w:t xml:space="preserve">tandard predictors of (early) exit may have very differential effects on voluntary versus involuntary retirement respectively its concrete reasoning. </w:t>
      </w:r>
      <w:r w:rsidR="003F2928">
        <w:rPr>
          <w:lang w:val="en-GB"/>
        </w:rPr>
        <w:t>P</w:t>
      </w:r>
      <w:r w:rsidRPr="003F2928">
        <w:rPr>
          <w:lang w:val="en-GB"/>
        </w:rPr>
        <w:t xml:space="preserve">recarious involuntary employment exits, especially those due to redundancies, dismissals or plant closures concentrate within a distinct group of disadvantaged workers with low education, in low-skill routine activities within secondary labour markets. </w:t>
      </w:r>
    </w:p>
    <w:p w:rsidR="003072D7" w:rsidRPr="003F2928" w:rsidRDefault="003F2928" w:rsidP="003F2928">
      <w:pPr>
        <w:pStyle w:val="Listenabsatz"/>
        <w:ind w:left="0"/>
        <w:jc w:val="both"/>
        <w:rPr>
          <w:lang w:val="en-GB"/>
        </w:rPr>
      </w:pPr>
      <w:r>
        <w:rPr>
          <w:lang w:val="en-GB"/>
        </w:rPr>
        <w:t>M</w:t>
      </w:r>
      <w:r w:rsidR="003072D7" w:rsidRPr="003F2928">
        <w:rPr>
          <w:lang w:val="en-GB"/>
        </w:rPr>
        <w:t xml:space="preserve">uch further effort by national governments will be needed to sustainably reverse </w:t>
      </w:r>
      <w:r>
        <w:rPr>
          <w:lang w:val="en-GB"/>
        </w:rPr>
        <w:t xml:space="preserve">the still persistent early retirement </w:t>
      </w:r>
      <w:r w:rsidR="003072D7" w:rsidRPr="003F2928">
        <w:rPr>
          <w:lang w:val="en-GB"/>
        </w:rPr>
        <w:t>trend. Pote</w:t>
      </w:r>
      <w:r>
        <w:rPr>
          <w:lang w:val="en-GB"/>
        </w:rPr>
        <w:t>ntial strategies to reverse th</w:t>
      </w:r>
      <w:r w:rsidR="003072D7" w:rsidRPr="003F2928">
        <w:rPr>
          <w:lang w:val="en-GB"/>
        </w:rPr>
        <w:t xml:space="preserve">is trend </w:t>
      </w:r>
      <w:r>
        <w:rPr>
          <w:lang w:val="en-GB"/>
        </w:rPr>
        <w:t xml:space="preserve">will need to </w:t>
      </w:r>
      <w:r w:rsidR="003072D7" w:rsidRPr="003F2928">
        <w:rPr>
          <w:lang w:val="en-GB"/>
        </w:rPr>
        <w:t xml:space="preserve"> rely on shifts in existing retirement ages and a gradual cutting back in the generosity of early retirement incentives, but just as well </w:t>
      </w:r>
      <w:r w:rsidRPr="003F2928">
        <w:rPr>
          <w:lang w:val="en-GB"/>
        </w:rPr>
        <w:t xml:space="preserve">will need to include </w:t>
      </w:r>
      <w:r w:rsidR="003072D7" w:rsidRPr="003F2928">
        <w:rPr>
          <w:lang w:val="en-GB"/>
        </w:rPr>
        <w:t xml:space="preserve">measures to increase the employability of older workers. However, there appears to be a disadvantaged group of workers that experience little freedom in their retirement decision and that are still at a high risk of being pushed out of employment. A sustainable policy for reversing the early retirement trend thus will need to be more case-specific and will need to develop better solutions for older employees at the margins of employment that have yet not profited from the ‘active ageing’ trend.  </w:t>
      </w:r>
    </w:p>
    <w:p w:rsidR="003072D7" w:rsidRPr="003F2928" w:rsidRDefault="003072D7" w:rsidP="00DB7B77">
      <w:pPr>
        <w:spacing w:after="0"/>
        <w:rPr>
          <w:i/>
          <w:lang w:val="en-US"/>
        </w:rPr>
      </w:pPr>
      <w:r w:rsidRPr="003F2928">
        <w:rPr>
          <w:i/>
          <w:lang w:val="en-US"/>
        </w:rPr>
        <w:t>4. Res</w:t>
      </w:r>
      <w:r w:rsidR="003F2928" w:rsidRPr="003F2928">
        <w:rPr>
          <w:i/>
          <w:lang w:val="en-US"/>
        </w:rPr>
        <w:t>earch limitations/implications</w:t>
      </w:r>
      <w:r w:rsidRPr="003F2928">
        <w:rPr>
          <w:i/>
          <w:lang w:val="en-US"/>
        </w:rPr>
        <w:t xml:space="preserve"> </w:t>
      </w:r>
    </w:p>
    <w:p w:rsidR="003F2928" w:rsidRDefault="003F2928" w:rsidP="003072D7">
      <w:pPr>
        <w:rPr>
          <w:lang w:val="en-US"/>
        </w:rPr>
      </w:pPr>
      <w:r>
        <w:rPr>
          <w:lang w:val="en-US"/>
        </w:rPr>
        <w:t xml:space="preserve">Given the rather short history of the SHARE survey so far, the analysis of the paper can only rely on the first two waves of the survey, fielded between 2004/5 and 2007/8, implying a rather short time window and a limited number of cases. Replications with later SHARE waves would allow </w:t>
      </w:r>
      <w:proofErr w:type="gramStart"/>
      <w:r>
        <w:rPr>
          <w:lang w:val="en-US"/>
        </w:rPr>
        <w:t>to test</w:t>
      </w:r>
      <w:proofErr w:type="gramEnd"/>
      <w:r>
        <w:rPr>
          <w:lang w:val="en-US"/>
        </w:rPr>
        <w:t xml:space="preserve"> the </w:t>
      </w:r>
      <w:r>
        <w:rPr>
          <w:lang w:val="en-US"/>
        </w:rPr>
        <w:lastRenderedPageBreak/>
        <w:t>robustness of the results reported. Furthermore, additional qualitative research would be needed to even more deeply investigate the retirement processes of older workers.</w:t>
      </w:r>
    </w:p>
    <w:p w:rsidR="003072D7" w:rsidRPr="003F2928" w:rsidRDefault="003072D7" w:rsidP="00DB7B77">
      <w:pPr>
        <w:spacing w:after="0"/>
        <w:rPr>
          <w:i/>
          <w:lang w:val="en-US"/>
        </w:rPr>
      </w:pPr>
      <w:r w:rsidRPr="003F2928">
        <w:rPr>
          <w:i/>
          <w:lang w:val="en-US"/>
        </w:rPr>
        <w:t xml:space="preserve">5. Originality/value of the paper. </w:t>
      </w:r>
    </w:p>
    <w:p w:rsidR="003072D7" w:rsidRPr="003F2928" w:rsidRDefault="003F2928" w:rsidP="003072D7">
      <w:pPr>
        <w:pStyle w:val="Listenabsatz"/>
        <w:ind w:left="0"/>
        <w:rPr>
          <w:lang w:val="en-US"/>
        </w:rPr>
      </w:pPr>
      <w:proofErr w:type="gramStart"/>
      <w:r w:rsidRPr="003F2928">
        <w:rPr>
          <w:lang w:val="en-US"/>
        </w:rPr>
        <w:t>Most earlier</w:t>
      </w:r>
      <w:proofErr w:type="gramEnd"/>
      <w:r w:rsidRPr="003F2928">
        <w:rPr>
          <w:lang w:val="en-US"/>
        </w:rPr>
        <w:t xml:space="preserve"> research had largely focused on retirement transitions as such, without differentiating between motivations behind it. </w:t>
      </w:r>
      <w:r>
        <w:rPr>
          <w:lang w:val="en-US"/>
        </w:rPr>
        <w:t>This paper shows</w:t>
      </w:r>
      <w:r w:rsidRPr="003F2928">
        <w:rPr>
          <w:lang w:val="en-US"/>
        </w:rPr>
        <w:t xml:space="preserve"> that it makes sense </w:t>
      </w:r>
      <w:r>
        <w:rPr>
          <w:lang w:val="en-US"/>
        </w:rPr>
        <w:t xml:space="preserve">both from a policy as well as from an analytical perspective </w:t>
      </w:r>
      <w:r w:rsidRPr="003F2928">
        <w:rPr>
          <w:lang w:val="en-US"/>
        </w:rPr>
        <w:t>not only to focus at the retirement transition per se but also to explicitly consider its reasons.</w:t>
      </w:r>
    </w:p>
    <w:p w:rsidR="008D3F8F" w:rsidRDefault="008D3F8F" w:rsidP="008D3F8F">
      <w:pPr>
        <w:pStyle w:val="Listenabsatz"/>
        <w:ind w:left="0"/>
        <w:rPr>
          <w:b/>
          <w:lang w:val="en-GB"/>
        </w:rPr>
      </w:pPr>
    </w:p>
    <w:p w:rsidR="00DB7B77" w:rsidRPr="00DB7B77" w:rsidRDefault="00DB7B77" w:rsidP="008D3F8F">
      <w:pPr>
        <w:pStyle w:val="Listenabsatz"/>
        <w:ind w:left="0"/>
        <w:rPr>
          <w:i/>
          <w:lang w:val="en-GB"/>
        </w:rPr>
      </w:pPr>
      <w:r w:rsidRPr="00DB7B77">
        <w:rPr>
          <w:i/>
          <w:lang w:val="en-GB"/>
        </w:rPr>
        <w:t>Keywords</w:t>
      </w:r>
    </w:p>
    <w:p w:rsidR="00DB7B77" w:rsidRDefault="00DB7B77" w:rsidP="008D3F8F">
      <w:pPr>
        <w:pStyle w:val="Listenabsatz"/>
        <w:ind w:left="0"/>
        <w:rPr>
          <w:lang w:val="en-GB"/>
        </w:rPr>
      </w:pPr>
      <w:proofErr w:type="gramStart"/>
      <w:r w:rsidRPr="00DB7B77">
        <w:rPr>
          <w:lang w:val="en-GB"/>
        </w:rPr>
        <w:t>Active ageing, retirement decision, international comparison, SHARE, public policies, human resource management.</w:t>
      </w:r>
      <w:proofErr w:type="gramEnd"/>
    </w:p>
    <w:p w:rsidR="00DB7B77" w:rsidRPr="00DB7B77" w:rsidRDefault="00DB7B77" w:rsidP="008D3F8F">
      <w:pPr>
        <w:pStyle w:val="Listenabsatz"/>
        <w:ind w:left="0"/>
        <w:rPr>
          <w:lang w:val="en-GB"/>
        </w:rPr>
      </w:pPr>
    </w:p>
    <w:p w:rsidR="008D3F8F" w:rsidRPr="00AA5756" w:rsidRDefault="008D3F8F" w:rsidP="00570945">
      <w:pPr>
        <w:pStyle w:val="Listenabsatz"/>
        <w:numPr>
          <w:ilvl w:val="0"/>
          <w:numId w:val="2"/>
        </w:numPr>
        <w:ind w:left="0" w:firstLine="0"/>
        <w:rPr>
          <w:b/>
          <w:lang w:val="en-GB"/>
        </w:rPr>
      </w:pPr>
      <w:r w:rsidRPr="00AA5756">
        <w:rPr>
          <w:b/>
          <w:lang w:val="en-GB"/>
        </w:rPr>
        <w:t>Introduction</w:t>
      </w:r>
    </w:p>
    <w:p w:rsidR="00F84024" w:rsidRPr="00AA5756" w:rsidRDefault="00F84024" w:rsidP="00EA3A0D">
      <w:pPr>
        <w:spacing w:after="0"/>
        <w:jc w:val="both"/>
        <w:rPr>
          <w:lang w:val="en-GB"/>
        </w:rPr>
      </w:pPr>
      <w:r w:rsidRPr="00AA5756">
        <w:rPr>
          <w:lang w:val="en-GB"/>
        </w:rPr>
        <w:t xml:space="preserve">For </w:t>
      </w:r>
      <w:r w:rsidR="00C23FCD">
        <w:rPr>
          <w:lang w:val="en-GB"/>
        </w:rPr>
        <w:t>most of the last decades</w:t>
      </w:r>
      <w:r w:rsidRPr="00AA5756">
        <w:rPr>
          <w:lang w:val="en-GB"/>
        </w:rPr>
        <w:t xml:space="preserve">, </w:t>
      </w:r>
      <w:r w:rsidR="00C23FCD">
        <w:rPr>
          <w:lang w:val="en-GB"/>
        </w:rPr>
        <w:t xml:space="preserve">public </w:t>
      </w:r>
      <w:r w:rsidRPr="00AA5756">
        <w:rPr>
          <w:lang w:val="en-GB"/>
        </w:rPr>
        <w:t xml:space="preserve">labour market and pension policies </w:t>
      </w:r>
      <w:r w:rsidR="00C23FCD">
        <w:rPr>
          <w:lang w:val="en-GB"/>
        </w:rPr>
        <w:t xml:space="preserve">– either implicitly or explicitly – </w:t>
      </w:r>
      <w:r w:rsidRPr="00AA5756">
        <w:rPr>
          <w:lang w:val="en-GB"/>
        </w:rPr>
        <w:t>have tended to promote a trend of early retirement</w:t>
      </w:r>
      <w:r w:rsidR="00C23FCD">
        <w:rPr>
          <w:lang w:val="en-GB"/>
        </w:rPr>
        <w:t xml:space="preserve"> with</w:t>
      </w:r>
      <w:r w:rsidR="00C23FCD" w:rsidRPr="00AA5756">
        <w:rPr>
          <w:lang w:val="en-GB"/>
        </w:rPr>
        <w:t>in European countries</w:t>
      </w:r>
      <w:r w:rsidRPr="00AA5756">
        <w:rPr>
          <w:lang w:val="en-GB"/>
        </w:rPr>
        <w:t>, i.e. the exit of older workers from the active labour force before reaching mandatory retirement ages (</w:t>
      </w:r>
      <w:proofErr w:type="spellStart"/>
      <w:r w:rsidRPr="00AA5756">
        <w:rPr>
          <w:i/>
          <w:lang w:val="en-GB"/>
        </w:rPr>
        <w:t>Blossfeld</w:t>
      </w:r>
      <w:proofErr w:type="spellEnd"/>
      <w:r w:rsidRPr="00AA5756">
        <w:rPr>
          <w:i/>
          <w:lang w:val="en-GB"/>
        </w:rPr>
        <w:t xml:space="preserve"> et al.</w:t>
      </w:r>
      <w:r w:rsidR="009269D0">
        <w:rPr>
          <w:i/>
          <w:lang w:val="en-GB"/>
        </w:rPr>
        <w:t>,</w:t>
      </w:r>
      <w:r w:rsidRPr="00AA5756">
        <w:rPr>
          <w:i/>
          <w:lang w:val="en-GB"/>
        </w:rPr>
        <w:t xml:space="preserve"> 2006</w:t>
      </w:r>
      <w:r w:rsidRPr="00AA5756">
        <w:rPr>
          <w:lang w:val="en-GB"/>
        </w:rPr>
        <w:t xml:space="preserve">). Being faced with looming mass unemployment following the oil price shock(s) of the 1970s, many governments </w:t>
      </w:r>
      <w:r w:rsidR="00674DFA">
        <w:rPr>
          <w:lang w:val="en-GB"/>
        </w:rPr>
        <w:t>introduced</w:t>
      </w:r>
      <w:r w:rsidRPr="00AA5756">
        <w:rPr>
          <w:lang w:val="en-GB"/>
        </w:rPr>
        <w:t xml:space="preserve"> financially attractive pathways through either pension systems or supplementary welfare state programs (such as unemployment or disability insurance) that allowed older employees to withdraw from active employment several years before official retirement age, (</w:t>
      </w:r>
      <w:proofErr w:type="spellStart"/>
      <w:r w:rsidRPr="00AA5756">
        <w:rPr>
          <w:i/>
          <w:lang w:val="en-GB"/>
        </w:rPr>
        <w:t>Kohli</w:t>
      </w:r>
      <w:proofErr w:type="spellEnd"/>
      <w:r w:rsidRPr="00AA5756">
        <w:rPr>
          <w:i/>
          <w:lang w:val="en-GB"/>
        </w:rPr>
        <w:t xml:space="preserve"> et al.</w:t>
      </w:r>
      <w:r w:rsidR="009269D0">
        <w:rPr>
          <w:i/>
          <w:lang w:val="en-GB"/>
        </w:rPr>
        <w:t>,</w:t>
      </w:r>
      <w:r w:rsidRPr="00AA5756">
        <w:rPr>
          <w:i/>
          <w:lang w:val="en-GB"/>
        </w:rPr>
        <w:t xml:space="preserve"> 1991</w:t>
      </w:r>
      <w:r w:rsidRPr="00AA5756">
        <w:rPr>
          <w:lang w:val="en-GB"/>
        </w:rPr>
        <w:t xml:space="preserve">). </w:t>
      </w:r>
      <w:r w:rsidR="0024032B" w:rsidRPr="00AA5756">
        <w:rPr>
          <w:lang w:val="en-GB"/>
        </w:rPr>
        <w:t xml:space="preserve">Though initially targeted at specific ‘problem groups’ on the labour market (such as employees in large industrial firms), these measures increasingly proliferated across larger social strata, thereby  turning early exit from </w:t>
      </w:r>
      <w:r w:rsidR="00EA3A0D">
        <w:rPr>
          <w:lang w:val="en-GB"/>
        </w:rPr>
        <w:t xml:space="preserve">a temporary labour market measure </w:t>
      </w:r>
      <w:r w:rsidR="0024032B" w:rsidRPr="00AA5756">
        <w:rPr>
          <w:lang w:val="en-GB"/>
        </w:rPr>
        <w:t xml:space="preserve">into a wide-spread mass phenomenon </w:t>
      </w:r>
      <w:r w:rsidR="00EA3A0D">
        <w:rPr>
          <w:lang w:val="en-GB"/>
        </w:rPr>
        <w:t xml:space="preserve">during the </w:t>
      </w:r>
      <w:r w:rsidR="0024032B" w:rsidRPr="00AA5756">
        <w:rPr>
          <w:lang w:val="en-GB"/>
        </w:rPr>
        <w:t xml:space="preserve">1980s and 1990s. </w:t>
      </w:r>
    </w:p>
    <w:p w:rsidR="00462B30" w:rsidRPr="00AA5756" w:rsidRDefault="00BD4EBB" w:rsidP="00570945">
      <w:pPr>
        <w:spacing w:after="120"/>
        <w:jc w:val="both"/>
        <w:rPr>
          <w:lang w:val="en-GB"/>
        </w:rPr>
      </w:pPr>
      <w:r>
        <w:rPr>
          <w:lang w:val="en-GB"/>
        </w:rPr>
        <w:t>In more recent years</w:t>
      </w:r>
      <w:r w:rsidR="00DA026E" w:rsidRPr="00AA5756">
        <w:rPr>
          <w:lang w:val="en-GB"/>
        </w:rPr>
        <w:t xml:space="preserve">, </w:t>
      </w:r>
      <w:r w:rsidR="00467AEB">
        <w:rPr>
          <w:lang w:val="en-GB"/>
        </w:rPr>
        <w:t xml:space="preserve">however, </w:t>
      </w:r>
      <w:r w:rsidR="00DA026E" w:rsidRPr="00AA5756">
        <w:rPr>
          <w:lang w:val="en-GB"/>
        </w:rPr>
        <w:t xml:space="preserve">early retirement was increasingly considered as being </w:t>
      </w:r>
      <w:r>
        <w:rPr>
          <w:lang w:val="en-GB"/>
        </w:rPr>
        <w:t xml:space="preserve">financially </w:t>
      </w:r>
      <w:r w:rsidR="00DA026E" w:rsidRPr="00AA5756">
        <w:rPr>
          <w:lang w:val="en-GB"/>
        </w:rPr>
        <w:t xml:space="preserve">unsustainable, as it further increased the </w:t>
      </w:r>
      <w:r>
        <w:rPr>
          <w:lang w:val="en-GB"/>
        </w:rPr>
        <w:t xml:space="preserve">demographically-induced imbalance </w:t>
      </w:r>
      <w:r w:rsidR="00DA026E" w:rsidRPr="00AA5756">
        <w:rPr>
          <w:lang w:val="en-GB"/>
        </w:rPr>
        <w:t xml:space="preserve">between employed </w:t>
      </w:r>
      <w:r>
        <w:rPr>
          <w:lang w:val="en-GB"/>
        </w:rPr>
        <w:t>‘</w:t>
      </w:r>
      <w:r w:rsidR="00DA026E" w:rsidRPr="00AA5756">
        <w:rPr>
          <w:lang w:val="en-GB"/>
        </w:rPr>
        <w:t>contributors</w:t>
      </w:r>
      <w:r>
        <w:rPr>
          <w:lang w:val="en-GB"/>
        </w:rPr>
        <w:t>’</w:t>
      </w:r>
      <w:r w:rsidR="00DA026E" w:rsidRPr="00AA5756">
        <w:rPr>
          <w:lang w:val="en-GB"/>
        </w:rPr>
        <w:t xml:space="preserve"> to social insurance accounts and non-employed </w:t>
      </w:r>
      <w:r>
        <w:rPr>
          <w:lang w:val="en-GB"/>
        </w:rPr>
        <w:t>‘</w:t>
      </w:r>
      <w:r w:rsidR="00DA026E" w:rsidRPr="00AA5756">
        <w:rPr>
          <w:lang w:val="en-GB"/>
        </w:rPr>
        <w:t>recipients</w:t>
      </w:r>
      <w:r>
        <w:rPr>
          <w:lang w:val="en-GB"/>
        </w:rPr>
        <w:t>’</w:t>
      </w:r>
      <w:r w:rsidR="00DA026E" w:rsidRPr="00AA5756">
        <w:rPr>
          <w:lang w:val="en-GB"/>
        </w:rPr>
        <w:t xml:space="preserve"> of social security transfers.</w:t>
      </w:r>
      <w:r w:rsidR="00462B30" w:rsidRPr="00AA5756">
        <w:rPr>
          <w:lang w:val="en-GB"/>
        </w:rPr>
        <w:t xml:space="preserve"> Many policymakers at both the national as well as at the supranational level thus have attempted to counteract this trend by implementing various policies to retain older workers in the labour market (</w:t>
      </w:r>
      <w:proofErr w:type="spellStart"/>
      <w:r w:rsidR="00462B30" w:rsidRPr="00BD4EBB">
        <w:rPr>
          <w:i/>
          <w:lang w:val="en-GB"/>
        </w:rPr>
        <w:t>Ebbinghaus</w:t>
      </w:r>
      <w:proofErr w:type="spellEnd"/>
      <w:r w:rsidR="00462B30" w:rsidRPr="00BD4EBB">
        <w:rPr>
          <w:i/>
          <w:lang w:val="en-GB"/>
        </w:rPr>
        <w:t xml:space="preserve"> &amp; </w:t>
      </w:r>
      <w:proofErr w:type="spellStart"/>
      <w:r w:rsidR="00462B30" w:rsidRPr="00BD4EBB">
        <w:rPr>
          <w:i/>
          <w:lang w:val="en-GB"/>
        </w:rPr>
        <w:t>Hofäcker</w:t>
      </w:r>
      <w:proofErr w:type="spellEnd"/>
      <w:r w:rsidR="00462B30" w:rsidRPr="00AA5756">
        <w:rPr>
          <w:lang w:val="en-GB"/>
        </w:rPr>
        <w:t xml:space="preserve">, forthcoming). </w:t>
      </w:r>
      <w:r>
        <w:rPr>
          <w:lang w:val="en-GB"/>
        </w:rPr>
        <w:t>Central components of such policy reforms have been recent increases in</w:t>
      </w:r>
      <w:r w:rsidR="00462B30" w:rsidRPr="00AA5756">
        <w:rPr>
          <w:lang w:val="en-GB"/>
        </w:rPr>
        <w:t xml:space="preserve"> mandatory retirement ages as well as </w:t>
      </w:r>
      <w:r>
        <w:rPr>
          <w:lang w:val="en-GB"/>
        </w:rPr>
        <w:t>the reduction of</w:t>
      </w:r>
      <w:r w:rsidR="00462B30" w:rsidRPr="00AA5756">
        <w:rPr>
          <w:lang w:val="en-GB"/>
        </w:rPr>
        <w:t xml:space="preserve"> early retirement incentives </w:t>
      </w:r>
      <w:r>
        <w:rPr>
          <w:lang w:val="en-GB"/>
        </w:rPr>
        <w:t xml:space="preserve">embedded </w:t>
      </w:r>
      <w:r w:rsidR="00462B30" w:rsidRPr="00AA5756">
        <w:rPr>
          <w:lang w:val="en-GB"/>
        </w:rPr>
        <w:t xml:space="preserve">in contemporary pension schemes. </w:t>
      </w:r>
      <w:r>
        <w:rPr>
          <w:lang w:val="en-GB"/>
        </w:rPr>
        <w:t>T</w:t>
      </w:r>
      <w:r w:rsidR="00462B30" w:rsidRPr="00AA5756">
        <w:rPr>
          <w:lang w:val="en-GB"/>
        </w:rPr>
        <w:t xml:space="preserve">hese pension reforms </w:t>
      </w:r>
      <w:r>
        <w:rPr>
          <w:lang w:val="en-GB"/>
        </w:rPr>
        <w:t xml:space="preserve">frequently </w:t>
      </w:r>
      <w:proofErr w:type="gramStart"/>
      <w:r>
        <w:rPr>
          <w:lang w:val="en-GB"/>
        </w:rPr>
        <w:t xml:space="preserve">were </w:t>
      </w:r>
      <w:r w:rsidR="00462B30" w:rsidRPr="00AA5756">
        <w:rPr>
          <w:lang w:val="en-GB"/>
        </w:rPr>
        <w:t xml:space="preserve"> supplemented</w:t>
      </w:r>
      <w:proofErr w:type="gramEnd"/>
      <w:r w:rsidR="00462B30" w:rsidRPr="00AA5756">
        <w:rPr>
          <w:lang w:val="en-GB"/>
        </w:rPr>
        <w:t xml:space="preserve"> by </w:t>
      </w:r>
      <w:r w:rsidRPr="00AA5756">
        <w:rPr>
          <w:lang w:val="en-GB"/>
        </w:rPr>
        <w:t>various ‘</w:t>
      </w:r>
      <w:r w:rsidRPr="00AA5756">
        <w:rPr>
          <w:i/>
          <w:lang w:val="en-GB"/>
        </w:rPr>
        <w:t>active ageing</w:t>
      </w:r>
      <w:r w:rsidRPr="00AA5756">
        <w:rPr>
          <w:lang w:val="en-GB"/>
        </w:rPr>
        <w:t xml:space="preserve">’ policies, such as </w:t>
      </w:r>
      <w:r w:rsidR="00462B30" w:rsidRPr="00AA5756">
        <w:rPr>
          <w:lang w:val="en-GB"/>
        </w:rPr>
        <w:t>the expansion of lifelong learning schemes</w:t>
      </w:r>
      <w:r w:rsidR="007572CE" w:rsidRPr="00AA5756">
        <w:rPr>
          <w:lang w:val="en-GB"/>
        </w:rPr>
        <w:t xml:space="preserve">, </w:t>
      </w:r>
      <w:r>
        <w:rPr>
          <w:lang w:val="en-GB"/>
        </w:rPr>
        <w:t xml:space="preserve">targeted </w:t>
      </w:r>
      <w:r w:rsidR="007572CE" w:rsidRPr="00AA5756">
        <w:rPr>
          <w:lang w:val="en-GB"/>
        </w:rPr>
        <w:t>active labour market policies and measures to reduce age discrimination (</w:t>
      </w:r>
      <w:proofErr w:type="spellStart"/>
      <w:r w:rsidR="007572CE" w:rsidRPr="00F070F4">
        <w:rPr>
          <w:i/>
          <w:lang w:val="en-GB"/>
        </w:rPr>
        <w:t>Jepsen</w:t>
      </w:r>
      <w:proofErr w:type="spellEnd"/>
      <w:r w:rsidR="007572CE" w:rsidRPr="00F070F4">
        <w:rPr>
          <w:i/>
          <w:lang w:val="en-GB"/>
        </w:rPr>
        <w:t xml:space="preserve"> et al.</w:t>
      </w:r>
      <w:r w:rsidR="009269D0" w:rsidRPr="00F070F4">
        <w:rPr>
          <w:i/>
          <w:lang w:val="en-GB"/>
        </w:rPr>
        <w:t>,</w:t>
      </w:r>
      <w:r w:rsidR="007572CE" w:rsidRPr="00AA5756">
        <w:rPr>
          <w:lang w:val="en-GB"/>
        </w:rPr>
        <w:t xml:space="preserve"> 2002).</w:t>
      </w:r>
      <w:r w:rsidR="000F61CD" w:rsidRPr="00AA5756">
        <w:rPr>
          <w:lang w:val="en-GB"/>
        </w:rPr>
        <w:t xml:space="preserve"> Recent labour market data indeed seem to confirm the </w:t>
      </w:r>
      <w:r w:rsidR="00DE45E0" w:rsidRPr="00AA5756">
        <w:rPr>
          <w:lang w:val="en-GB"/>
        </w:rPr>
        <w:t>e</w:t>
      </w:r>
      <w:r w:rsidR="000F61CD" w:rsidRPr="00AA5756">
        <w:rPr>
          <w:lang w:val="en-GB"/>
        </w:rPr>
        <w:t>ffectiveness of these measures as in most European countries, employment rates of older workers have visibly</w:t>
      </w:r>
      <w:r>
        <w:rPr>
          <w:lang w:val="en-GB"/>
        </w:rPr>
        <w:t xml:space="preserve"> started to rise again</w:t>
      </w:r>
      <w:r w:rsidR="000F61CD" w:rsidRPr="00AA5756">
        <w:rPr>
          <w:lang w:val="en-GB"/>
        </w:rPr>
        <w:t xml:space="preserve">.  </w:t>
      </w:r>
    </w:p>
    <w:p w:rsidR="005B5059" w:rsidRDefault="005B5059" w:rsidP="005B5059">
      <w:pPr>
        <w:spacing w:after="120"/>
        <w:jc w:val="both"/>
        <w:rPr>
          <w:lang w:val="en-GB"/>
        </w:rPr>
      </w:pPr>
      <w:r>
        <w:rPr>
          <w:lang w:val="en-GB"/>
        </w:rPr>
        <w:t>T</w:t>
      </w:r>
      <w:r w:rsidRPr="00AA5756">
        <w:rPr>
          <w:lang w:val="en-GB"/>
        </w:rPr>
        <w:t xml:space="preserve">his positive trend in </w:t>
      </w:r>
      <w:r>
        <w:rPr>
          <w:lang w:val="en-GB"/>
        </w:rPr>
        <w:t>total</w:t>
      </w:r>
      <w:r w:rsidRPr="00AA5756">
        <w:rPr>
          <w:lang w:val="en-GB"/>
        </w:rPr>
        <w:t xml:space="preserve"> figures </w:t>
      </w:r>
      <w:r>
        <w:rPr>
          <w:lang w:val="en-GB"/>
        </w:rPr>
        <w:t xml:space="preserve">nonetheless </w:t>
      </w:r>
      <w:r w:rsidRPr="00AA5756">
        <w:rPr>
          <w:lang w:val="en-GB"/>
        </w:rPr>
        <w:t xml:space="preserve">may obscure persistent labour market difficulties </w:t>
      </w:r>
      <w:r>
        <w:rPr>
          <w:lang w:val="en-GB"/>
        </w:rPr>
        <w:t xml:space="preserve">for specific groups </w:t>
      </w:r>
      <w:r w:rsidRPr="00AA5756">
        <w:rPr>
          <w:lang w:val="en-GB"/>
        </w:rPr>
        <w:t xml:space="preserve">of older workers. </w:t>
      </w:r>
      <w:r>
        <w:rPr>
          <w:lang w:val="en-GB"/>
        </w:rPr>
        <w:t xml:space="preserve">While, for example, well qualified workers in supportive working environments may have little difficulties to respond to the increasing institutional target of longer work </w:t>
      </w:r>
      <w:proofErr w:type="spellStart"/>
      <w:r>
        <w:rPr>
          <w:lang w:val="en-GB"/>
        </w:rPr>
        <w:t>lifes</w:t>
      </w:r>
      <w:proofErr w:type="spellEnd"/>
      <w:r>
        <w:rPr>
          <w:lang w:val="en-GB"/>
        </w:rPr>
        <w:t xml:space="preserve">, workers with lesser human capital or those employed in declining economic sectors may be faced with serious problems to continue their employment and thus may be effectively continue to be pushed out of employment before reaching mandatory exit ages. Thus, while on the aggregate level, older workers’ employment chances may improve, there at the same time be a selective </w:t>
      </w:r>
      <w:r>
        <w:rPr>
          <w:lang w:val="en-GB"/>
        </w:rPr>
        <w:lastRenderedPageBreak/>
        <w:t xml:space="preserve">deterioration of their employment among specific disadvantaged groups, thereby exacerbating existing labour market inequalities among the older workforce.  </w:t>
      </w:r>
    </w:p>
    <w:p w:rsidR="00C52535" w:rsidRPr="00AA5756" w:rsidRDefault="005B5059" w:rsidP="00B42FB1">
      <w:pPr>
        <w:spacing w:after="120"/>
        <w:jc w:val="both"/>
        <w:rPr>
          <w:lang w:val="en-GB"/>
        </w:rPr>
      </w:pPr>
      <w:r>
        <w:rPr>
          <w:lang w:val="en-GB"/>
        </w:rPr>
        <w:t xml:space="preserve">An adequate assessment of the labour market situation of older workers thus needs to go beyond  </w:t>
      </w:r>
      <w:r w:rsidR="00B42FB1">
        <w:rPr>
          <w:lang w:val="en-GB"/>
        </w:rPr>
        <w:t xml:space="preserve">an investigation of </w:t>
      </w:r>
      <w:r>
        <w:rPr>
          <w:lang w:val="en-GB"/>
        </w:rPr>
        <w:t xml:space="preserve">overall employment </w:t>
      </w:r>
      <w:r w:rsidR="00B42FB1">
        <w:rPr>
          <w:lang w:val="en-GB"/>
        </w:rPr>
        <w:t>levels, but needs to take a closer look at actual employment exit processes among older workers and their underlying motives. Against this background, t</w:t>
      </w:r>
      <w:r w:rsidR="004B0D84" w:rsidRPr="00AA5756">
        <w:rPr>
          <w:lang w:val="en-GB"/>
        </w:rPr>
        <w:t xml:space="preserve">he aim of this paper is to provide an </w:t>
      </w:r>
      <w:r w:rsidR="00A06F30" w:rsidRPr="00AA5756">
        <w:rPr>
          <w:lang w:val="en-GB"/>
        </w:rPr>
        <w:t xml:space="preserve">empirically-grounded </w:t>
      </w:r>
      <w:r w:rsidR="004B0D84" w:rsidRPr="00AA5756">
        <w:rPr>
          <w:lang w:val="en-GB"/>
        </w:rPr>
        <w:t xml:space="preserve">insight into the degree of voluntariness in older workers’ </w:t>
      </w:r>
      <w:r w:rsidR="005E07CF" w:rsidRPr="00AA5756">
        <w:rPr>
          <w:lang w:val="en-GB"/>
        </w:rPr>
        <w:t xml:space="preserve">retirement transitions </w:t>
      </w:r>
      <w:r w:rsidR="004B0D84" w:rsidRPr="00AA5756">
        <w:rPr>
          <w:lang w:val="en-GB"/>
        </w:rPr>
        <w:t xml:space="preserve">within Europe, using recent </w:t>
      </w:r>
      <w:r w:rsidR="005E07CF" w:rsidRPr="00AA5756">
        <w:rPr>
          <w:lang w:val="en-GB"/>
        </w:rPr>
        <w:t xml:space="preserve">data (Wave 1 </w:t>
      </w:r>
      <w:r w:rsidR="00DB7CC8" w:rsidRPr="00AA5756">
        <w:rPr>
          <w:lang w:val="en-GB"/>
        </w:rPr>
        <w:t>&amp;</w:t>
      </w:r>
      <w:r w:rsidR="005E07CF" w:rsidRPr="00AA5756">
        <w:rPr>
          <w:lang w:val="en-GB"/>
        </w:rPr>
        <w:t xml:space="preserve"> 2)</w:t>
      </w:r>
      <w:r w:rsidR="004B0D84" w:rsidRPr="00AA5756">
        <w:rPr>
          <w:lang w:val="en-GB"/>
        </w:rPr>
        <w:t xml:space="preserve"> from the Survey of Health, Ageing and Retirement in Europe (SHARE)</w:t>
      </w:r>
      <w:r w:rsidR="00B42FB1">
        <w:rPr>
          <w:lang w:val="en-GB"/>
        </w:rPr>
        <w:t xml:space="preserve"> on the </w:t>
      </w:r>
      <w:r w:rsidR="00B42FB1" w:rsidRPr="00AA5756">
        <w:rPr>
          <w:lang w:val="en-GB"/>
        </w:rPr>
        <w:t>timing and the motives of (early) retirement</w:t>
      </w:r>
      <w:r w:rsidR="004B0D84" w:rsidRPr="00AA5756">
        <w:rPr>
          <w:lang w:val="en-GB"/>
        </w:rPr>
        <w:t>.</w:t>
      </w:r>
      <w:r w:rsidR="00570945" w:rsidRPr="00AA5756">
        <w:rPr>
          <w:lang w:val="en-GB"/>
        </w:rPr>
        <w:t xml:space="preserve"> </w:t>
      </w:r>
      <w:r w:rsidR="00B42FB1">
        <w:rPr>
          <w:lang w:val="en-GB"/>
        </w:rPr>
        <w:t>Comparing retirement transitions in 11 different European welfare states, t</w:t>
      </w:r>
      <w:r w:rsidR="00570945" w:rsidRPr="00AA5756">
        <w:rPr>
          <w:lang w:val="en-GB"/>
        </w:rPr>
        <w:t>he paper will</w:t>
      </w:r>
      <w:r w:rsidR="00B42FB1">
        <w:rPr>
          <w:lang w:val="en-GB"/>
        </w:rPr>
        <w:t>, on the one hand,</w:t>
      </w:r>
      <w:r w:rsidR="00570945" w:rsidRPr="00AA5756">
        <w:rPr>
          <w:lang w:val="en-GB"/>
        </w:rPr>
        <w:t xml:space="preserve"> identify the institutional conditions under which </w:t>
      </w:r>
      <w:r w:rsidR="00D93C6B" w:rsidRPr="00AA5756">
        <w:rPr>
          <w:lang w:val="en-GB"/>
        </w:rPr>
        <w:t xml:space="preserve">retirement </w:t>
      </w:r>
      <w:r w:rsidR="00DB7CC8" w:rsidRPr="00AA5756">
        <w:rPr>
          <w:lang w:val="en-GB"/>
        </w:rPr>
        <w:t xml:space="preserve">is </w:t>
      </w:r>
      <w:r w:rsidR="00D93C6B" w:rsidRPr="00AA5756">
        <w:rPr>
          <w:lang w:val="en-GB"/>
        </w:rPr>
        <w:t xml:space="preserve">perceived as being </w:t>
      </w:r>
      <w:r w:rsidR="00DB7CC8" w:rsidRPr="00AA5756">
        <w:rPr>
          <w:lang w:val="en-GB"/>
        </w:rPr>
        <w:t xml:space="preserve">voluntary respectively </w:t>
      </w:r>
      <w:r w:rsidR="00D93C6B" w:rsidRPr="00AA5756">
        <w:rPr>
          <w:lang w:val="en-GB"/>
        </w:rPr>
        <w:t>involuntary</w:t>
      </w:r>
      <w:r w:rsidR="00DB7CC8" w:rsidRPr="00AA5756">
        <w:rPr>
          <w:lang w:val="en-GB"/>
        </w:rPr>
        <w:t>.</w:t>
      </w:r>
      <w:r w:rsidR="005C0058" w:rsidRPr="00AA5756">
        <w:rPr>
          <w:lang w:val="en-GB"/>
        </w:rPr>
        <w:t xml:space="preserve"> </w:t>
      </w:r>
      <w:r w:rsidR="00DB7CC8" w:rsidRPr="00AA5756">
        <w:rPr>
          <w:lang w:val="en-GB"/>
        </w:rPr>
        <w:t xml:space="preserve">Subsequently, the paper will </w:t>
      </w:r>
      <w:r w:rsidR="00B42FB1">
        <w:rPr>
          <w:lang w:val="en-GB"/>
        </w:rPr>
        <w:t>investigate</w:t>
      </w:r>
      <w:r w:rsidR="00DB7CC8" w:rsidRPr="00AA5756">
        <w:rPr>
          <w:lang w:val="en-GB"/>
        </w:rPr>
        <w:t xml:space="preserve"> which societal strata are disproportionately affected by involuntary retirement</w:t>
      </w:r>
      <w:r w:rsidR="00B42FB1">
        <w:rPr>
          <w:lang w:val="en-GB"/>
        </w:rPr>
        <w:t xml:space="preserve">, and thus are being </w:t>
      </w:r>
      <w:r w:rsidR="009F0B7E">
        <w:rPr>
          <w:lang w:val="en-GB"/>
        </w:rPr>
        <w:t>at risk to become marginalised during</w:t>
      </w:r>
      <w:r w:rsidR="00B42FB1">
        <w:rPr>
          <w:lang w:val="en-GB"/>
        </w:rPr>
        <w:t xml:space="preserve"> the</w:t>
      </w:r>
      <w:r w:rsidR="005359DB">
        <w:rPr>
          <w:lang w:val="en-GB"/>
        </w:rPr>
        <w:t xml:space="preserve"> increasing shift from early exit </w:t>
      </w:r>
      <w:r w:rsidR="00DF4559">
        <w:rPr>
          <w:lang w:val="en-GB"/>
        </w:rPr>
        <w:t>t</w:t>
      </w:r>
      <w:r w:rsidR="005359DB">
        <w:rPr>
          <w:lang w:val="en-GB"/>
        </w:rPr>
        <w:t>o active ageing.</w:t>
      </w:r>
      <w:r w:rsidR="00B42FB1">
        <w:rPr>
          <w:lang w:val="en-GB"/>
        </w:rPr>
        <w:t xml:space="preserve"> </w:t>
      </w:r>
      <w:r w:rsidR="00005DB5" w:rsidRPr="00AA5756">
        <w:rPr>
          <w:lang w:val="en-GB"/>
        </w:rPr>
        <w:t xml:space="preserve"> </w:t>
      </w:r>
    </w:p>
    <w:p w:rsidR="005E0D4E" w:rsidRPr="00AA5756" w:rsidRDefault="005E0D4E" w:rsidP="005E0D4E">
      <w:pPr>
        <w:pStyle w:val="Listenabsatz"/>
        <w:ind w:left="-142"/>
        <w:rPr>
          <w:b/>
          <w:lang w:val="en-GB"/>
        </w:rPr>
      </w:pPr>
    </w:p>
    <w:p w:rsidR="008D3F8F" w:rsidRPr="00AA5756" w:rsidRDefault="008D3F8F" w:rsidP="005E0D4E">
      <w:pPr>
        <w:pStyle w:val="Listenabsatz"/>
        <w:numPr>
          <w:ilvl w:val="0"/>
          <w:numId w:val="2"/>
        </w:numPr>
        <w:ind w:left="0" w:firstLine="0"/>
        <w:rPr>
          <w:b/>
          <w:lang w:val="en-GB"/>
        </w:rPr>
      </w:pPr>
      <w:r w:rsidRPr="00AA5756">
        <w:rPr>
          <w:b/>
          <w:lang w:val="en-GB"/>
        </w:rPr>
        <w:t xml:space="preserve">Reconstructing and Explaining European Retirement Trends since the 1970s </w:t>
      </w:r>
    </w:p>
    <w:p w:rsidR="002D0D3E" w:rsidRDefault="002D0D3E" w:rsidP="002D0D3E">
      <w:pPr>
        <w:pStyle w:val="Listenabsatz"/>
        <w:ind w:left="0"/>
        <w:rPr>
          <w:lang w:val="en-GB"/>
        </w:rPr>
      </w:pPr>
    </w:p>
    <w:p w:rsidR="00707466" w:rsidRPr="00AA5756" w:rsidRDefault="00707466" w:rsidP="005E0D4E">
      <w:pPr>
        <w:pStyle w:val="Listenabsatz"/>
        <w:numPr>
          <w:ilvl w:val="1"/>
          <w:numId w:val="2"/>
        </w:numPr>
        <w:ind w:left="0" w:firstLine="0"/>
        <w:rPr>
          <w:lang w:val="en-GB"/>
        </w:rPr>
      </w:pPr>
      <w:r w:rsidRPr="00AA5756">
        <w:rPr>
          <w:lang w:val="en-GB"/>
        </w:rPr>
        <w:t>Trends in (Early) Retirement within European Welfare States</w:t>
      </w:r>
      <w:r w:rsidR="005E0D4E" w:rsidRPr="00AA5756">
        <w:rPr>
          <w:lang w:val="en-GB"/>
        </w:rPr>
        <w:br/>
      </w:r>
    </w:p>
    <w:p w:rsidR="005E0D4E" w:rsidRPr="00AA5756" w:rsidRDefault="00461AEA" w:rsidP="00137794">
      <w:pPr>
        <w:pStyle w:val="Listenabsatz"/>
        <w:ind w:left="0"/>
        <w:jc w:val="both"/>
        <w:rPr>
          <w:lang w:val="en-GB"/>
        </w:rPr>
      </w:pPr>
      <w:r>
        <w:rPr>
          <w:lang w:val="en-GB"/>
        </w:rPr>
        <w:t xml:space="preserve">in order to embed the present employment situation of older workers in its socio-economic and historical context, however, I </w:t>
      </w:r>
      <w:r w:rsidR="00EB69C2">
        <w:rPr>
          <w:lang w:val="en-GB"/>
        </w:rPr>
        <w:t xml:space="preserve">first </w:t>
      </w:r>
      <w:r w:rsidR="005E0D4E" w:rsidRPr="00AA5756">
        <w:rPr>
          <w:lang w:val="en-GB"/>
        </w:rPr>
        <w:t>provide a</w:t>
      </w:r>
      <w:r w:rsidR="00EB69C2">
        <w:rPr>
          <w:lang w:val="en-GB"/>
        </w:rPr>
        <w:t>n</w:t>
      </w:r>
      <w:r w:rsidR="005E0D4E" w:rsidRPr="00AA5756">
        <w:rPr>
          <w:lang w:val="en-GB"/>
        </w:rPr>
        <w:t xml:space="preserve"> overview of </w:t>
      </w:r>
      <w:r>
        <w:rPr>
          <w:lang w:val="en-GB"/>
        </w:rPr>
        <w:t xml:space="preserve">long-term </w:t>
      </w:r>
      <w:r w:rsidRPr="00AA5756">
        <w:rPr>
          <w:lang w:val="en-GB"/>
        </w:rPr>
        <w:t>trends</w:t>
      </w:r>
      <w:r>
        <w:rPr>
          <w:lang w:val="en-GB"/>
        </w:rPr>
        <w:t xml:space="preserve"> </w:t>
      </w:r>
      <w:r w:rsidR="002D0D3E">
        <w:rPr>
          <w:lang w:val="en-GB"/>
        </w:rPr>
        <w:t>employment and</w:t>
      </w:r>
      <w:r w:rsidR="005E0D4E" w:rsidRPr="00AA5756">
        <w:rPr>
          <w:lang w:val="en-GB"/>
        </w:rPr>
        <w:t xml:space="preserve"> retirement</w:t>
      </w:r>
      <w:r>
        <w:rPr>
          <w:lang w:val="en-GB"/>
        </w:rPr>
        <w:t xml:space="preserve">. To this end, </w:t>
      </w:r>
      <w:r w:rsidR="005E0D4E" w:rsidRPr="00AA5756">
        <w:rPr>
          <w:lang w:val="en-GB"/>
        </w:rPr>
        <w:t xml:space="preserve">Table 1 </w:t>
      </w:r>
      <w:r>
        <w:rPr>
          <w:lang w:val="en-GB"/>
        </w:rPr>
        <w:t>reports the</w:t>
      </w:r>
      <w:r w:rsidR="005E0D4E" w:rsidRPr="00AA5756">
        <w:rPr>
          <w:lang w:val="en-GB"/>
        </w:rPr>
        <w:t xml:space="preserve"> employment rates of men, aged 60-64 years, and their development within the last half-century in selected </w:t>
      </w:r>
      <w:r>
        <w:rPr>
          <w:lang w:val="en-GB"/>
        </w:rPr>
        <w:t xml:space="preserve">European </w:t>
      </w:r>
      <w:r w:rsidR="005E0D4E" w:rsidRPr="00AA5756">
        <w:rPr>
          <w:lang w:val="en-GB"/>
        </w:rPr>
        <w:t>countries</w:t>
      </w:r>
      <w:r>
        <w:rPr>
          <w:lang w:val="en-GB"/>
        </w:rPr>
        <w:t xml:space="preserve"> and the US</w:t>
      </w:r>
      <w:r w:rsidR="005E0D4E" w:rsidRPr="00AA5756">
        <w:rPr>
          <w:lang w:val="en-GB"/>
        </w:rPr>
        <w:t>.</w:t>
      </w:r>
      <w:r w:rsidR="00C10DE5" w:rsidRPr="00AA5756">
        <w:rPr>
          <w:rStyle w:val="Funotenzeichen"/>
          <w:lang w:val="en-GB"/>
        </w:rPr>
        <w:footnoteReference w:id="1"/>
      </w:r>
      <w:r w:rsidR="00C10DE5" w:rsidRPr="00AA5756">
        <w:rPr>
          <w:lang w:val="en-GB"/>
        </w:rPr>
        <w:t xml:space="preserve"> Following previous works that have differentiated different </w:t>
      </w:r>
      <w:r w:rsidR="00C10DE5" w:rsidRPr="00AA5756">
        <w:rPr>
          <w:i/>
          <w:lang w:val="en-GB"/>
        </w:rPr>
        <w:t>regimes</w:t>
      </w:r>
      <w:r w:rsidR="00C10DE5" w:rsidRPr="00AA5756">
        <w:rPr>
          <w:lang w:val="en-GB"/>
        </w:rPr>
        <w:t xml:space="preserve"> in terms of older workers’ employment (</w:t>
      </w:r>
      <w:proofErr w:type="spellStart"/>
      <w:r w:rsidR="00C10DE5" w:rsidRPr="00461AEA">
        <w:rPr>
          <w:i/>
          <w:lang w:val="en-GB"/>
        </w:rPr>
        <w:t>Blossfeld</w:t>
      </w:r>
      <w:proofErr w:type="spellEnd"/>
      <w:r w:rsidR="00C10DE5" w:rsidRPr="00461AEA">
        <w:rPr>
          <w:i/>
          <w:lang w:val="en-GB"/>
        </w:rPr>
        <w:t xml:space="preserve"> et al.</w:t>
      </w:r>
      <w:r w:rsidR="009269D0">
        <w:rPr>
          <w:lang w:val="en-GB"/>
        </w:rPr>
        <w:t>,</w:t>
      </w:r>
      <w:r w:rsidR="00C10DE5" w:rsidRPr="00AA5756">
        <w:rPr>
          <w:lang w:val="en-GB"/>
        </w:rPr>
        <w:t xml:space="preserve"> 2006, 2011, </w:t>
      </w:r>
      <w:proofErr w:type="spellStart"/>
      <w:r w:rsidR="00C10DE5" w:rsidRPr="00461AEA">
        <w:rPr>
          <w:i/>
          <w:lang w:val="en-GB"/>
        </w:rPr>
        <w:t>Ebbinghaus</w:t>
      </w:r>
      <w:proofErr w:type="spellEnd"/>
      <w:r w:rsidR="009269D0">
        <w:rPr>
          <w:lang w:val="en-GB"/>
        </w:rPr>
        <w:t>,</w:t>
      </w:r>
      <w:r w:rsidR="00C10DE5" w:rsidRPr="00AA5756">
        <w:rPr>
          <w:lang w:val="en-GB"/>
        </w:rPr>
        <w:t xml:space="preserve"> 2006, </w:t>
      </w:r>
      <w:proofErr w:type="spellStart"/>
      <w:r w:rsidR="00C10DE5" w:rsidRPr="00461AEA">
        <w:rPr>
          <w:i/>
          <w:lang w:val="en-GB"/>
        </w:rPr>
        <w:t>Hofäcker</w:t>
      </w:r>
      <w:proofErr w:type="spellEnd"/>
      <w:r w:rsidR="009269D0">
        <w:rPr>
          <w:lang w:val="en-GB"/>
        </w:rPr>
        <w:t>,</w:t>
      </w:r>
      <w:r w:rsidR="00C10DE5" w:rsidRPr="00AA5756">
        <w:rPr>
          <w:lang w:val="en-GB"/>
        </w:rPr>
        <w:t xml:space="preserve"> 2010), the table differentiates various groups of countries based on their institutional design</w:t>
      </w:r>
      <w:r w:rsidR="00C10DE5" w:rsidRPr="00AA5756">
        <w:rPr>
          <w:rStyle w:val="Funotenzeichen"/>
          <w:lang w:val="en-GB"/>
        </w:rPr>
        <w:footnoteReference w:id="2"/>
      </w:r>
      <w:r w:rsidR="00C10DE5" w:rsidRPr="00AA5756">
        <w:rPr>
          <w:lang w:val="en-GB"/>
        </w:rPr>
        <w:t xml:space="preserve">, namely Central </w:t>
      </w:r>
      <w:r w:rsidR="00137794" w:rsidRPr="00AA5756">
        <w:rPr>
          <w:lang w:val="en-GB"/>
        </w:rPr>
        <w:t>E</w:t>
      </w:r>
      <w:r w:rsidR="00C10DE5" w:rsidRPr="00AA5756">
        <w:rPr>
          <w:lang w:val="en-GB"/>
        </w:rPr>
        <w:t xml:space="preserve">uropean, Northern European, Eastern </w:t>
      </w:r>
      <w:r w:rsidR="00137794" w:rsidRPr="00AA5756">
        <w:rPr>
          <w:lang w:val="en-GB"/>
        </w:rPr>
        <w:t>E</w:t>
      </w:r>
      <w:r w:rsidR="00C10DE5" w:rsidRPr="00AA5756">
        <w:rPr>
          <w:lang w:val="en-GB"/>
        </w:rPr>
        <w:t>uropean, Southern European and Anglo-Saxon countries</w:t>
      </w:r>
      <w:r w:rsidR="009C647B">
        <w:rPr>
          <w:lang w:val="en-GB"/>
        </w:rPr>
        <w:t>.</w:t>
      </w:r>
      <w:r w:rsidR="00137794" w:rsidRPr="00AA5756">
        <w:rPr>
          <w:lang w:val="en-GB"/>
        </w:rPr>
        <w:t xml:space="preserve"> As Table 1 illustrates, there has been a substantial decline in older workers’ employment rates from the 1970s up to the millennium turn </w:t>
      </w:r>
      <w:r w:rsidR="009C647B">
        <w:rPr>
          <w:lang w:val="en-GB"/>
        </w:rPr>
        <w:t>across</w:t>
      </w:r>
      <w:r w:rsidR="00137794" w:rsidRPr="00AA5756">
        <w:rPr>
          <w:lang w:val="en-GB"/>
        </w:rPr>
        <w:t xml:space="preserve"> countries. However, throughout the last 10-15 years, this trend appears to have halted or even reversed, even though the most recent financial crisis may have decreased the speed of this reversal</w:t>
      </w:r>
      <w:r w:rsidR="009C647B">
        <w:rPr>
          <w:lang w:val="en-GB"/>
        </w:rPr>
        <w:t>.</w:t>
      </w:r>
      <w:r w:rsidR="009C647B">
        <w:rPr>
          <w:rStyle w:val="Funotenzeichen"/>
          <w:lang w:val="en-GB"/>
        </w:rPr>
        <w:footnoteReference w:id="3"/>
      </w:r>
      <w:r w:rsidR="00137794" w:rsidRPr="00AA5756">
        <w:rPr>
          <w:lang w:val="en-GB"/>
        </w:rPr>
        <w:t>.</w:t>
      </w:r>
    </w:p>
    <w:p w:rsidR="00190891" w:rsidRPr="00AA5756" w:rsidRDefault="00A06F30" w:rsidP="00190891">
      <w:pPr>
        <w:pStyle w:val="Listenabsatz"/>
        <w:ind w:left="0"/>
        <w:jc w:val="both"/>
        <w:rPr>
          <w:lang w:val="en-GB"/>
        </w:rPr>
      </w:pPr>
      <w:r w:rsidRPr="00AA5756">
        <w:rPr>
          <w:lang w:val="en-GB"/>
        </w:rPr>
        <w:t xml:space="preserve">At the same time, the figures indicate that there exist substantial cross-national differences in the magnitude of the trend towards early retirement and its reversal. On the one hand, early retirement trends appear to have been most pronounced in Central European countries as well as in Finland and Italy, with employment rates falling down to </w:t>
      </w:r>
      <w:r w:rsidR="00C50C00">
        <w:rPr>
          <w:lang w:val="en-GB"/>
        </w:rPr>
        <w:t xml:space="preserve">values as low as </w:t>
      </w:r>
      <w:r w:rsidRPr="00AA5756">
        <w:rPr>
          <w:lang w:val="en-GB"/>
        </w:rPr>
        <w:t xml:space="preserve">one quarter of the respective age group. Similar trends </w:t>
      </w:r>
      <w:r w:rsidR="00C50C00">
        <w:rPr>
          <w:lang w:val="en-GB"/>
        </w:rPr>
        <w:t>can be</w:t>
      </w:r>
      <w:r w:rsidRPr="00AA5756">
        <w:rPr>
          <w:lang w:val="en-GB"/>
        </w:rPr>
        <w:t xml:space="preserve"> observed in </w:t>
      </w:r>
      <w:r w:rsidR="00C50C00">
        <w:rPr>
          <w:lang w:val="en-GB"/>
        </w:rPr>
        <w:t xml:space="preserve">larger parts of </w:t>
      </w:r>
      <w:r w:rsidRPr="00AA5756">
        <w:rPr>
          <w:lang w:val="en-GB"/>
        </w:rPr>
        <w:t xml:space="preserve">Eastern Europe, where </w:t>
      </w:r>
      <w:r w:rsidR="00C50C00">
        <w:rPr>
          <w:lang w:val="en-GB"/>
        </w:rPr>
        <w:t xml:space="preserve">economic </w:t>
      </w:r>
      <w:r w:rsidRPr="00AA5756">
        <w:rPr>
          <w:lang w:val="en-GB"/>
        </w:rPr>
        <w:t xml:space="preserve">transformation </w:t>
      </w:r>
      <w:r w:rsidR="00C50C00">
        <w:rPr>
          <w:lang w:val="en-GB"/>
        </w:rPr>
        <w:t xml:space="preserve">since </w:t>
      </w:r>
      <w:r w:rsidRPr="00AA5756">
        <w:rPr>
          <w:lang w:val="en-GB"/>
        </w:rPr>
        <w:t>the early-1990s ha</w:t>
      </w:r>
      <w:r w:rsidR="00C50C00">
        <w:rPr>
          <w:lang w:val="en-GB"/>
        </w:rPr>
        <w:t>s</w:t>
      </w:r>
      <w:r w:rsidRPr="00AA5756">
        <w:rPr>
          <w:lang w:val="en-GB"/>
        </w:rPr>
        <w:t xml:space="preserve"> led to a mass displacement of older workers from </w:t>
      </w:r>
      <w:r w:rsidRPr="00AA5756">
        <w:rPr>
          <w:lang w:val="en-GB"/>
        </w:rPr>
        <w:lastRenderedPageBreak/>
        <w:t xml:space="preserve">employment via various early exit routes (see </w:t>
      </w:r>
      <w:proofErr w:type="spellStart"/>
      <w:r w:rsidRPr="00AA5756">
        <w:rPr>
          <w:lang w:val="en-GB"/>
        </w:rPr>
        <w:t>Blossfeld</w:t>
      </w:r>
      <w:proofErr w:type="spellEnd"/>
      <w:r w:rsidRPr="00AA5756">
        <w:rPr>
          <w:lang w:val="en-GB"/>
        </w:rPr>
        <w:t xml:space="preserve"> et al.</w:t>
      </w:r>
      <w:r w:rsidR="009269D0">
        <w:rPr>
          <w:lang w:val="en-GB"/>
        </w:rPr>
        <w:t>,</w:t>
      </w:r>
      <w:r w:rsidRPr="00AA5756">
        <w:rPr>
          <w:lang w:val="en-GB"/>
        </w:rPr>
        <w:t xml:space="preserve"> 2006, 2011).</w:t>
      </w:r>
      <w:r w:rsidR="00190891">
        <w:rPr>
          <w:lang w:val="en-GB"/>
        </w:rPr>
        <w:t xml:space="preserve"> </w:t>
      </w:r>
      <w:r w:rsidR="00190891" w:rsidRPr="00AA5756">
        <w:rPr>
          <w:lang w:val="en-GB"/>
        </w:rPr>
        <w:t xml:space="preserve">Some </w:t>
      </w:r>
      <w:r w:rsidR="00190891">
        <w:rPr>
          <w:lang w:val="en-GB"/>
        </w:rPr>
        <w:t xml:space="preserve">of these </w:t>
      </w:r>
      <w:r w:rsidR="00190891" w:rsidRPr="00AA5756">
        <w:rPr>
          <w:lang w:val="en-GB"/>
        </w:rPr>
        <w:t xml:space="preserve">countries – especially Germany, the Netherlands and Finland – appear to have started a successful reversal of </w:t>
      </w:r>
      <w:r w:rsidR="008142DB">
        <w:rPr>
          <w:lang w:val="en-GB"/>
        </w:rPr>
        <w:t>their</w:t>
      </w:r>
      <w:r w:rsidR="00190891" w:rsidRPr="00AA5756">
        <w:rPr>
          <w:lang w:val="en-GB"/>
        </w:rPr>
        <w:t xml:space="preserve"> early retirement trend in more recent years (see also </w:t>
      </w:r>
      <w:proofErr w:type="spellStart"/>
      <w:r w:rsidR="00190891" w:rsidRPr="00AA5756">
        <w:rPr>
          <w:lang w:val="en-GB"/>
        </w:rPr>
        <w:t>Ebbinghaus</w:t>
      </w:r>
      <w:proofErr w:type="spellEnd"/>
      <w:r w:rsidR="00190891" w:rsidRPr="00AA5756">
        <w:rPr>
          <w:lang w:val="en-GB"/>
        </w:rPr>
        <w:t xml:space="preserve"> &amp; </w:t>
      </w:r>
      <w:proofErr w:type="spellStart"/>
      <w:r w:rsidR="00190891" w:rsidRPr="00AA5756">
        <w:rPr>
          <w:lang w:val="en-GB"/>
        </w:rPr>
        <w:t>Hofäcker</w:t>
      </w:r>
      <w:proofErr w:type="spellEnd"/>
      <w:r w:rsidR="00190891" w:rsidRPr="00AA5756">
        <w:rPr>
          <w:lang w:val="en-GB"/>
        </w:rPr>
        <w:t xml:space="preserve">, forthcoming). On the other hand, employment </w:t>
      </w:r>
      <w:r w:rsidR="00770D7D">
        <w:rPr>
          <w:lang w:val="en-GB"/>
        </w:rPr>
        <w:t>levels among</w:t>
      </w:r>
      <w:r w:rsidR="00190891" w:rsidRPr="00AA5756">
        <w:rPr>
          <w:lang w:val="en-GB"/>
        </w:rPr>
        <w:t xml:space="preserve"> older workers have remained substantially higher in Anglo-Saxon as well as most Scandinavian countries (except Finland) where around a half of all workers in their early-60s remained in the labour force and employment rates have rarely fallen below a 40% margin. Most Southern European countries (exclusive of Italy) as well as Denmark take an intermediate position between these two extremes. </w:t>
      </w:r>
    </w:p>
    <w:p w:rsidR="00190891" w:rsidRPr="00AA5756" w:rsidRDefault="00190891" w:rsidP="00137794">
      <w:pPr>
        <w:pStyle w:val="Listenabsatz"/>
        <w:ind w:left="0"/>
        <w:jc w:val="both"/>
        <w:rPr>
          <w:lang w:val="en-GB"/>
        </w:rPr>
      </w:pPr>
    </w:p>
    <w:p w:rsidR="005E0D4E" w:rsidRPr="00AA5756" w:rsidRDefault="005E0D4E" w:rsidP="005E0D4E">
      <w:pPr>
        <w:rPr>
          <w:b/>
          <w:lang w:val="en-GB"/>
        </w:rPr>
      </w:pPr>
      <w:r w:rsidRPr="00AA5756">
        <w:rPr>
          <w:b/>
          <w:lang w:val="en-GB"/>
        </w:rPr>
        <w:t>Table 1: Employment rate of men aged 60-64 years in selected OECD countries, 1960-2010</w:t>
      </w:r>
    </w:p>
    <w:tbl>
      <w:tblPr>
        <w:tblStyle w:val="HelleSchattierung"/>
        <w:tblW w:w="9325" w:type="dxa"/>
        <w:tblLayout w:type="fixed"/>
        <w:tblLook w:val="04A0" w:firstRow="1" w:lastRow="0" w:firstColumn="1" w:lastColumn="0" w:noHBand="0" w:noVBand="1"/>
      </w:tblPr>
      <w:tblGrid>
        <w:gridCol w:w="2093"/>
        <w:gridCol w:w="803"/>
        <w:gridCol w:w="804"/>
        <w:gridCol w:w="803"/>
        <w:gridCol w:w="804"/>
        <w:gridCol w:w="803"/>
        <w:gridCol w:w="804"/>
        <w:gridCol w:w="803"/>
        <w:gridCol w:w="804"/>
        <w:gridCol w:w="804"/>
      </w:tblGrid>
      <w:tr w:rsidR="005E0D4E" w:rsidRPr="00AA5756" w:rsidTr="006C5C6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3" w:type="dxa"/>
            <w:vAlign w:val="center"/>
          </w:tcPr>
          <w:p w:rsidR="005E0D4E" w:rsidRPr="00AA5756" w:rsidRDefault="005E0D4E" w:rsidP="00E4643A">
            <w:pPr>
              <w:jc w:val="center"/>
              <w:rPr>
                <w:rFonts w:cstheme="minorHAnsi"/>
                <w:b w:val="0"/>
                <w:color w:val="000000"/>
                <w:sz w:val="20"/>
                <w:szCs w:val="20"/>
                <w:lang w:val="en-GB"/>
              </w:rPr>
            </w:pPr>
          </w:p>
        </w:tc>
        <w:tc>
          <w:tcPr>
            <w:tcW w:w="803" w:type="dxa"/>
          </w:tcPr>
          <w:p w:rsidR="005E0D4E" w:rsidRPr="00AA5756" w:rsidRDefault="005E0D4E" w:rsidP="00E4643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sz w:val="20"/>
                <w:szCs w:val="20"/>
                <w:lang w:val="en-GB"/>
              </w:rPr>
            </w:pPr>
            <w:r w:rsidRPr="00AA5756">
              <w:rPr>
                <w:rFonts w:cstheme="minorHAnsi"/>
                <w:b w:val="0"/>
                <w:color w:val="000000"/>
                <w:sz w:val="20"/>
                <w:szCs w:val="20"/>
                <w:lang w:val="en-GB"/>
              </w:rPr>
              <w:t>1960</w:t>
            </w:r>
          </w:p>
        </w:tc>
        <w:tc>
          <w:tcPr>
            <w:tcW w:w="804" w:type="dxa"/>
          </w:tcPr>
          <w:p w:rsidR="005E0D4E" w:rsidRPr="00AA5756" w:rsidRDefault="005E0D4E" w:rsidP="00E4643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sz w:val="20"/>
                <w:szCs w:val="20"/>
                <w:lang w:val="en-GB"/>
              </w:rPr>
            </w:pPr>
            <w:r w:rsidRPr="00AA5756">
              <w:rPr>
                <w:rFonts w:cstheme="minorHAnsi"/>
                <w:b w:val="0"/>
                <w:color w:val="000000"/>
                <w:sz w:val="20"/>
                <w:szCs w:val="20"/>
                <w:lang w:val="en-GB"/>
              </w:rPr>
              <w:t>1970</w:t>
            </w:r>
          </w:p>
        </w:tc>
        <w:tc>
          <w:tcPr>
            <w:tcW w:w="803" w:type="dxa"/>
          </w:tcPr>
          <w:p w:rsidR="005E0D4E" w:rsidRPr="00AA5756" w:rsidRDefault="005E0D4E" w:rsidP="00E4643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sz w:val="20"/>
                <w:szCs w:val="20"/>
                <w:lang w:val="en-GB"/>
              </w:rPr>
            </w:pPr>
            <w:r w:rsidRPr="00AA5756">
              <w:rPr>
                <w:rFonts w:cstheme="minorHAnsi"/>
                <w:b w:val="0"/>
                <w:color w:val="000000"/>
                <w:sz w:val="20"/>
                <w:szCs w:val="20"/>
                <w:lang w:val="en-GB"/>
              </w:rPr>
              <w:t>1980</w:t>
            </w:r>
          </w:p>
        </w:tc>
        <w:tc>
          <w:tcPr>
            <w:tcW w:w="804" w:type="dxa"/>
          </w:tcPr>
          <w:p w:rsidR="005E0D4E" w:rsidRPr="00AA5756" w:rsidRDefault="005E0D4E" w:rsidP="00E4643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sz w:val="20"/>
                <w:szCs w:val="20"/>
                <w:lang w:val="en-GB"/>
              </w:rPr>
            </w:pPr>
            <w:r w:rsidRPr="00AA5756">
              <w:rPr>
                <w:rFonts w:cstheme="minorHAnsi"/>
                <w:b w:val="0"/>
                <w:color w:val="000000"/>
                <w:sz w:val="20"/>
                <w:szCs w:val="20"/>
                <w:lang w:val="en-GB"/>
              </w:rPr>
              <w:t>1985</w:t>
            </w:r>
          </w:p>
        </w:tc>
        <w:tc>
          <w:tcPr>
            <w:tcW w:w="803" w:type="dxa"/>
          </w:tcPr>
          <w:p w:rsidR="005E0D4E" w:rsidRPr="00AA5756" w:rsidRDefault="005E0D4E" w:rsidP="00E4643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sz w:val="20"/>
                <w:szCs w:val="20"/>
                <w:lang w:val="en-GB"/>
              </w:rPr>
            </w:pPr>
            <w:r w:rsidRPr="00AA5756">
              <w:rPr>
                <w:rFonts w:cstheme="minorHAnsi"/>
                <w:b w:val="0"/>
                <w:color w:val="000000"/>
                <w:sz w:val="20"/>
                <w:szCs w:val="20"/>
                <w:lang w:val="en-GB"/>
              </w:rPr>
              <w:t>1990</w:t>
            </w:r>
          </w:p>
        </w:tc>
        <w:tc>
          <w:tcPr>
            <w:tcW w:w="804" w:type="dxa"/>
          </w:tcPr>
          <w:p w:rsidR="005E0D4E" w:rsidRPr="00AA5756" w:rsidRDefault="005E0D4E" w:rsidP="00E4643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sz w:val="20"/>
                <w:szCs w:val="20"/>
                <w:lang w:val="en-GB"/>
              </w:rPr>
            </w:pPr>
            <w:r w:rsidRPr="00AA5756">
              <w:rPr>
                <w:rFonts w:cstheme="minorHAnsi"/>
                <w:b w:val="0"/>
                <w:color w:val="000000"/>
                <w:sz w:val="20"/>
                <w:szCs w:val="20"/>
                <w:lang w:val="en-GB"/>
              </w:rPr>
              <w:t>1995</w:t>
            </w:r>
          </w:p>
        </w:tc>
        <w:tc>
          <w:tcPr>
            <w:tcW w:w="803" w:type="dxa"/>
          </w:tcPr>
          <w:p w:rsidR="005E0D4E" w:rsidRPr="00AA5756" w:rsidRDefault="005E0D4E" w:rsidP="00E4643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sz w:val="20"/>
                <w:szCs w:val="20"/>
                <w:lang w:val="en-GB"/>
              </w:rPr>
            </w:pPr>
            <w:r w:rsidRPr="00AA5756">
              <w:rPr>
                <w:rFonts w:cstheme="minorHAnsi"/>
                <w:b w:val="0"/>
                <w:color w:val="000000"/>
                <w:sz w:val="20"/>
                <w:szCs w:val="20"/>
                <w:lang w:val="en-GB"/>
              </w:rPr>
              <w:t>2000</w:t>
            </w:r>
          </w:p>
        </w:tc>
        <w:tc>
          <w:tcPr>
            <w:tcW w:w="804" w:type="dxa"/>
          </w:tcPr>
          <w:p w:rsidR="005E0D4E" w:rsidRPr="00AA5756" w:rsidRDefault="005E0D4E" w:rsidP="00E4643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sz w:val="20"/>
                <w:szCs w:val="20"/>
                <w:lang w:val="en-GB"/>
              </w:rPr>
            </w:pPr>
            <w:r w:rsidRPr="00AA5756">
              <w:rPr>
                <w:rFonts w:cstheme="minorHAnsi"/>
                <w:b w:val="0"/>
                <w:color w:val="000000"/>
                <w:sz w:val="20"/>
                <w:szCs w:val="20"/>
                <w:lang w:val="en-GB"/>
              </w:rPr>
              <w:t>2005</w:t>
            </w:r>
          </w:p>
        </w:tc>
        <w:tc>
          <w:tcPr>
            <w:tcW w:w="804" w:type="dxa"/>
          </w:tcPr>
          <w:p w:rsidR="005E0D4E" w:rsidRPr="00AA5756" w:rsidRDefault="005E0D4E" w:rsidP="00E4643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sz w:val="20"/>
                <w:szCs w:val="20"/>
                <w:lang w:val="en-GB"/>
              </w:rPr>
            </w:pPr>
            <w:r w:rsidRPr="00AA5756">
              <w:rPr>
                <w:rFonts w:cstheme="minorHAnsi"/>
                <w:b w:val="0"/>
                <w:color w:val="000000"/>
                <w:sz w:val="20"/>
                <w:szCs w:val="20"/>
                <w:lang w:val="en-GB"/>
              </w:rPr>
              <w:t>2010</w:t>
            </w:r>
          </w:p>
        </w:tc>
      </w:tr>
      <w:tr w:rsidR="00BD5ED6" w:rsidRPr="00AA5756" w:rsidTr="006C5C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3" w:type="dxa"/>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Austria</w:t>
            </w:r>
          </w:p>
        </w:tc>
        <w:tc>
          <w:tcPr>
            <w:tcW w:w="803"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lang w:val="en-GB"/>
              </w:rPr>
            </w:pPr>
            <w:r w:rsidRPr="00AA5756">
              <w:rPr>
                <w:lang w:val="en-GB"/>
              </w:rPr>
              <w:t>̶</w:t>
            </w:r>
          </w:p>
        </w:tc>
        <w:tc>
          <w:tcPr>
            <w:tcW w:w="803" w:type="dxa"/>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19,9</w:t>
            </w:r>
          </w:p>
        </w:tc>
        <w:tc>
          <w:tcPr>
            <w:tcW w:w="803" w:type="dxa"/>
            <w:shd w:val="clear" w:color="auto" w:fill="auto"/>
            <w:noWrap/>
            <w:vAlign w:val="bottom"/>
          </w:tcPr>
          <w:p w:rsidR="00BD5ED6" w:rsidRPr="00AA5756" w:rsidRDefault="000928A5"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hyperlink r:id="rId9" w:tooltip="Click once to display linked information. Click and hold to select this cell." w:history="1">
              <w:r w:rsidR="00BD5ED6" w:rsidRPr="00AA5756">
                <w:rPr>
                  <w:rStyle w:val="Hyperlink"/>
                  <w:rFonts w:cstheme="minorHAnsi"/>
                  <w:color w:val="auto"/>
                  <w:sz w:val="20"/>
                  <w:szCs w:val="20"/>
                  <w:u w:val="none"/>
                  <w:lang w:val="en-GB"/>
                </w:rPr>
                <w:t xml:space="preserve">6,3   </w:t>
              </w:r>
            </w:hyperlink>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19,6</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30,3</w:t>
            </w:r>
          </w:p>
        </w:tc>
      </w:tr>
      <w:tr w:rsidR="00BD5ED6" w:rsidRPr="00AA5756" w:rsidTr="006C5C6F">
        <w:trPr>
          <w:trHeight w:val="300"/>
        </w:trPr>
        <w:tc>
          <w:tcPr>
            <w:cnfStyle w:val="001000000000" w:firstRow="0" w:lastRow="0" w:firstColumn="1" w:lastColumn="0" w:oddVBand="0" w:evenVBand="0" w:oddHBand="0" w:evenHBand="0" w:firstRowFirstColumn="0" w:firstRowLastColumn="0" w:lastRowFirstColumn="0" w:lastRowLastColumn="0"/>
            <w:tcW w:w="2093" w:type="dxa"/>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Belgium</w:t>
            </w:r>
          </w:p>
        </w:tc>
        <w:tc>
          <w:tcPr>
            <w:tcW w:w="803" w:type="dxa"/>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lang w:val="en-GB"/>
              </w:rPr>
            </w:pPr>
            <w:r w:rsidRPr="00AA5756">
              <w:rPr>
                <w:lang w:val="en-GB"/>
              </w:rPr>
              <w:t>̶</w:t>
            </w:r>
          </w:p>
        </w:tc>
        <w:tc>
          <w:tcPr>
            <w:tcW w:w="803" w:type="dxa"/>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25,9</w:t>
            </w:r>
          </w:p>
        </w:tc>
        <w:tc>
          <w:tcPr>
            <w:tcW w:w="803"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18,9</w:t>
            </w:r>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18,3</w:t>
            </w:r>
          </w:p>
        </w:tc>
        <w:tc>
          <w:tcPr>
            <w:tcW w:w="803"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18,1</w:t>
            </w:r>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23,1</w:t>
            </w:r>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26,2</w:t>
            </w:r>
          </w:p>
        </w:tc>
      </w:tr>
      <w:tr w:rsidR="00BD5ED6" w:rsidRPr="00AA5756" w:rsidTr="006C5C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3" w:type="dxa"/>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France</w:t>
            </w:r>
          </w:p>
        </w:tc>
        <w:tc>
          <w:tcPr>
            <w:tcW w:w="803" w:type="dxa"/>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66,6</w:t>
            </w:r>
          </w:p>
        </w:tc>
        <w:tc>
          <w:tcPr>
            <w:tcW w:w="803"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45,0</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29,4</w:t>
            </w:r>
          </w:p>
        </w:tc>
        <w:tc>
          <w:tcPr>
            <w:tcW w:w="803"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16,0</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10,9</w:t>
            </w:r>
          </w:p>
        </w:tc>
        <w:tc>
          <w:tcPr>
            <w:tcW w:w="803"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10,6</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14,8</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19,1</w:t>
            </w:r>
          </w:p>
        </w:tc>
      </w:tr>
      <w:tr w:rsidR="00BD5ED6" w:rsidRPr="00AA5756" w:rsidTr="006C5C6F">
        <w:trPr>
          <w:trHeight w:val="300"/>
        </w:trPr>
        <w:tc>
          <w:tcPr>
            <w:cnfStyle w:val="001000000000" w:firstRow="0" w:lastRow="0" w:firstColumn="1" w:lastColumn="0" w:oddVBand="0" w:evenVBand="0" w:oddHBand="0" w:evenHBand="0" w:firstRowFirstColumn="0" w:firstRowLastColumn="0" w:lastRowFirstColumn="0" w:lastRowLastColumn="0"/>
            <w:tcW w:w="2093" w:type="dxa"/>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Germany</w:t>
            </w:r>
          </w:p>
        </w:tc>
        <w:tc>
          <w:tcPr>
            <w:tcW w:w="803" w:type="dxa"/>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70,1</w:t>
            </w:r>
          </w:p>
        </w:tc>
        <w:tc>
          <w:tcPr>
            <w:tcW w:w="803"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41,4</w:t>
            </w:r>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31,7</w:t>
            </w:r>
          </w:p>
        </w:tc>
        <w:tc>
          <w:tcPr>
            <w:tcW w:w="803"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31,9</w:t>
            </w:r>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26,3</w:t>
            </w:r>
          </w:p>
        </w:tc>
        <w:tc>
          <w:tcPr>
            <w:tcW w:w="803"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27,7</w:t>
            </w:r>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35,9</w:t>
            </w:r>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49,3</w:t>
            </w:r>
          </w:p>
        </w:tc>
      </w:tr>
      <w:tr w:rsidR="00BD5ED6" w:rsidRPr="00AA5756" w:rsidTr="006C5C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3" w:type="dxa"/>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Luxembourg</w:t>
            </w:r>
          </w:p>
        </w:tc>
        <w:tc>
          <w:tcPr>
            <w:tcW w:w="803" w:type="dxa"/>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18,6</w:t>
            </w:r>
          </w:p>
        </w:tc>
        <w:tc>
          <w:tcPr>
            <w:tcW w:w="803"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22,8</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14,8</w:t>
            </w:r>
          </w:p>
        </w:tc>
        <w:tc>
          <w:tcPr>
            <w:tcW w:w="803"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16,5</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14,4</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25,9</w:t>
            </w:r>
          </w:p>
        </w:tc>
      </w:tr>
      <w:tr w:rsidR="00BD5ED6" w:rsidRPr="00AA5756" w:rsidTr="006C5C6F">
        <w:trPr>
          <w:trHeight w:val="300"/>
        </w:trPr>
        <w:tc>
          <w:tcPr>
            <w:cnfStyle w:val="001000000000" w:firstRow="0" w:lastRow="0" w:firstColumn="1" w:lastColumn="0" w:oddVBand="0" w:evenVBand="0" w:oddHBand="0" w:evenHBand="0" w:firstRowFirstColumn="0" w:firstRowLastColumn="0" w:lastRowFirstColumn="0" w:lastRowLastColumn="0"/>
            <w:tcW w:w="2093" w:type="dxa"/>
            <w:tcBorders>
              <w:bottom w:val="single" w:sz="4" w:space="0" w:color="auto"/>
            </w:tcBorders>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Netherlands</w:t>
            </w:r>
          </w:p>
        </w:tc>
        <w:tc>
          <w:tcPr>
            <w:tcW w:w="803" w:type="dxa"/>
            <w:tcBorders>
              <w:bottom w:val="single" w:sz="4" w:space="0" w:color="auto"/>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bottom w:val="single" w:sz="4" w:space="0" w:color="auto"/>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46,3</w:t>
            </w:r>
          </w:p>
        </w:tc>
        <w:tc>
          <w:tcPr>
            <w:tcW w:w="804" w:type="dxa"/>
            <w:tcBorders>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26,7</w:t>
            </w:r>
          </w:p>
        </w:tc>
        <w:tc>
          <w:tcPr>
            <w:tcW w:w="803" w:type="dxa"/>
            <w:tcBorders>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22,7</w:t>
            </w:r>
          </w:p>
        </w:tc>
        <w:tc>
          <w:tcPr>
            <w:tcW w:w="804" w:type="dxa"/>
            <w:tcBorders>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20,5</w:t>
            </w:r>
          </w:p>
        </w:tc>
        <w:tc>
          <w:tcPr>
            <w:tcW w:w="803" w:type="dxa"/>
            <w:tcBorders>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26,7</w:t>
            </w:r>
          </w:p>
        </w:tc>
        <w:tc>
          <w:tcPr>
            <w:tcW w:w="804" w:type="dxa"/>
            <w:tcBorders>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31,6</w:t>
            </w:r>
          </w:p>
        </w:tc>
        <w:tc>
          <w:tcPr>
            <w:tcW w:w="804" w:type="dxa"/>
            <w:tcBorders>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48,1</w:t>
            </w:r>
          </w:p>
        </w:tc>
      </w:tr>
      <w:tr w:rsidR="00BD5ED6" w:rsidRPr="00AA5756" w:rsidTr="006C5C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bottom w:val="single" w:sz="4" w:space="0" w:color="auto"/>
            </w:tcBorders>
            <w:shd w:val="clear" w:color="auto" w:fill="auto"/>
            <w:noWrap/>
            <w:vAlign w:val="bottom"/>
          </w:tcPr>
          <w:p w:rsidR="00BD5ED6" w:rsidRPr="00AA5756" w:rsidRDefault="00BD5ED6" w:rsidP="00E4643A">
            <w:pPr>
              <w:rPr>
                <w:rFonts w:cstheme="minorHAnsi"/>
                <w:color w:val="000000"/>
                <w:sz w:val="20"/>
                <w:szCs w:val="20"/>
                <w:lang w:val="en-GB"/>
              </w:rPr>
            </w:pPr>
            <w:r w:rsidRPr="00AA5756">
              <w:rPr>
                <w:rFonts w:cstheme="minorHAnsi"/>
                <w:bCs w:val="0"/>
                <w:color w:val="000000"/>
                <w:sz w:val="20"/>
                <w:szCs w:val="20"/>
                <w:lang w:val="en-GB"/>
              </w:rPr>
              <w:t>Central European</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(68,3)</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(44,3)</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(26,4)</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(22,5)</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18,2</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19,9</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24,0</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lang w:val="en-GB"/>
              </w:rPr>
            </w:pPr>
            <w:r w:rsidRPr="00AA5756">
              <w:rPr>
                <w:rFonts w:ascii="Arial" w:hAnsi="Arial" w:cs="Arial"/>
                <w:b/>
                <w:sz w:val="16"/>
                <w:szCs w:val="16"/>
                <w:lang w:val="en-GB"/>
              </w:rPr>
              <w:t>33,7</w:t>
            </w:r>
          </w:p>
        </w:tc>
      </w:tr>
      <w:tr w:rsidR="00BD5ED6" w:rsidRPr="00AA5756" w:rsidTr="006C5C6F">
        <w:trPr>
          <w:trHeight w:val="300"/>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tcBorders>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Denmark</w:t>
            </w:r>
          </w:p>
        </w:tc>
        <w:tc>
          <w:tcPr>
            <w:tcW w:w="803" w:type="dxa"/>
            <w:tcBorders>
              <w:top w:val="single" w:sz="4" w:space="0" w:color="auto"/>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single" w:sz="4" w:space="0" w:color="auto"/>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top w:val="single" w:sz="4" w:space="0" w:color="auto"/>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45,5</w:t>
            </w:r>
          </w:p>
        </w:tc>
        <w:tc>
          <w:tcPr>
            <w:tcW w:w="803" w:type="dxa"/>
            <w:tcBorders>
              <w:top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48,8</w:t>
            </w:r>
          </w:p>
        </w:tc>
        <w:tc>
          <w:tcPr>
            <w:tcW w:w="804" w:type="dxa"/>
            <w:tcBorders>
              <w:top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47,5</w:t>
            </w:r>
          </w:p>
        </w:tc>
        <w:tc>
          <w:tcPr>
            <w:tcW w:w="803" w:type="dxa"/>
            <w:tcBorders>
              <w:top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37,8</w:t>
            </w:r>
          </w:p>
        </w:tc>
        <w:tc>
          <w:tcPr>
            <w:tcW w:w="804" w:type="dxa"/>
            <w:tcBorders>
              <w:top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46,3</w:t>
            </w:r>
          </w:p>
        </w:tc>
        <w:tc>
          <w:tcPr>
            <w:tcW w:w="804" w:type="dxa"/>
            <w:tcBorders>
              <w:top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47,6</w:t>
            </w:r>
          </w:p>
        </w:tc>
      </w:tr>
      <w:tr w:rsidR="00BD5ED6" w:rsidRPr="00AA5756" w:rsidTr="006C5C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3" w:type="dxa"/>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Finland</w:t>
            </w:r>
          </w:p>
        </w:tc>
        <w:tc>
          <w:tcPr>
            <w:tcW w:w="803" w:type="dxa"/>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65,0</w:t>
            </w:r>
          </w:p>
        </w:tc>
        <w:tc>
          <w:tcPr>
            <w:tcW w:w="803"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41,4</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35,6</w:t>
            </w:r>
          </w:p>
        </w:tc>
        <w:tc>
          <w:tcPr>
            <w:tcW w:w="803"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29,9</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21,7</w:t>
            </w:r>
          </w:p>
        </w:tc>
        <w:tc>
          <w:tcPr>
            <w:tcW w:w="803"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26,8</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35,6</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41,9</w:t>
            </w:r>
          </w:p>
        </w:tc>
      </w:tr>
      <w:tr w:rsidR="00BD5ED6" w:rsidRPr="00AA5756" w:rsidTr="006C5C6F">
        <w:trPr>
          <w:trHeight w:val="300"/>
        </w:trPr>
        <w:tc>
          <w:tcPr>
            <w:cnfStyle w:val="001000000000" w:firstRow="0" w:lastRow="0" w:firstColumn="1" w:lastColumn="0" w:oddVBand="0" w:evenVBand="0" w:oddHBand="0" w:evenHBand="0" w:firstRowFirstColumn="0" w:firstRowLastColumn="0" w:lastRowFirstColumn="0" w:lastRowLastColumn="0"/>
            <w:tcW w:w="2093" w:type="dxa"/>
            <w:tcBorders>
              <w:bottom w:val="nil"/>
            </w:tcBorders>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Sweden</w:t>
            </w:r>
          </w:p>
        </w:tc>
        <w:tc>
          <w:tcPr>
            <w:tcW w:w="803" w:type="dxa"/>
            <w:tcBorders>
              <w:bottom w:val="nil"/>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78,0</w:t>
            </w:r>
          </w:p>
        </w:tc>
        <w:tc>
          <w:tcPr>
            <w:tcW w:w="803" w:type="dxa"/>
            <w:tcBorders>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67,5</w:t>
            </w:r>
          </w:p>
        </w:tc>
        <w:tc>
          <w:tcPr>
            <w:tcW w:w="804" w:type="dxa"/>
            <w:tcBorders>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62,0</w:t>
            </w:r>
          </w:p>
        </w:tc>
        <w:tc>
          <w:tcPr>
            <w:tcW w:w="803" w:type="dxa"/>
            <w:tcBorders>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62,6</w:t>
            </w:r>
          </w:p>
        </w:tc>
        <w:tc>
          <w:tcPr>
            <w:tcW w:w="804" w:type="dxa"/>
            <w:tcBorders>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51,3</w:t>
            </w:r>
          </w:p>
        </w:tc>
        <w:tc>
          <w:tcPr>
            <w:tcW w:w="803" w:type="dxa"/>
            <w:tcBorders>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51,6</w:t>
            </w:r>
          </w:p>
        </w:tc>
        <w:tc>
          <w:tcPr>
            <w:tcW w:w="804" w:type="dxa"/>
            <w:tcBorders>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61,0</w:t>
            </w:r>
          </w:p>
        </w:tc>
        <w:tc>
          <w:tcPr>
            <w:tcW w:w="804" w:type="dxa"/>
            <w:tcBorders>
              <w:bottom w:val="nil"/>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r>
      <w:tr w:rsidR="00BD5ED6" w:rsidRPr="00AA5756" w:rsidTr="006C5C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3" w:type="dxa"/>
            <w:tcBorders>
              <w:top w:val="nil"/>
              <w:bottom w:val="single" w:sz="4" w:space="0" w:color="auto"/>
            </w:tcBorders>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Norway</w:t>
            </w:r>
          </w:p>
        </w:tc>
        <w:tc>
          <w:tcPr>
            <w:tcW w:w="803" w:type="dxa"/>
            <w:tcBorders>
              <w:top w:val="nil"/>
              <w:bottom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nil"/>
              <w:bottom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top w:val="nil"/>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73,4</w:t>
            </w:r>
          </w:p>
        </w:tc>
        <w:tc>
          <w:tcPr>
            <w:tcW w:w="804" w:type="dxa"/>
            <w:tcBorders>
              <w:top w:val="nil"/>
              <w:bottom w:val="single" w:sz="4" w:space="0" w:color="auto"/>
            </w:tcBorders>
            <w:shd w:val="clear" w:color="auto" w:fill="auto"/>
            <w:noWrap/>
            <w:vAlign w:val="bottom"/>
          </w:tcPr>
          <w:p w:rsidR="00BD5ED6" w:rsidRPr="00AA5756" w:rsidRDefault="000928A5"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hyperlink r:id="rId10" w:tooltip="Click once to display linked information. Click and hold to select this cell." w:history="1">
              <w:r w:rsidR="00BD5ED6" w:rsidRPr="00AA5756">
                <w:rPr>
                  <w:rStyle w:val="Hyperlink"/>
                  <w:rFonts w:cstheme="minorHAnsi"/>
                  <w:color w:val="auto"/>
                  <w:sz w:val="20"/>
                  <w:szCs w:val="20"/>
                  <w:u w:val="none"/>
                  <w:lang w:val="en-GB"/>
                </w:rPr>
                <w:t xml:space="preserve">70,4   </w:t>
              </w:r>
            </w:hyperlink>
          </w:p>
        </w:tc>
        <w:tc>
          <w:tcPr>
            <w:tcW w:w="803" w:type="dxa"/>
            <w:tcBorders>
              <w:top w:val="nil"/>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62,1</w:t>
            </w:r>
          </w:p>
        </w:tc>
        <w:tc>
          <w:tcPr>
            <w:tcW w:w="804" w:type="dxa"/>
            <w:tcBorders>
              <w:top w:val="nil"/>
              <w:bottom w:val="single" w:sz="4" w:space="0" w:color="auto"/>
            </w:tcBorders>
            <w:shd w:val="clear" w:color="auto" w:fill="auto"/>
            <w:noWrap/>
            <w:vAlign w:val="bottom"/>
          </w:tcPr>
          <w:p w:rsidR="00BD5ED6" w:rsidRPr="00AA5756" w:rsidRDefault="000928A5"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hyperlink r:id="rId11" w:tooltip="Click once to display linked information. Click and hold to select this cell." w:history="1">
              <w:r w:rsidR="00BD5ED6" w:rsidRPr="00AA5756">
                <w:rPr>
                  <w:rStyle w:val="Hyperlink"/>
                  <w:rFonts w:cstheme="minorHAnsi"/>
                  <w:color w:val="auto"/>
                  <w:sz w:val="20"/>
                  <w:szCs w:val="20"/>
                  <w:u w:val="none"/>
                  <w:lang w:val="en-GB"/>
                </w:rPr>
                <w:t xml:space="preserve">60,3   </w:t>
              </w:r>
            </w:hyperlink>
          </w:p>
        </w:tc>
        <w:tc>
          <w:tcPr>
            <w:tcW w:w="803" w:type="dxa"/>
            <w:tcBorders>
              <w:top w:val="nil"/>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59,6</w:t>
            </w:r>
          </w:p>
        </w:tc>
        <w:tc>
          <w:tcPr>
            <w:tcW w:w="804" w:type="dxa"/>
            <w:tcBorders>
              <w:top w:val="nil"/>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62,6</w:t>
            </w:r>
          </w:p>
        </w:tc>
        <w:tc>
          <w:tcPr>
            <w:tcW w:w="804" w:type="dxa"/>
            <w:tcBorders>
              <w:top w:val="nil"/>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66,4</w:t>
            </w:r>
          </w:p>
        </w:tc>
      </w:tr>
      <w:tr w:rsidR="00BD5ED6" w:rsidRPr="00AA5756" w:rsidTr="006C5C6F">
        <w:trPr>
          <w:trHeight w:val="300"/>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bottom w:val="single" w:sz="4" w:space="0" w:color="auto"/>
            </w:tcBorders>
            <w:shd w:val="clear" w:color="auto" w:fill="auto"/>
            <w:noWrap/>
            <w:vAlign w:val="bottom"/>
          </w:tcPr>
          <w:p w:rsidR="00BD5ED6" w:rsidRPr="00AA5756" w:rsidRDefault="00BD5ED6" w:rsidP="00E4643A">
            <w:pPr>
              <w:rPr>
                <w:rFonts w:cstheme="minorHAnsi"/>
                <w:color w:val="000000"/>
                <w:sz w:val="20"/>
                <w:szCs w:val="20"/>
                <w:lang w:val="en-GB"/>
              </w:rPr>
            </w:pPr>
            <w:r w:rsidRPr="00AA5756">
              <w:rPr>
                <w:rFonts w:cstheme="minorHAnsi"/>
                <w:bCs w:val="0"/>
                <w:color w:val="000000"/>
                <w:sz w:val="20"/>
                <w:szCs w:val="20"/>
                <w:lang w:val="en-GB"/>
              </w:rPr>
              <w:t>Northern European</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(71,5)</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(60,8)</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53,4</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50,9</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45,2</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43,9</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51,4</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AA5756">
              <w:rPr>
                <w:rFonts w:ascii="Arial" w:hAnsi="Arial" w:cs="Arial"/>
                <w:b/>
                <w:sz w:val="16"/>
                <w:szCs w:val="16"/>
                <w:lang w:val="en-GB"/>
              </w:rPr>
              <w:t>(47,4)</w:t>
            </w:r>
          </w:p>
        </w:tc>
      </w:tr>
      <w:tr w:rsidR="00BD5ED6" w:rsidRPr="00AA5756" w:rsidTr="006C5C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tcBorders>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Ireland</w:t>
            </w:r>
          </w:p>
        </w:tc>
        <w:tc>
          <w:tcPr>
            <w:tcW w:w="803" w:type="dxa"/>
            <w:tcBorders>
              <w:top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top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top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52,0</w:t>
            </w:r>
          </w:p>
        </w:tc>
        <w:tc>
          <w:tcPr>
            <w:tcW w:w="803" w:type="dxa"/>
            <w:tcBorders>
              <w:top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53,2</w:t>
            </w:r>
          </w:p>
        </w:tc>
        <w:tc>
          <w:tcPr>
            <w:tcW w:w="804" w:type="dxa"/>
            <w:tcBorders>
              <w:top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57,2</w:t>
            </w:r>
          </w:p>
        </w:tc>
        <w:tc>
          <w:tcPr>
            <w:tcW w:w="804" w:type="dxa"/>
            <w:tcBorders>
              <w:top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49,5</w:t>
            </w:r>
          </w:p>
        </w:tc>
      </w:tr>
      <w:tr w:rsidR="00BD5ED6" w:rsidRPr="00AA5756" w:rsidTr="006C5C6F">
        <w:trPr>
          <w:trHeight w:val="300"/>
        </w:trPr>
        <w:tc>
          <w:tcPr>
            <w:cnfStyle w:val="001000000000" w:firstRow="0" w:lastRow="0" w:firstColumn="1" w:lastColumn="0" w:oddVBand="0" w:evenVBand="0" w:oddHBand="0" w:evenHBand="0" w:firstRowFirstColumn="0" w:firstRowLastColumn="0" w:lastRowFirstColumn="0" w:lastRowLastColumn="0"/>
            <w:tcW w:w="2093" w:type="dxa"/>
            <w:tcBorders>
              <w:bottom w:val="nil"/>
            </w:tcBorders>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Switzerland</w:t>
            </w:r>
          </w:p>
        </w:tc>
        <w:tc>
          <w:tcPr>
            <w:tcW w:w="803" w:type="dxa"/>
            <w:tcBorders>
              <w:bottom w:val="nil"/>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bottom w:val="nil"/>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bottom w:val="nil"/>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bottom w:val="nil"/>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bottom w:val="nil"/>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67,7</w:t>
            </w:r>
          </w:p>
        </w:tc>
        <w:tc>
          <w:tcPr>
            <w:tcW w:w="803" w:type="dxa"/>
            <w:tcBorders>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61,2</w:t>
            </w:r>
          </w:p>
        </w:tc>
        <w:tc>
          <w:tcPr>
            <w:tcW w:w="804" w:type="dxa"/>
            <w:tcBorders>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62,3</w:t>
            </w:r>
          </w:p>
        </w:tc>
        <w:tc>
          <w:tcPr>
            <w:tcW w:w="804" w:type="dxa"/>
            <w:tcBorders>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67,3</w:t>
            </w:r>
          </w:p>
        </w:tc>
      </w:tr>
      <w:tr w:rsidR="00BD5ED6" w:rsidRPr="00AA5756" w:rsidTr="006C5C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3" w:type="dxa"/>
            <w:tcBorders>
              <w:top w:val="nil"/>
              <w:bottom w:val="nil"/>
            </w:tcBorders>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United Kingdom</w:t>
            </w:r>
          </w:p>
        </w:tc>
        <w:tc>
          <w:tcPr>
            <w:tcW w:w="803" w:type="dxa"/>
            <w:tcBorders>
              <w:top w:val="nil"/>
              <w:bottom w:val="nil"/>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nil"/>
              <w:bottom w:val="nil"/>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top w:val="nil"/>
              <w:bottom w:val="nil"/>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nil"/>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49,8</w:t>
            </w:r>
          </w:p>
        </w:tc>
        <w:tc>
          <w:tcPr>
            <w:tcW w:w="803" w:type="dxa"/>
            <w:tcBorders>
              <w:top w:val="nil"/>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49,4</w:t>
            </w:r>
          </w:p>
        </w:tc>
        <w:tc>
          <w:tcPr>
            <w:tcW w:w="804" w:type="dxa"/>
            <w:tcBorders>
              <w:top w:val="nil"/>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45,1</w:t>
            </w:r>
          </w:p>
        </w:tc>
        <w:tc>
          <w:tcPr>
            <w:tcW w:w="803" w:type="dxa"/>
            <w:tcBorders>
              <w:top w:val="nil"/>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47,3</w:t>
            </w:r>
          </w:p>
        </w:tc>
        <w:tc>
          <w:tcPr>
            <w:tcW w:w="804" w:type="dxa"/>
            <w:tcBorders>
              <w:top w:val="nil"/>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53,7</w:t>
            </w:r>
          </w:p>
        </w:tc>
        <w:tc>
          <w:tcPr>
            <w:tcW w:w="804" w:type="dxa"/>
            <w:tcBorders>
              <w:top w:val="nil"/>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54,2</w:t>
            </w:r>
          </w:p>
        </w:tc>
      </w:tr>
      <w:tr w:rsidR="00BD5ED6" w:rsidRPr="00AA5756" w:rsidTr="006C5C6F">
        <w:trPr>
          <w:trHeight w:val="300"/>
        </w:trPr>
        <w:tc>
          <w:tcPr>
            <w:cnfStyle w:val="001000000000" w:firstRow="0" w:lastRow="0" w:firstColumn="1" w:lastColumn="0" w:oddVBand="0" w:evenVBand="0" w:oddHBand="0" w:evenHBand="0" w:firstRowFirstColumn="0" w:firstRowLastColumn="0" w:lastRowFirstColumn="0" w:lastRowLastColumn="0"/>
            <w:tcW w:w="2093" w:type="dxa"/>
            <w:tcBorders>
              <w:top w:val="nil"/>
              <w:bottom w:val="single" w:sz="4" w:space="0" w:color="auto"/>
            </w:tcBorders>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United States</w:t>
            </w:r>
          </w:p>
        </w:tc>
        <w:tc>
          <w:tcPr>
            <w:tcW w:w="803" w:type="dxa"/>
            <w:tcBorders>
              <w:top w:val="nil"/>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76,6</w:t>
            </w:r>
          </w:p>
        </w:tc>
        <w:tc>
          <w:tcPr>
            <w:tcW w:w="804" w:type="dxa"/>
            <w:tcBorders>
              <w:top w:val="nil"/>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73,1</w:t>
            </w:r>
          </w:p>
        </w:tc>
        <w:tc>
          <w:tcPr>
            <w:tcW w:w="803" w:type="dxa"/>
            <w:tcBorders>
              <w:top w:val="nil"/>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58,7</w:t>
            </w:r>
          </w:p>
        </w:tc>
        <w:tc>
          <w:tcPr>
            <w:tcW w:w="804" w:type="dxa"/>
            <w:tcBorders>
              <w:top w:val="nil"/>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53,2</w:t>
            </w:r>
          </w:p>
        </w:tc>
        <w:tc>
          <w:tcPr>
            <w:tcW w:w="803" w:type="dxa"/>
            <w:tcBorders>
              <w:top w:val="nil"/>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53,6</w:t>
            </w:r>
          </w:p>
        </w:tc>
        <w:tc>
          <w:tcPr>
            <w:tcW w:w="804" w:type="dxa"/>
            <w:tcBorders>
              <w:top w:val="nil"/>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51,3</w:t>
            </w:r>
          </w:p>
        </w:tc>
        <w:tc>
          <w:tcPr>
            <w:tcW w:w="803" w:type="dxa"/>
            <w:tcBorders>
              <w:top w:val="nil"/>
              <w:bottom w:val="single" w:sz="4" w:space="0" w:color="auto"/>
            </w:tcBorders>
            <w:shd w:val="clear" w:color="auto" w:fill="auto"/>
            <w:noWrap/>
            <w:vAlign w:val="bottom"/>
          </w:tcPr>
          <w:p w:rsidR="00BD5ED6" w:rsidRPr="00AA5756" w:rsidRDefault="000928A5"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hyperlink r:id="rId12" w:tooltip="Click once to display linked information. Click and hold to select this cell." w:history="1">
              <w:r w:rsidR="00BD5ED6" w:rsidRPr="00AA5756">
                <w:rPr>
                  <w:rStyle w:val="Hyperlink"/>
                  <w:rFonts w:cstheme="minorHAnsi"/>
                  <w:color w:val="auto"/>
                  <w:sz w:val="20"/>
                  <w:szCs w:val="20"/>
                  <w:u w:val="none"/>
                  <w:lang w:val="en-GB"/>
                </w:rPr>
                <w:t xml:space="preserve">53,5   </w:t>
              </w:r>
            </w:hyperlink>
          </w:p>
        </w:tc>
        <w:tc>
          <w:tcPr>
            <w:tcW w:w="804" w:type="dxa"/>
            <w:tcBorders>
              <w:top w:val="nil"/>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56,2</w:t>
            </w:r>
          </w:p>
        </w:tc>
        <w:tc>
          <w:tcPr>
            <w:tcW w:w="804" w:type="dxa"/>
            <w:tcBorders>
              <w:top w:val="nil"/>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55,1</w:t>
            </w:r>
          </w:p>
        </w:tc>
      </w:tr>
      <w:tr w:rsidR="00BD5ED6" w:rsidRPr="00AA5756" w:rsidTr="006C5C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bottom w:val="single" w:sz="4" w:space="0" w:color="auto"/>
            </w:tcBorders>
            <w:shd w:val="clear" w:color="auto" w:fill="auto"/>
            <w:noWrap/>
            <w:vAlign w:val="bottom"/>
          </w:tcPr>
          <w:p w:rsidR="00BD5ED6" w:rsidRPr="00AA5756" w:rsidRDefault="00BD5ED6" w:rsidP="00E4643A">
            <w:pPr>
              <w:rPr>
                <w:rFonts w:cstheme="minorHAnsi"/>
                <w:color w:val="000000"/>
                <w:sz w:val="20"/>
                <w:szCs w:val="20"/>
                <w:lang w:val="en-GB"/>
              </w:rPr>
            </w:pPr>
            <w:r w:rsidRPr="00AA5756">
              <w:rPr>
                <w:rFonts w:cstheme="minorHAnsi"/>
                <w:bCs w:val="0"/>
                <w:color w:val="000000"/>
                <w:sz w:val="20"/>
                <w:szCs w:val="20"/>
                <w:lang w:val="en-GB"/>
              </w:rPr>
              <w:t>Anglo-Saxon</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(76,6)</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(73,1)</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6C5C6F">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(58,7)</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(51,5)</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(51,5)</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54,0</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53,8</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57,4</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lang w:val="en-GB"/>
              </w:rPr>
            </w:pPr>
            <w:r w:rsidRPr="00AA5756">
              <w:rPr>
                <w:rFonts w:ascii="Arial" w:hAnsi="Arial" w:cs="Arial"/>
                <w:b/>
                <w:sz w:val="16"/>
                <w:szCs w:val="16"/>
                <w:lang w:val="en-GB"/>
              </w:rPr>
              <w:t>56,5</w:t>
            </w:r>
          </w:p>
        </w:tc>
      </w:tr>
      <w:tr w:rsidR="00BD5ED6" w:rsidRPr="00AA5756" w:rsidTr="006C5C6F">
        <w:trPr>
          <w:trHeight w:val="300"/>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bottom w:val="nil"/>
            </w:tcBorders>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Greece</w:t>
            </w:r>
          </w:p>
        </w:tc>
        <w:tc>
          <w:tcPr>
            <w:tcW w:w="803" w:type="dxa"/>
            <w:tcBorders>
              <w:top w:val="single" w:sz="4" w:space="0" w:color="auto"/>
              <w:bottom w:val="nil"/>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single" w:sz="4" w:space="0" w:color="auto"/>
              <w:bottom w:val="nil"/>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top w:val="single" w:sz="4" w:space="0" w:color="auto"/>
              <w:bottom w:val="nil"/>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single" w:sz="4" w:space="0" w:color="auto"/>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53,6</w:t>
            </w:r>
          </w:p>
        </w:tc>
        <w:tc>
          <w:tcPr>
            <w:tcW w:w="803" w:type="dxa"/>
            <w:tcBorders>
              <w:top w:val="single" w:sz="4" w:space="0" w:color="auto"/>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45,5</w:t>
            </w:r>
          </w:p>
        </w:tc>
        <w:tc>
          <w:tcPr>
            <w:tcW w:w="804" w:type="dxa"/>
            <w:tcBorders>
              <w:top w:val="single" w:sz="4" w:space="0" w:color="auto"/>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46,1</w:t>
            </w:r>
          </w:p>
        </w:tc>
        <w:tc>
          <w:tcPr>
            <w:tcW w:w="803" w:type="dxa"/>
            <w:tcBorders>
              <w:top w:val="single" w:sz="4" w:space="0" w:color="auto"/>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43,9</w:t>
            </w:r>
          </w:p>
        </w:tc>
        <w:tc>
          <w:tcPr>
            <w:tcW w:w="804" w:type="dxa"/>
            <w:tcBorders>
              <w:top w:val="single" w:sz="4" w:space="0" w:color="auto"/>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43,9</w:t>
            </w:r>
          </w:p>
        </w:tc>
        <w:tc>
          <w:tcPr>
            <w:tcW w:w="804" w:type="dxa"/>
            <w:tcBorders>
              <w:top w:val="single" w:sz="4" w:space="0" w:color="auto"/>
              <w:bottom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42,0</w:t>
            </w:r>
          </w:p>
        </w:tc>
      </w:tr>
      <w:tr w:rsidR="00BD5ED6" w:rsidRPr="00AA5756" w:rsidTr="006C5C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3" w:type="dxa"/>
            <w:tcBorders>
              <w:top w:val="nil"/>
              <w:bottom w:val="nil"/>
            </w:tcBorders>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Italy</w:t>
            </w:r>
          </w:p>
        </w:tc>
        <w:tc>
          <w:tcPr>
            <w:tcW w:w="803" w:type="dxa"/>
            <w:tcBorders>
              <w:top w:val="nil"/>
              <w:bottom w:val="nil"/>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nil"/>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47,8</w:t>
            </w:r>
          </w:p>
        </w:tc>
        <w:tc>
          <w:tcPr>
            <w:tcW w:w="803" w:type="dxa"/>
            <w:tcBorders>
              <w:top w:val="nil"/>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39,0</w:t>
            </w:r>
          </w:p>
        </w:tc>
        <w:tc>
          <w:tcPr>
            <w:tcW w:w="804" w:type="dxa"/>
            <w:tcBorders>
              <w:top w:val="nil"/>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38,2</w:t>
            </w:r>
          </w:p>
        </w:tc>
        <w:tc>
          <w:tcPr>
            <w:tcW w:w="803" w:type="dxa"/>
            <w:tcBorders>
              <w:top w:val="nil"/>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35,4</w:t>
            </w:r>
          </w:p>
        </w:tc>
        <w:tc>
          <w:tcPr>
            <w:tcW w:w="804" w:type="dxa"/>
            <w:tcBorders>
              <w:top w:val="nil"/>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30,3</w:t>
            </w:r>
          </w:p>
        </w:tc>
        <w:tc>
          <w:tcPr>
            <w:tcW w:w="803" w:type="dxa"/>
            <w:tcBorders>
              <w:top w:val="nil"/>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30,0</w:t>
            </w:r>
          </w:p>
        </w:tc>
        <w:tc>
          <w:tcPr>
            <w:tcW w:w="804" w:type="dxa"/>
            <w:tcBorders>
              <w:top w:val="nil"/>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27,6</w:t>
            </w:r>
          </w:p>
        </w:tc>
        <w:tc>
          <w:tcPr>
            <w:tcW w:w="804" w:type="dxa"/>
            <w:tcBorders>
              <w:top w:val="nil"/>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29,6</w:t>
            </w:r>
          </w:p>
        </w:tc>
      </w:tr>
      <w:tr w:rsidR="00BD5ED6" w:rsidRPr="00AA5756" w:rsidTr="006C5C6F">
        <w:trPr>
          <w:trHeight w:val="300"/>
        </w:trPr>
        <w:tc>
          <w:tcPr>
            <w:cnfStyle w:val="001000000000" w:firstRow="0" w:lastRow="0" w:firstColumn="1" w:lastColumn="0" w:oddVBand="0" w:evenVBand="0" w:oddHBand="0" w:evenHBand="0" w:firstRowFirstColumn="0" w:firstRowLastColumn="0" w:lastRowFirstColumn="0" w:lastRowLastColumn="0"/>
            <w:tcW w:w="2093" w:type="dxa"/>
            <w:tcBorders>
              <w:top w:val="nil"/>
            </w:tcBorders>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Portugal</w:t>
            </w:r>
          </w:p>
        </w:tc>
        <w:tc>
          <w:tcPr>
            <w:tcW w:w="803" w:type="dxa"/>
            <w:tcBorders>
              <w:top w:val="nil"/>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nil"/>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top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65,7</w:t>
            </w:r>
          </w:p>
        </w:tc>
        <w:tc>
          <w:tcPr>
            <w:tcW w:w="804" w:type="dxa"/>
            <w:tcBorders>
              <w:top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57,2</w:t>
            </w:r>
          </w:p>
        </w:tc>
        <w:tc>
          <w:tcPr>
            <w:tcW w:w="803" w:type="dxa"/>
            <w:tcBorders>
              <w:top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55,9</w:t>
            </w:r>
          </w:p>
        </w:tc>
        <w:tc>
          <w:tcPr>
            <w:tcW w:w="804" w:type="dxa"/>
            <w:tcBorders>
              <w:top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49,4</w:t>
            </w:r>
          </w:p>
        </w:tc>
        <w:tc>
          <w:tcPr>
            <w:tcW w:w="803" w:type="dxa"/>
            <w:tcBorders>
              <w:top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53,4</w:t>
            </w:r>
          </w:p>
        </w:tc>
        <w:tc>
          <w:tcPr>
            <w:tcW w:w="804" w:type="dxa"/>
            <w:tcBorders>
              <w:top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47,4</w:t>
            </w:r>
          </w:p>
        </w:tc>
        <w:tc>
          <w:tcPr>
            <w:tcW w:w="804" w:type="dxa"/>
            <w:tcBorders>
              <w:top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45,5</w:t>
            </w:r>
          </w:p>
        </w:tc>
      </w:tr>
      <w:tr w:rsidR="00BD5ED6" w:rsidRPr="00AA5756" w:rsidTr="006C5C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3" w:type="dxa"/>
            <w:tcBorders>
              <w:bottom w:val="single" w:sz="4" w:space="0" w:color="auto"/>
            </w:tcBorders>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Spain</w:t>
            </w:r>
          </w:p>
        </w:tc>
        <w:tc>
          <w:tcPr>
            <w:tcW w:w="803" w:type="dxa"/>
            <w:tcBorders>
              <w:bottom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bottom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60,5</w:t>
            </w:r>
          </w:p>
        </w:tc>
        <w:tc>
          <w:tcPr>
            <w:tcW w:w="804" w:type="dxa"/>
            <w:tcBorders>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48,2</w:t>
            </w:r>
          </w:p>
        </w:tc>
        <w:tc>
          <w:tcPr>
            <w:tcW w:w="803" w:type="dxa"/>
            <w:tcBorders>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43,6</w:t>
            </w:r>
          </w:p>
        </w:tc>
        <w:tc>
          <w:tcPr>
            <w:tcW w:w="804" w:type="dxa"/>
            <w:tcBorders>
              <w:bottom w:val="single" w:sz="4" w:space="0" w:color="auto"/>
            </w:tcBorders>
            <w:shd w:val="clear" w:color="auto" w:fill="auto"/>
            <w:noWrap/>
            <w:vAlign w:val="bottom"/>
          </w:tcPr>
          <w:p w:rsidR="00BD5ED6" w:rsidRPr="00AA5756" w:rsidRDefault="000928A5"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hyperlink r:id="rId13" w:tooltip="Click once to display linked information. Click and hold to select this cell." w:history="1">
              <w:r w:rsidR="00BD5ED6" w:rsidRPr="00AA5756">
                <w:rPr>
                  <w:rStyle w:val="Hyperlink"/>
                  <w:rFonts w:cstheme="minorHAnsi"/>
                  <w:color w:val="auto"/>
                  <w:sz w:val="20"/>
                  <w:szCs w:val="20"/>
                  <w:u w:val="none"/>
                  <w:lang w:val="en-GB"/>
                </w:rPr>
                <w:t xml:space="preserve">36,7   </w:t>
              </w:r>
            </w:hyperlink>
          </w:p>
        </w:tc>
        <w:tc>
          <w:tcPr>
            <w:tcW w:w="803" w:type="dxa"/>
            <w:tcBorders>
              <w:bottom w:val="single" w:sz="4" w:space="0" w:color="auto"/>
            </w:tcBorders>
            <w:shd w:val="clear" w:color="auto" w:fill="auto"/>
            <w:noWrap/>
            <w:vAlign w:val="bottom"/>
          </w:tcPr>
          <w:p w:rsidR="00BD5ED6" w:rsidRPr="00AA5756" w:rsidRDefault="000928A5"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hyperlink r:id="rId14" w:tooltip="Click once to display linked information. Click and hold to select this cell." w:history="1">
              <w:r w:rsidR="00BD5ED6" w:rsidRPr="00AA5756">
                <w:rPr>
                  <w:rStyle w:val="Hyperlink"/>
                  <w:rFonts w:cstheme="minorHAnsi"/>
                  <w:color w:val="auto"/>
                  <w:sz w:val="20"/>
                  <w:szCs w:val="20"/>
                  <w:u w:val="none"/>
                  <w:lang w:val="en-GB"/>
                </w:rPr>
                <w:t xml:space="preserve"> 40,0   </w:t>
              </w:r>
            </w:hyperlink>
          </w:p>
        </w:tc>
        <w:tc>
          <w:tcPr>
            <w:tcW w:w="804" w:type="dxa"/>
            <w:tcBorders>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46,2</w:t>
            </w:r>
          </w:p>
        </w:tc>
        <w:tc>
          <w:tcPr>
            <w:tcW w:w="804" w:type="dxa"/>
            <w:tcBorders>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40,4</w:t>
            </w:r>
          </w:p>
        </w:tc>
      </w:tr>
      <w:tr w:rsidR="00BD5ED6" w:rsidRPr="00AA5756" w:rsidTr="006C5C6F">
        <w:trPr>
          <w:trHeight w:val="300"/>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bottom w:val="single" w:sz="4" w:space="0" w:color="auto"/>
            </w:tcBorders>
            <w:shd w:val="clear" w:color="auto" w:fill="auto"/>
            <w:noWrap/>
            <w:vAlign w:val="bottom"/>
          </w:tcPr>
          <w:p w:rsidR="00BD5ED6" w:rsidRPr="00AA5756" w:rsidRDefault="00BD5ED6" w:rsidP="00E4643A">
            <w:pPr>
              <w:rPr>
                <w:rFonts w:cstheme="minorHAnsi"/>
                <w:color w:val="000000"/>
                <w:sz w:val="20"/>
                <w:szCs w:val="20"/>
                <w:lang w:val="en-GB"/>
              </w:rPr>
            </w:pPr>
            <w:r w:rsidRPr="00AA5756">
              <w:rPr>
                <w:rFonts w:cstheme="minorHAnsi"/>
                <w:bCs w:val="0"/>
                <w:color w:val="000000"/>
                <w:sz w:val="20"/>
                <w:szCs w:val="20"/>
                <w:lang w:val="en-GB"/>
              </w:rPr>
              <w:t>Southern European</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(47,8)</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(55,1)</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49,3</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45,1</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40,6</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41,8</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41,3</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AA5756">
              <w:rPr>
                <w:rFonts w:ascii="Arial" w:hAnsi="Arial" w:cs="Arial"/>
                <w:b/>
                <w:sz w:val="16"/>
                <w:szCs w:val="16"/>
                <w:lang w:val="en-GB"/>
              </w:rPr>
              <w:t>39,4</w:t>
            </w:r>
          </w:p>
        </w:tc>
      </w:tr>
      <w:tr w:rsidR="00BD5ED6" w:rsidRPr="00AA5756" w:rsidTr="006C5C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bottom w:val="nil"/>
            </w:tcBorders>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Czech Republic</w:t>
            </w:r>
          </w:p>
        </w:tc>
        <w:tc>
          <w:tcPr>
            <w:tcW w:w="803" w:type="dxa"/>
            <w:tcBorders>
              <w:top w:val="single" w:sz="4" w:space="0" w:color="auto"/>
              <w:bottom w:val="nil"/>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single" w:sz="4" w:space="0" w:color="auto"/>
              <w:bottom w:val="nil"/>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top w:val="single" w:sz="4" w:space="0" w:color="auto"/>
              <w:bottom w:val="nil"/>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single" w:sz="4" w:space="0" w:color="auto"/>
              <w:bottom w:val="nil"/>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top w:val="single" w:sz="4" w:space="0" w:color="auto"/>
              <w:bottom w:val="nil"/>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single" w:sz="4" w:space="0" w:color="auto"/>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26,7</w:t>
            </w:r>
          </w:p>
        </w:tc>
        <w:tc>
          <w:tcPr>
            <w:tcW w:w="803" w:type="dxa"/>
            <w:tcBorders>
              <w:top w:val="single" w:sz="4" w:space="0" w:color="auto"/>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23,5</w:t>
            </w:r>
          </w:p>
        </w:tc>
        <w:tc>
          <w:tcPr>
            <w:tcW w:w="804" w:type="dxa"/>
            <w:tcBorders>
              <w:top w:val="single" w:sz="4" w:space="0" w:color="auto"/>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33,8</w:t>
            </w:r>
          </w:p>
        </w:tc>
        <w:tc>
          <w:tcPr>
            <w:tcW w:w="804" w:type="dxa"/>
            <w:tcBorders>
              <w:top w:val="single" w:sz="4" w:space="0" w:color="auto"/>
              <w:bottom w:val="nil"/>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36,6</w:t>
            </w:r>
          </w:p>
        </w:tc>
      </w:tr>
      <w:tr w:rsidR="00BD5ED6" w:rsidRPr="00AA5756" w:rsidTr="006C5C6F">
        <w:trPr>
          <w:trHeight w:val="300"/>
        </w:trPr>
        <w:tc>
          <w:tcPr>
            <w:cnfStyle w:val="001000000000" w:firstRow="0" w:lastRow="0" w:firstColumn="1" w:lastColumn="0" w:oddVBand="0" w:evenVBand="0" w:oddHBand="0" w:evenHBand="0" w:firstRowFirstColumn="0" w:firstRowLastColumn="0" w:lastRowFirstColumn="0" w:lastRowLastColumn="0"/>
            <w:tcW w:w="2093" w:type="dxa"/>
            <w:tcBorders>
              <w:top w:val="nil"/>
            </w:tcBorders>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Estonia</w:t>
            </w:r>
          </w:p>
        </w:tc>
        <w:tc>
          <w:tcPr>
            <w:tcW w:w="803" w:type="dxa"/>
            <w:tcBorders>
              <w:top w:val="nil"/>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nil"/>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top w:val="nil"/>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nil"/>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top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64,8</w:t>
            </w:r>
          </w:p>
        </w:tc>
        <w:tc>
          <w:tcPr>
            <w:tcW w:w="804" w:type="dxa"/>
            <w:tcBorders>
              <w:top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35,8</w:t>
            </w:r>
          </w:p>
        </w:tc>
        <w:tc>
          <w:tcPr>
            <w:tcW w:w="803" w:type="dxa"/>
            <w:tcBorders>
              <w:top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43,4</w:t>
            </w:r>
          </w:p>
        </w:tc>
        <w:tc>
          <w:tcPr>
            <w:tcW w:w="804" w:type="dxa"/>
            <w:tcBorders>
              <w:top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49,3</w:t>
            </w:r>
          </w:p>
        </w:tc>
        <w:tc>
          <w:tcPr>
            <w:tcW w:w="804" w:type="dxa"/>
            <w:tcBorders>
              <w:top w:val="nil"/>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44,1</w:t>
            </w:r>
          </w:p>
        </w:tc>
      </w:tr>
      <w:tr w:rsidR="00BD5ED6" w:rsidRPr="00AA5756" w:rsidTr="006C5C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3" w:type="dxa"/>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Hungary</w:t>
            </w:r>
          </w:p>
        </w:tc>
        <w:tc>
          <w:tcPr>
            <w:tcW w:w="803" w:type="dxa"/>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11,5</w:t>
            </w:r>
          </w:p>
        </w:tc>
        <w:tc>
          <w:tcPr>
            <w:tcW w:w="803"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11,6</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20,9</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16,9</w:t>
            </w:r>
          </w:p>
        </w:tc>
      </w:tr>
      <w:tr w:rsidR="00BD5ED6" w:rsidRPr="00AA5756" w:rsidTr="006C5C6F">
        <w:trPr>
          <w:trHeight w:val="300"/>
        </w:trPr>
        <w:tc>
          <w:tcPr>
            <w:cnfStyle w:val="001000000000" w:firstRow="0" w:lastRow="0" w:firstColumn="1" w:lastColumn="0" w:oddVBand="0" w:evenVBand="0" w:oddHBand="0" w:evenHBand="0" w:firstRowFirstColumn="0" w:firstRowLastColumn="0" w:lastRowFirstColumn="0" w:lastRowLastColumn="0"/>
            <w:tcW w:w="2093" w:type="dxa"/>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Poland</w:t>
            </w:r>
          </w:p>
        </w:tc>
        <w:tc>
          <w:tcPr>
            <w:tcW w:w="803" w:type="dxa"/>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32,0</w:t>
            </w:r>
          </w:p>
        </w:tc>
        <w:tc>
          <w:tcPr>
            <w:tcW w:w="803" w:type="dxa"/>
            <w:shd w:val="clear" w:color="auto" w:fill="auto"/>
            <w:noWrap/>
            <w:vAlign w:val="bottom"/>
          </w:tcPr>
          <w:p w:rsidR="00BD5ED6" w:rsidRPr="00AA5756" w:rsidRDefault="000928A5"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hyperlink r:id="rId15" w:tooltip="Click once to display linked information. Click and hold to select this cell." w:history="1">
              <w:r w:rsidR="00BD5ED6" w:rsidRPr="00AA5756">
                <w:rPr>
                  <w:rStyle w:val="Hyperlink"/>
                  <w:rFonts w:cstheme="minorHAnsi"/>
                  <w:color w:val="auto"/>
                  <w:sz w:val="20"/>
                  <w:szCs w:val="20"/>
                  <w:u w:val="none"/>
                  <w:lang w:val="en-GB"/>
                </w:rPr>
                <w:t xml:space="preserve">27,1   </w:t>
              </w:r>
            </w:hyperlink>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25,6</w:t>
            </w:r>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26,7</w:t>
            </w:r>
          </w:p>
        </w:tc>
      </w:tr>
      <w:tr w:rsidR="00BD5ED6" w:rsidRPr="00AA5756" w:rsidTr="006C5C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3" w:type="dxa"/>
            <w:tcBorders>
              <w:bottom w:val="single" w:sz="4" w:space="0" w:color="auto"/>
            </w:tcBorders>
            <w:shd w:val="clear" w:color="auto" w:fill="auto"/>
            <w:noWrap/>
            <w:vAlign w:val="bottom"/>
          </w:tcPr>
          <w:p w:rsidR="00BD5ED6" w:rsidRPr="00AA5756" w:rsidRDefault="00BD5ED6" w:rsidP="00E4643A">
            <w:pPr>
              <w:rPr>
                <w:rFonts w:cstheme="minorHAnsi"/>
                <w:b w:val="0"/>
                <w:color w:val="000000"/>
                <w:sz w:val="20"/>
                <w:szCs w:val="20"/>
                <w:lang w:val="en-GB"/>
              </w:rPr>
            </w:pPr>
            <w:r w:rsidRPr="00AA5756">
              <w:rPr>
                <w:rFonts w:cstheme="minorHAnsi"/>
                <w:b w:val="0"/>
                <w:color w:val="000000"/>
                <w:sz w:val="20"/>
                <w:szCs w:val="20"/>
                <w:lang w:val="en-GB"/>
              </w:rPr>
              <w:t>Slovenia</w:t>
            </w:r>
          </w:p>
        </w:tc>
        <w:tc>
          <w:tcPr>
            <w:tcW w:w="803" w:type="dxa"/>
            <w:tcBorders>
              <w:bottom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bottom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bottom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bottom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bottom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bottom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bottom w:val="single" w:sz="4" w:space="0" w:color="auto"/>
            </w:tcBorders>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22,5</w:t>
            </w:r>
          </w:p>
        </w:tc>
        <w:tc>
          <w:tcPr>
            <w:tcW w:w="804" w:type="dxa"/>
            <w:tcBorders>
              <w:bottom w:val="single" w:sz="4" w:space="0" w:color="auto"/>
            </w:tcBorders>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n-GB"/>
              </w:rPr>
            </w:pPr>
            <w:r w:rsidRPr="00AA5756">
              <w:rPr>
                <w:rFonts w:ascii="Arial" w:hAnsi="Arial" w:cs="Arial"/>
                <w:sz w:val="16"/>
                <w:szCs w:val="16"/>
                <w:lang w:val="en-GB"/>
              </w:rPr>
              <w:t>26,5</w:t>
            </w:r>
          </w:p>
        </w:tc>
      </w:tr>
      <w:tr w:rsidR="00BD5ED6" w:rsidRPr="00AA5756" w:rsidTr="006C5C6F">
        <w:trPr>
          <w:trHeight w:val="300"/>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bottom w:val="single" w:sz="4" w:space="0" w:color="auto"/>
            </w:tcBorders>
            <w:shd w:val="clear" w:color="auto" w:fill="auto"/>
            <w:noWrap/>
            <w:vAlign w:val="bottom"/>
          </w:tcPr>
          <w:p w:rsidR="00BD5ED6" w:rsidRPr="00AA5756" w:rsidRDefault="00BD5ED6" w:rsidP="00E4643A">
            <w:pPr>
              <w:rPr>
                <w:rFonts w:cstheme="minorHAnsi"/>
                <w:color w:val="000000"/>
                <w:sz w:val="20"/>
                <w:szCs w:val="20"/>
                <w:lang w:val="en-GB"/>
              </w:rPr>
            </w:pPr>
            <w:r w:rsidRPr="00AA5756">
              <w:rPr>
                <w:rFonts w:cstheme="minorHAnsi"/>
                <w:bCs w:val="0"/>
                <w:color w:val="000000"/>
                <w:sz w:val="20"/>
                <w:szCs w:val="20"/>
                <w:lang w:val="en-GB"/>
              </w:rPr>
              <w:t>Eastern European</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BD5ED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(64,8)</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(26,5)</w:t>
            </w:r>
          </w:p>
        </w:tc>
        <w:tc>
          <w:tcPr>
            <w:tcW w:w="803"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(26,4)</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GB"/>
              </w:rPr>
            </w:pPr>
            <w:r w:rsidRPr="00AA5756">
              <w:rPr>
                <w:rFonts w:cstheme="minorHAnsi"/>
                <w:b/>
                <w:bCs/>
                <w:sz w:val="20"/>
                <w:szCs w:val="20"/>
                <w:lang w:val="en-GB"/>
              </w:rPr>
              <w:t>30,4</w:t>
            </w:r>
          </w:p>
        </w:tc>
        <w:tc>
          <w:tcPr>
            <w:tcW w:w="804" w:type="dxa"/>
            <w:tcBorders>
              <w:top w:val="single" w:sz="4" w:space="0" w:color="auto"/>
              <w:bottom w:val="single" w:sz="4" w:space="0" w:color="auto"/>
            </w:tcBorders>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AA5756">
              <w:rPr>
                <w:rFonts w:ascii="Arial" w:hAnsi="Arial" w:cs="Arial"/>
                <w:b/>
                <w:sz w:val="16"/>
                <w:szCs w:val="16"/>
                <w:lang w:val="en-GB"/>
              </w:rPr>
              <w:t>30,2</w:t>
            </w:r>
          </w:p>
        </w:tc>
      </w:tr>
      <w:tr w:rsidR="00BD5ED6" w:rsidRPr="00AA5756" w:rsidTr="006C5C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3" w:type="dxa"/>
            <w:shd w:val="clear" w:color="auto" w:fill="auto"/>
            <w:noWrap/>
            <w:vAlign w:val="bottom"/>
          </w:tcPr>
          <w:p w:rsidR="00BD5ED6" w:rsidRPr="00AA5756" w:rsidRDefault="00BD5ED6" w:rsidP="00E4643A">
            <w:pPr>
              <w:rPr>
                <w:rFonts w:cstheme="minorHAnsi"/>
                <w:b w:val="0"/>
                <w:i/>
                <w:iCs/>
                <w:color w:val="000000"/>
                <w:sz w:val="20"/>
                <w:szCs w:val="20"/>
                <w:lang w:val="en-GB"/>
              </w:rPr>
            </w:pPr>
            <w:r w:rsidRPr="00AA5756">
              <w:rPr>
                <w:rFonts w:cstheme="minorHAnsi"/>
                <w:b w:val="0"/>
                <w:i/>
                <w:iCs/>
                <w:color w:val="000000"/>
                <w:sz w:val="20"/>
                <w:szCs w:val="20"/>
                <w:lang w:val="en-GB"/>
              </w:rPr>
              <w:t>Europe</w:t>
            </w:r>
          </w:p>
        </w:tc>
        <w:tc>
          <w:tcPr>
            <w:tcW w:w="803" w:type="dxa"/>
            <w:shd w:val="clear" w:color="auto" w:fill="auto"/>
            <w:noWrap/>
            <w:vAlign w:val="bottom"/>
          </w:tcPr>
          <w:p w:rsidR="00BD5ED6" w:rsidRPr="00AA5756" w:rsidRDefault="00BD5ED6" w:rsidP="00BD5ED6">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AA5756">
              <w:rPr>
                <w:rFonts w:cstheme="minorHAnsi"/>
                <w:sz w:val="20"/>
                <w:szCs w:val="20"/>
                <w:lang w:val="en-GB"/>
              </w:rPr>
              <w:t>̶</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i/>
                <w:iCs/>
                <w:sz w:val="20"/>
                <w:szCs w:val="20"/>
                <w:lang w:val="en-GB"/>
              </w:rPr>
            </w:pPr>
            <w:r w:rsidRPr="00AA5756">
              <w:rPr>
                <w:rFonts w:cstheme="minorHAnsi"/>
                <w:i/>
                <w:iCs/>
                <w:sz w:val="20"/>
                <w:szCs w:val="20"/>
                <w:lang w:val="en-GB"/>
              </w:rPr>
              <w:t>60,3</w:t>
            </w:r>
          </w:p>
        </w:tc>
        <w:tc>
          <w:tcPr>
            <w:tcW w:w="803"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i/>
                <w:iCs/>
                <w:sz w:val="20"/>
                <w:szCs w:val="20"/>
                <w:lang w:val="en-GB"/>
              </w:rPr>
            </w:pPr>
            <w:r w:rsidRPr="00AA5756">
              <w:rPr>
                <w:rFonts w:cstheme="minorHAnsi"/>
                <w:i/>
                <w:iCs/>
                <w:sz w:val="20"/>
                <w:szCs w:val="20"/>
                <w:lang w:val="en-GB"/>
              </w:rPr>
              <w:t>48,1</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i/>
                <w:iCs/>
                <w:sz w:val="20"/>
                <w:szCs w:val="20"/>
                <w:lang w:val="en-GB"/>
              </w:rPr>
            </w:pPr>
            <w:r w:rsidRPr="00AA5756">
              <w:rPr>
                <w:rFonts w:cstheme="minorHAnsi"/>
                <w:i/>
                <w:iCs/>
                <w:sz w:val="20"/>
                <w:szCs w:val="20"/>
                <w:lang w:val="en-GB"/>
              </w:rPr>
              <w:t>40,1</w:t>
            </w:r>
          </w:p>
        </w:tc>
        <w:tc>
          <w:tcPr>
            <w:tcW w:w="803"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i/>
                <w:iCs/>
                <w:sz w:val="20"/>
                <w:szCs w:val="20"/>
                <w:lang w:val="en-GB"/>
              </w:rPr>
            </w:pPr>
            <w:r w:rsidRPr="00AA5756">
              <w:rPr>
                <w:rFonts w:cstheme="minorHAnsi"/>
                <w:i/>
                <w:iCs/>
                <w:sz w:val="20"/>
                <w:szCs w:val="20"/>
                <w:lang w:val="en-GB"/>
              </w:rPr>
              <w:t>37,6</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i/>
                <w:iCs/>
                <w:sz w:val="20"/>
                <w:szCs w:val="20"/>
                <w:lang w:val="en-GB"/>
              </w:rPr>
            </w:pPr>
            <w:r w:rsidRPr="00AA5756">
              <w:rPr>
                <w:rFonts w:cstheme="minorHAnsi"/>
                <w:i/>
                <w:iCs/>
                <w:sz w:val="20"/>
                <w:szCs w:val="20"/>
                <w:lang w:val="en-GB"/>
              </w:rPr>
              <w:t>32,2</w:t>
            </w:r>
          </w:p>
        </w:tc>
        <w:tc>
          <w:tcPr>
            <w:tcW w:w="803"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i/>
                <w:iCs/>
                <w:sz w:val="20"/>
                <w:szCs w:val="20"/>
                <w:lang w:val="en-GB"/>
              </w:rPr>
            </w:pPr>
            <w:r w:rsidRPr="00AA5756">
              <w:rPr>
                <w:rFonts w:cstheme="minorHAnsi"/>
                <w:i/>
                <w:iCs/>
                <w:sz w:val="20"/>
                <w:szCs w:val="20"/>
                <w:lang w:val="en-GB"/>
              </w:rPr>
              <w:t>32,1</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cstheme="minorHAnsi"/>
                <w:i/>
                <w:iCs/>
                <w:sz w:val="20"/>
                <w:szCs w:val="20"/>
                <w:lang w:val="en-GB"/>
              </w:rPr>
            </w:pPr>
            <w:r w:rsidRPr="00AA5756">
              <w:rPr>
                <w:rFonts w:cstheme="minorHAnsi"/>
                <w:i/>
                <w:iCs/>
                <w:sz w:val="20"/>
                <w:szCs w:val="20"/>
                <w:lang w:val="en-GB"/>
              </w:rPr>
              <w:t>35,9</w:t>
            </w:r>
          </w:p>
        </w:tc>
        <w:tc>
          <w:tcPr>
            <w:tcW w:w="804" w:type="dxa"/>
            <w:shd w:val="clear" w:color="auto" w:fill="auto"/>
            <w:noWrap/>
            <w:vAlign w:val="bottom"/>
          </w:tcPr>
          <w:p w:rsidR="00BD5ED6" w:rsidRPr="00AA5756" w:rsidRDefault="00BD5ED6" w:rsidP="00E4643A">
            <w:pPr>
              <w:jc w:val="center"/>
              <w:cnfStyle w:val="000000100000" w:firstRow="0" w:lastRow="0" w:firstColumn="0" w:lastColumn="0" w:oddVBand="0" w:evenVBand="0" w:oddHBand="1" w:evenHBand="0" w:firstRowFirstColumn="0" w:firstRowLastColumn="0" w:lastRowFirstColumn="0" w:lastRowLastColumn="0"/>
              <w:rPr>
                <w:rFonts w:ascii="Arial" w:hAnsi="Arial" w:cs="Arial"/>
                <w:i/>
                <w:sz w:val="16"/>
                <w:szCs w:val="16"/>
                <w:lang w:val="en-GB"/>
              </w:rPr>
            </w:pPr>
            <w:r w:rsidRPr="00AA5756">
              <w:rPr>
                <w:rFonts w:ascii="Arial" w:hAnsi="Arial" w:cs="Arial"/>
                <w:i/>
                <w:sz w:val="16"/>
                <w:szCs w:val="16"/>
                <w:lang w:val="en-GB"/>
              </w:rPr>
              <w:t>38,9</w:t>
            </w:r>
          </w:p>
        </w:tc>
      </w:tr>
      <w:tr w:rsidR="00BD5ED6" w:rsidRPr="00AA5756" w:rsidTr="006C5C6F">
        <w:trPr>
          <w:trHeight w:val="300"/>
        </w:trPr>
        <w:tc>
          <w:tcPr>
            <w:cnfStyle w:val="001000000000" w:firstRow="0" w:lastRow="0" w:firstColumn="1" w:lastColumn="0" w:oddVBand="0" w:evenVBand="0" w:oddHBand="0" w:evenHBand="0" w:firstRowFirstColumn="0" w:firstRowLastColumn="0" w:lastRowFirstColumn="0" w:lastRowLastColumn="0"/>
            <w:tcW w:w="2093" w:type="dxa"/>
            <w:shd w:val="clear" w:color="auto" w:fill="auto"/>
            <w:noWrap/>
            <w:vAlign w:val="bottom"/>
          </w:tcPr>
          <w:p w:rsidR="00BD5ED6" w:rsidRPr="00AA5756" w:rsidRDefault="00BD5ED6" w:rsidP="00E4643A">
            <w:pPr>
              <w:rPr>
                <w:rFonts w:cstheme="minorHAnsi"/>
                <w:b w:val="0"/>
                <w:i/>
                <w:iCs/>
                <w:color w:val="000000"/>
                <w:sz w:val="20"/>
                <w:szCs w:val="20"/>
                <w:lang w:val="en-GB"/>
              </w:rPr>
            </w:pPr>
            <w:r w:rsidRPr="00AA5756">
              <w:rPr>
                <w:rFonts w:cstheme="minorHAnsi"/>
                <w:b w:val="0"/>
                <w:i/>
                <w:iCs/>
                <w:color w:val="000000"/>
                <w:sz w:val="20"/>
                <w:szCs w:val="20"/>
                <w:lang w:val="en-GB"/>
              </w:rPr>
              <w:t>OECD countries</w:t>
            </w:r>
          </w:p>
        </w:tc>
        <w:tc>
          <w:tcPr>
            <w:tcW w:w="803"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i/>
                <w:iCs/>
                <w:sz w:val="20"/>
                <w:szCs w:val="20"/>
                <w:lang w:val="en-GB"/>
              </w:rPr>
            </w:pPr>
            <w:r w:rsidRPr="00AA5756">
              <w:rPr>
                <w:rFonts w:cstheme="minorHAnsi"/>
                <w:i/>
                <w:iCs/>
                <w:sz w:val="20"/>
                <w:szCs w:val="20"/>
                <w:lang w:val="en-GB"/>
              </w:rPr>
              <w:t>50,4</w:t>
            </w:r>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i/>
                <w:iCs/>
                <w:sz w:val="20"/>
                <w:szCs w:val="20"/>
                <w:lang w:val="en-GB"/>
              </w:rPr>
            </w:pPr>
            <w:r w:rsidRPr="00AA5756">
              <w:rPr>
                <w:rFonts w:cstheme="minorHAnsi"/>
                <w:i/>
                <w:iCs/>
                <w:sz w:val="20"/>
                <w:szCs w:val="20"/>
                <w:lang w:val="en-GB"/>
              </w:rPr>
              <w:t>66,9</w:t>
            </w:r>
          </w:p>
        </w:tc>
        <w:tc>
          <w:tcPr>
            <w:tcW w:w="803"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i/>
                <w:iCs/>
                <w:sz w:val="20"/>
                <w:szCs w:val="20"/>
                <w:lang w:val="en-GB"/>
              </w:rPr>
            </w:pPr>
            <w:r w:rsidRPr="00AA5756">
              <w:rPr>
                <w:rFonts w:cstheme="minorHAnsi"/>
                <w:i/>
                <w:iCs/>
                <w:sz w:val="20"/>
                <w:szCs w:val="20"/>
                <w:lang w:val="en-GB"/>
              </w:rPr>
              <w:t>57,1</w:t>
            </w:r>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i/>
                <w:iCs/>
                <w:sz w:val="20"/>
                <w:szCs w:val="20"/>
                <w:lang w:val="en-GB"/>
              </w:rPr>
            </w:pPr>
            <w:r w:rsidRPr="00AA5756">
              <w:rPr>
                <w:rFonts w:cstheme="minorHAnsi"/>
                <w:i/>
                <w:iCs/>
                <w:sz w:val="20"/>
                <w:szCs w:val="20"/>
                <w:lang w:val="en-GB"/>
              </w:rPr>
              <w:t>48,3</w:t>
            </w:r>
          </w:p>
        </w:tc>
        <w:tc>
          <w:tcPr>
            <w:tcW w:w="803"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i/>
                <w:iCs/>
                <w:sz w:val="20"/>
                <w:szCs w:val="20"/>
                <w:lang w:val="en-GB"/>
              </w:rPr>
            </w:pPr>
            <w:r w:rsidRPr="00AA5756">
              <w:rPr>
                <w:rFonts w:cstheme="minorHAnsi"/>
                <w:i/>
                <w:iCs/>
                <w:sz w:val="20"/>
                <w:szCs w:val="20"/>
                <w:lang w:val="en-GB"/>
              </w:rPr>
              <w:t>48,3</w:t>
            </w:r>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i/>
                <w:iCs/>
                <w:sz w:val="20"/>
                <w:szCs w:val="20"/>
                <w:lang w:val="en-GB"/>
              </w:rPr>
            </w:pPr>
            <w:r w:rsidRPr="00AA5756">
              <w:rPr>
                <w:rFonts w:cstheme="minorHAnsi"/>
                <w:i/>
                <w:iCs/>
                <w:sz w:val="20"/>
                <w:szCs w:val="20"/>
                <w:lang w:val="en-GB"/>
              </w:rPr>
              <w:t>45,3</w:t>
            </w:r>
          </w:p>
        </w:tc>
        <w:tc>
          <w:tcPr>
            <w:tcW w:w="803"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i/>
                <w:iCs/>
                <w:sz w:val="20"/>
                <w:szCs w:val="20"/>
                <w:lang w:val="en-GB"/>
              </w:rPr>
            </w:pPr>
            <w:r w:rsidRPr="00AA5756">
              <w:rPr>
                <w:rFonts w:cstheme="minorHAnsi"/>
                <w:i/>
                <w:iCs/>
                <w:sz w:val="20"/>
                <w:szCs w:val="20"/>
                <w:lang w:val="en-GB"/>
              </w:rPr>
              <w:t>45,2</w:t>
            </w:r>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cstheme="minorHAnsi"/>
                <w:i/>
                <w:iCs/>
                <w:sz w:val="20"/>
                <w:szCs w:val="20"/>
                <w:lang w:val="en-GB"/>
              </w:rPr>
            </w:pPr>
            <w:r w:rsidRPr="00AA5756">
              <w:rPr>
                <w:rFonts w:cstheme="minorHAnsi"/>
                <w:i/>
                <w:iCs/>
                <w:sz w:val="20"/>
                <w:szCs w:val="20"/>
                <w:lang w:val="en-GB"/>
              </w:rPr>
              <w:t>49,1</w:t>
            </w:r>
          </w:p>
        </w:tc>
        <w:tc>
          <w:tcPr>
            <w:tcW w:w="804" w:type="dxa"/>
            <w:shd w:val="clear" w:color="auto" w:fill="auto"/>
            <w:noWrap/>
            <w:vAlign w:val="bottom"/>
          </w:tcPr>
          <w:p w:rsidR="00BD5ED6" w:rsidRPr="00AA5756" w:rsidRDefault="00BD5ED6" w:rsidP="00E4643A">
            <w:pPr>
              <w:jc w:val="center"/>
              <w:cnfStyle w:val="000000000000" w:firstRow="0" w:lastRow="0" w:firstColumn="0" w:lastColumn="0" w:oddVBand="0" w:evenVBand="0" w:oddHBand="0" w:evenHBand="0" w:firstRowFirstColumn="0" w:firstRowLastColumn="0" w:lastRowFirstColumn="0" w:lastRowLastColumn="0"/>
              <w:rPr>
                <w:rFonts w:ascii="Arial" w:hAnsi="Arial" w:cs="Arial"/>
                <w:i/>
                <w:sz w:val="16"/>
                <w:szCs w:val="16"/>
                <w:lang w:val="en-GB"/>
              </w:rPr>
            </w:pPr>
            <w:r w:rsidRPr="00AA5756">
              <w:rPr>
                <w:rFonts w:ascii="Arial" w:hAnsi="Arial" w:cs="Arial"/>
                <w:i/>
                <w:sz w:val="16"/>
                <w:szCs w:val="16"/>
                <w:lang w:val="en-GB"/>
              </w:rPr>
              <w:t>51,5</w:t>
            </w:r>
          </w:p>
        </w:tc>
      </w:tr>
    </w:tbl>
    <w:p w:rsidR="005E0D4E" w:rsidRDefault="005E0D4E" w:rsidP="00C10DE5">
      <w:pPr>
        <w:rPr>
          <w:i/>
          <w:lang w:val="en-GB"/>
        </w:rPr>
      </w:pPr>
      <w:r w:rsidRPr="00AA5756">
        <w:rPr>
          <w:i/>
          <w:lang w:val="en-GB"/>
        </w:rPr>
        <w:t>Source: OECD</w:t>
      </w:r>
      <w:r w:rsidR="009269D0">
        <w:rPr>
          <w:i/>
          <w:lang w:val="en-GB"/>
        </w:rPr>
        <w:t>,</w:t>
      </w:r>
      <w:r w:rsidRPr="00AA5756">
        <w:rPr>
          <w:i/>
          <w:lang w:val="en-GB"/>
        </w:rPr>
        <w:t xml:space="preserve"> 2011</w:t>
      </w:r>
    </w:p>
    <w:p w:rsidR="008C232A" w:rsidRDefault="008C232A" w:rsidP="00C10DE5">
      <w:pPr>
        <w:rPr>
          <w:i/>
          <w:lang w:val="en-GB"/>
        </w:rPr>
      </w:pPr>
    </w:p>
    <w:p w:rsidR="00707466" w:rsidRPr="00AA5756" w:rsidRDefault="00707466" w:rsidP="00FB4389">
      <w:pPr>
        <w:pStyle w:val="Listenabsatz"/>
        <w:numPr>
          <w:ilvl w:val="1"/>
          <w:numId w:val="2"/>
        </w:numPr>
        <w:ind w:left="0" w:firstLine="0"/>
        <w:rPr>
          <w:lang w:val="en-GB"/>
        </w:rPr>
      </w:pPr>
      <w:r w:rsidRPr="00AA5756">
        <w:rPr>
          <w:lang w:val="en-GB"/>
        </w:rPr>
        <w:lastRenderedPageBreak/>
        <w:t>Explaining Developments in Early Retirement and its Reversal</w:t>
      </w:r>
    </w:p>
    <w:p w:rsidR="00FB4389" w:rsidRPr="00AA5756" w:rsidRDefault="00FB4389" w:rsidP="00FB4389">
      <w:pPr>
        <w:pStyle w:val="Listenabsatz"/>
        <w:ind w:left="0"/>
        <w:rPr>
          <w:lang w:val="en-GB"/>
        </w:rPr>
      </w:pPr>
    </w:p>
    <w:p w:rsidR="00C23417" w:rsidRPr="00AA5756" w:rsidRDefault="00FB4389" w:rsidP="001A388A">
      <w:pPr>
        <w:pStyle w:val="Listenabsatz"/>
        <w:spacing w:after="360"/>
        <w:ind w:left="0"/>
        <w:jc w:val="both"/>
        <w:rPr>
          <w:lang w:val="en-GB"/>
        </w:rPr>
      </w:pPr>
      <w:r w:rsidRPr="00AA5756">
        <w:rPr>
          <w:lang w:val="en-GB"/>
        </w:rPr>
        <w:t xml:space="preserve">Various theoretical approaches have attempted to explain the </w:t>
      </w:r>
      <w:r w:rsidR="00A35695">
        <w:rPr>
          <w:lang w:val="en-GB"/>
        </w:rPr>
        <w:t xml:space="preserve">observable </w:t>
      </w:r>
      <w:r w:rsidR="00A35695">
        <w:rPr>
          <w:i/>
          <w:lang w:val="en-GB"/>
        </w:rPr>
        <w:t>international</w:t>
      </w:r>
      <w:r w:rsidR="00241742" w:rsidRPr="00AA5756">
        <w:rPr>
          <w:lang w:val="en-GB"/>
        </w:rPr>
        <w:t xml:space="preserve"> variation in (early) retirement. In providing a synthetic overview of these explanations, we follow previous research (</w:t>
      </w:r>
      <w:proofErr w:type="spellStart"/>
      <w:r w:rsidR="00241742" w:rsidRPr="00247FE5">
        <w:rPr>
          <w:i/>
          <w:lang w:val="en-GB"/>
        </w:rPr>
        <w:t>Ebbinghaus</w:t>
      </w:r>
      <w:proofErr w:type="spellEnd"/>
      <w:r w:rsidR="00F070F4">
        <w:rPr>
          <w:i/>
          <w:lang w:val="en-GB"/>
        </w:rPr>
        <w:t>,</w:t>
      </w:r>
      <w:r w:rsidR="00241742" w:rsidRPr="00AA5756">
        <w:rPr>
          <w:lang w:val="en-GB"/>
        </w:rPr>
        <w:t xml:space="preserve"> 2006, </w:t>
      </w:r>
      <w:proofErr w:type="spellStart"/>
      <w:r w:rsidR="00373882" w:rsidRPr="00247FE5">
        <w:rPr>
          <w:i/>
          <w:lang w:val="en-GB"/>
        </w:rPr>
        <w:t>Ebbinghaus</w:t>
      </w:r>
      <w:proofErr w:type="spellEnd"/>
      <w:r w:rsidR="00373882" w:rsidRPr="00247FE5">
        <w:rPr>
          <w:i/>
          <w:lang w:val="en-GB"/>
        </w:rPr>
        <w:t xml:space="preserve"> and </w:t>
      </w:r>
      <w:proofErr w:type="spellStart"/>
      <w:r w:rsidR="00373882" w:rsidRPr="00247FE5">
        <w:rPr>
          <w:i/>
          <w:lang w:val="en-GB"/>
        </w:rPr>
        <w:t>Hofäcker</w:t>
      </w:r>
      <w:proofErr w:type="spellEnd"/>
      <w:r w:rsidR="00373882" w:rsidRPr="00AA5756">
        <w:rPr>
          <w:lang w:val="en-GB"/>
        </w:rPr>
        <w:t xml:space="preserve">, forthcoming, </w:t>
      </w:r>
      <w:proofErr w:type="spellStart"/>
      <w:r w:rsidR="00241742" w:rsidRPr="00247FE5">
        <w:rPr>
          <w:i/>
          <w:lang w:val="en-GB"/>
        </w:rPr>
        <w:t>Kohli</w:t>
      </w:r>
      <w:proofErr w:type="spellEnd"/>
      <w:r w:rsidR="00241742" w:rsidRPr="00247FE5">
        <w:rPr>
          <w:i/>
          <w:lang w:val="en-GB"/>
        </w:rPr>
        <w:t xml:space="preserve"> et al.</w:t>
      </w:r>
      <w:r w:rsidR="00F070F4">
        <w:rPr>
          <w:i/>
          <w:lang w:val="en-GB"/>
        </w:rPr>
        <w:t>,</w:t>
      </w:r>
      <w:r w:rsidR="00241742" w:rsidRPr="00AA5756">
        <w:rPr>
          <w:lang w:val="en-GB"/>
        </w:rPr>
        <w:t xml:space="preserve"> 1991) that</w:t>
      </w:r>
      <w:r w:rsidR="00A35695">
        <w:rPr>
          <w:lang w:val="en-GB"/>
        </w:rPr>
        <w:t xml:space="preserve"> have</w:t>
      </w:r>
      <w:r w:rsidR="00241742" w:rsidRPr="00AA5756">
        <w:rPr>
          <w:lang w:val="en-GB"/>
        </w:rPr>
        <w:t xml:space="preserve"> categorized th</w:t>
      </w:r>
      <w:r w:rsidR="00C23417" w:rsidRPr="00AA5756">
        <w:rPr>
          <w:lang w:val="en-GB"/>
        </w:rPr>
        <w:t>e</w:t>
      </w:r>
      <w:r w:rsidR="00241742" w:rsidRPr="00AA5756">
        <w:rPr>
          <w:lang w:val="en-GB"/>
        </w:rPr>
        <w:t xml:space="preserve">se explanations under </w:t>
      </w:r>
      <w:r w:rsidR="00974DDB">
        <w:rPr>
          <w:lang w:val="en-GB"/>
        </w:rPr>
        <w:t>terms</w:t>
      </w:r>
      <w:r w:rsidR="00241742" w:rsidRPr="00AA5756">
        <w:rPr>
          <w:lang w:val="en-GB"/>
        </w:rPr>
        <w:t xml:space="preserve"> ‘pull’, ‘push’ and ‘stay’ factors.</w:t>
      </w:r>
    </w:p>
    <w:p w:rsidR="001A388A" w:rsidRPr="00AA5756" w:rsidRDefault="001A388A" w:rsidP="001A388A">
      <w:pPr>
        <w:pStyle w:val="Listenabsatz"/>
        <w:spacing w:after="360"/>
        <w:ind w:left="0"/>
        <w:jc w:val="both"/>
        <w:rPr>
          <w:lang w:val="en-GB"/>
        </w:rPr>
      </w:pPr>
    </w:p>
    <w:p w:rsidR="001A388A" w:rsidRPr="00AA5756" w:rsidRDefault="001A388A" w:rsidP="001A388A">
      <w:pPr>
        <w:pStyle w:val="Listenabsatz"/>
        <w:numPr>
          <w:ilvl w:val="2"/>
          <w:numId w:val="2"/>
        </w:numPr>
        <w:spacing w:before="240" w:after="120" w:line="240" w:lineRule="auto"/>
        <w:ind w:left="0" w:firstLine="0"/>
        <w:rPr>
          <w:i/>
          <w:lang w:val="en-GB"/>
        </w:rPr>
      </w:pPr>
      <w:r w:rsidRPr="00AA5756">
        <w:rPr>
          <w:i/>
          <w:lang w:val="en-GB"/>
        </w:rPr>
        <w:t>Pull Factors</w:t>
      </w:r>
    </w:p>
    <w:p w:rsidR="00F83E71" w:rsidRDefault="00247FE5" w:rsidP="001A388A">
      <w:pPr>
        <w:spacing w:after="120"/>
        <w:contextualSpacing/>
        <w:jc w:val="both"/>
        <w:rPr>
          <w:lang w:val="en-GB"/>
        </w:rPr>
      </w:pPr>
      <w:r>
        <w:rPr>
          <w:i/>
          <w:lang w:val="en-GB"/>
        </w:rPr>
        <w:t xml:space="preserve">The concept of </w:t>
      </w:r>
      <w:r w:rsidR="00324FE7" w:rsidRPr="00AA5756">
        <w:rPr>
          <w:i/>
          <w:lang w:val="en-GB"/>
        </w:rPr>
        <w:t>“</w:t>
      </w:r>
      <w:r>
        <w:rPr>
          <w:i/>
          <w:lang w:val="en-GB"/>
        </w:rPr>
        <w:t>p</w:t>
      </w:r>
      <w:r w:rsidR="00324FE7" w:rsidRPr="00AA5756">
        <w:rPr>
          <w:i/>
          <w:lang w:val="en-GB"/>
        </w:rPr>
        <w:t>ull factors”</w:t>
      </w:r>
      <w:r w:rsidR="00324FE7" w:rsidRPr="00AA5756">
        <w:rPr>
          <w:lang w:val="en-GB"/>
        </w:rPr>
        <w:t xml:space="preserve"> rest</w:t>
      </w:r>
      <w:r>
        <w:rPr>
          <w:lang w:val="en-GB"/>
        </w:rPr>
        <w:t>s</w:t>
      </w:r>
      <w:r w:rsidR="00324FE7" w:rsidRPr="00AA5756">
        <w:rPr>
          <w:lang w:val="en-GB"/>
        </w:rPr>
        <w:t xml:space="preserve"> on the assumption that there exist economic incentives in public pension or other welfare state transfer systems</w:t>
      </w:r>
      <w:r w:rsidR="00373882" w:rsidRPr="00AA5756">
        <w:rPr>
          <w:rStyle w:val="Funotenzeichen"/>
          <w:lang w:val="en-GB"/>
        </w:rPr>
        <w:footnoteReference w:id="4"/>
      </w:r>
      <w:r w:rsidR="00324FE7" w:rsidRPr="00AA5756">
        <w:rPr>
          <w:lang w:val="en-GB"/>
        </w:rPr>
        <w:t xml:space="preserve"> that provide financially attractive opportunities for older workers </w:t>
      </w:r>
      <w:r w:rsidR="00373882" w:rsidRPr="00AA5756">
        <w:rPr>
          <w:lang w:val="en-GB"/>
        </w:rPr>
        <w:t xml:space="preserve">– e.g. through early exit options without (or with little) actuarial reduction </w:t>
      </w:r>
      <w:r w:rsidR="00D81562">
        <w:rPr>
          <w:lang w:val="en-GB"/>
        </w:rPr>
        <w:t xml:space="preserve">in pension accrual </w:t>
      </w:r>
      <w:r w:rsidR="00373882" w:rsidRPr="00AA5756">
        <w:rPr>
          <w:lang w:val="en-GB"/>
        </w:rPr>
        <w:t xml:space="preserve"> </w:t>
      </w:r>
      <w:r w:rsidR="00324FE7" w:rsidRPr="00AA5756">
        <w:rPr>
          <w:lang w:val="en-GB"/>
        </w:rPr>
        <w:t>to withdraw from active employment prematurely</w:t>
      </w:r>
      <w:r w:rsidR="00373882" w:rsidRPr="00AA5756">
        <w:rPr>
          <w:lang w:val="en-GB"/>
        </w:rPr>
        <w:t>.</w:t>
      </w:r>
      <w:r w:rsidR="00324FE7" w:rsidRPr="00AA5756">
        <w:rPr>
          <w:lang w:val="en-GB"/>
        </w:rPr>
        <w:t xml:space="preserve"> Literally</w:t>
      </w:r>
      <w:r w:rsidR="00373882" w:rsidRPr="00AA5756">
        <w:rPr>
          <w:lang w:val="en-GB"/>
        </w:rPr>
        <w:t xml:space="preserve"> speaking</w:t>
      </w:r>
      <w:r w:rsidR="00324FE7" w:rsidRPr="00AA5756">
        <w:rPr>
          <w:lang w:val="en-GB"/>
        </w:rPr>
        <w:t>, th</w:t>
      </w:r>
      <w:r w:rsidR="00373882" w:rsidRPr="00AA5756">
        <w:rPr>
          <w:lang w:val="en-GB"/>
        </w:rPr>
        <w:t>e</w:t>
      </w:r>
      <w:r w:rsidR="00324FE7" w:rsidRPr="00AA5756">
        <w:rPr>
          <w:lang w:val="en-GB"/>
        </w:rPr>
        <w:t xml:space="preserve">se incentives </w:t>
      </w:r>
      <w:r w:rsidR="00373882" w:rsidRPr="00AA5756">
        <w:rPr>
          <w:lang w:val="en-GB"/>
        </w:rPr>
        <w:t>thus ‘pull’ older workers out of the labour market</w:t>
      </w:r>
      <w:r w:rsidR="00BA528E" w:rsidRPr="00AA5756">
        <w:rPr>
          <w:lang w:val="en-GB"/>
        </w:rPr>
        <w:t xml:space="preserve"> through different types of financially attractive ‘</w:t>
      </w:r>
      <w:r w:rsidR="00676EC6" w:rsidRPr="00AA5756">
        <w:rPr>
          <w:lang w:val="en-GB"/>
        </w:rPr>
        <w:t>o</w:t>
      </w:r>
      <w:r w:rsidR="00BD5ED6" w:rsidRPr="00AA5756">
        <w:rPr>
          <w:lang w:val="en-GB"/>
        </w:rPr>
        <w:t>ffers one can</w:t>
      </w:r>
      <w:r w:rsidR="00BA528E" w:rsidRPr="00AA5756">
        <w:rPr>
          <w:lang w:val="en-GB"/>
        </w:rPr>
        <w:t>not refuse’ (</w:t>
      </w:r>
      <w:proofErr w:type="spellStart"/>
      <w:r w:rsidR="00F83E71">
        <w:rPr>
          <w:lang w:val="en-GB"/>
        </w:rPr>
        <w:t>Bellmann</w:t>
      </w:r>
      <w:proofErr w:type="spellEnd"/>
      <w:r w:rsidR="00F83E71">
        <w:rPr>
          <w:lang w:val="en-GB"/>
        </w:rPr>
        <w:t xml:space="preserve"> </w:t>
      </w:r>
      <w:r w:rsidR="00F070F4">
        <w:rPr>
          <w:lang w:val="en-GB"/>
        </w:rPr>
        <w:t>and</w:t>
      </w:r>
      <w:r w:rsidR="00F83E71">
        <w:rPr>
          <w:lang w:val="en-GB"/>
        </w:rPr>
        <w:t xml:space="preserve"> </w:t>
      </w:r>
      <w:proofErr w:type="spellStart"/>
      <w:r w:rsidR="00F83E71">
        <w:rPr>
          <w:lang w:val="en-GB"/>
        </w:rPr>
        <w:t>Janik</w:t>
      </w:r>
      <w:proofErr w:type="spellEnd"/>
      <w:r w:rsidR="00F070F4">
        <w:rPr>
          <w:lang w:val="en-GB"/>
        </w:rPr>
        <w:t>,</w:t>
      </w:r>
      <w:r w:rsidR="00F83E71">
        <w:rPr>
          <w:lang w:val="en-GB"/>
        </w:rPr>
        <w:t xml:space="preserve"> 2007</w:t>
      </w:r>
      <w:r w:rsidR="00BA528E" w:rsidRPr="00AA5756">
        <w:rPr>
          <w:lang w:val="en-GB"/>
        </w:rPr>
        <w:t>)</w:t>
      </w:r>
      <w:r w:rsidR="00373882" w:rsidRPr="00AA5756">
        <w:rPr>
          <w:lang w:val="en-GB"/>
        </w:rPr>
        <w:t>.</w:t>
      </w:r>
      <w:r w:rsidR="00676EC6" w:rsidRPr="00AA5756">
        <w:rPr>
          <w:lang w:val="en-GB"/>
        </w:rPr>
        <w:t xml:space="preserve"> </w:t>
      </w:r>
      <w:r w:rsidR="00CC01C6">
        <w:rPr>
          <w:lang w:val="en-GB"/>
        </w:rPr>
        <w:t>T</w:t>
      </w:r>
      <w:r w:rsidR="00676EC6" w:rsidRPr="00AA5756">
        <w:rPr>
          <w:lang w:val="en-GB"/>
        </w:rPr>
        <w:t xml:space="preserve">he retirement decision of older workers </w:t>
      </w:r>
      <w:r w:rsidR="00CC01C6">
        <w:rPr>
          <w:lang w:val="en-GB"/>
        </w:rPr>
        <w:t>thus is</w:t>
      </w:r>
      <w:r w:rsidR="00676EC6" w:rsidRPr="00AA5756">
        <w:rPr>
          <w:lang w:val="en-GB"/>
        </w:rPr>
        <w:t xml:space="preserve"> regarded as a largely voluntary one, as older workers decide for a (favoured) early exit from work instead of a continuation of their employment.</w:t>
      </w:r>
      <w:r w:rsidR="00373882" w:rsidRPr="00AA5756">
        <w:rPr>
          <w:lang w:val="en-GB"/>
        </w:rPr>
        <w:t xml:space="preserve"> </w:t>
      </w:r>
      <w:r w:rsidR="00CC01C6">
        <w:rPr>
          <w:lang w:val="en-GB"/>
        </w:rPr>
        <w:t>E</w:t>
      </w:r>
      <w:r w:rsidR="00373882" w:rsidRPr="00AA5756">
        <w:rPr>
          <w:lang w:val="en-GB"/>
        </w:rPr>
        <w:t xml:space="preserve">conomic research </w:t>
      </w:r>
      <w:r w:rsidR="00BA528E" w:rsidRPr="00AA5756">
        <w:rPr>
          <w:lang w:val="en-GB"/>
        </w:rPr>
        <w:t>based on macro-</w:t>
      </w:r>
      <w:r w:rsidR="00676EC6" w:rsidRPr="00AA5756">
        <w:rPr>
          <w:lang w:val="en-GB"/>
        </w:rPr>
        <w:t xml:space="preserve"> </w:t>
      </w:r>
      <w:r w:rsidR="00BA528E" w:rsidRPr="00AA5756">
        <w:rPr>
          <w:lang w:val="en-GB"/>
        </w:rPr>
        <w:t>as well as micro</w:t>
      </w:r>
      <w:r w:rsidR="00676EC6" w:rsidRPr="00AA5756">
        <w:rPr>
          <w:lang w:val="en-GB"/>
        </w:rPr>
        <w:t>-</w:t>
      </w:r>
      <w:r w:rsidR="00BA528E" w:rsidRPr="00AA5756">
        <w:rPr>
          <w:lang w:val="en-GB"/>
        </w:rPr>
        <w:t xml:space="preserve">data </w:t>
      </w:r>
      <w:r w:rsidR="00373882" w:rsidRPr="00AA5756">
        <w:rPr>
          <w:lang w:val="en-GB"/>
        </w:rPr>
        <w:t xml:space="preserve">(see for example </w:t>
      </w:r>
      <w:proofErr w:type="spellStart"/>
      <w:r w:rsidR="00CC01C6" w:rsidRPr="00CC01C6">
        <w:rPr>
          <w:i/>
          <w:lang w:val="en-GB"/>
        </w:rPr>
        <w:t>Blöndal</w:t>
      </w:r>
      <w:proofErr w:type="spellEnd"/>
      <w:r w:rsidR="00CC01C6" w:rsidRPr="00CC01C6">
        <w:rPr>
          <w:i/>
          <w:lang w:val="en-GB"/>
        </w:rPr>
        <w:t xml:space="preserve"> and </w:t>
      </w:r>
      <w:proofErr w:type="spellStart"/>
      <w:r w:rsidR="00CC01C6" w:rsidRPr="00CC01C6">
        <w:rPr>
          <w:i/>
          <w:lang w:val="en-GB"/>
        </w:rPr>
        <w:t>Scarpetta</w:t>
      </w:r>
      <w:proofErr w:type="spellEnd"/>
      <w:r w:rsidR="00CC01C6">
        <w:rPr>
          <w:i/>
          <w:lang w:val="en-GB"/>
        </w:rPr>
        <w:t>,</w:t>
      </w:r>
      <w:r w:rsidR="00CC01C6">
        <w:rPr>
          <w:lang w:val="en-GB"/>
        </w:rPr>
        <w:t xml:space="preserve"> 1999, </w:t>
      </w:r>
      <w:r w:rsidR="00373882" w:rsidRPr="00CC01C6">
        <w:rPr>
          <w:i/>
          <w:lang w:val="en-GB"/>
        </w:rPr>
        <w:t>Gruber and Wise</w:t>
      </w:r>
      <w:r w:rsidR="009269D0" w:rsidRPr="00CC01C6">
        <w:rPr>
          <w:i/>
          <w:lang w:val="en-GB"/>
        </w:rPr>
        <w:t>,</w:t>
      </w:r>
      <w:r w:rsidR="00373882" w:rsidRPr="00CC01C6">
        <w:rPr>
          <w:i/>
          <w:lang w:val="en-GB"/>
        </w:rPr>
        <w:t xml:space="preserve"> </w:t>
      </w:r>
      <w:r w:rsidR="00373882" w:rsidRPr="00AA5756">
        <w:rPr>
          <w:lang w:val="en-GB"/>
        </w:rPr>
        <w:t>1999, 2004)</w:t>
      </w:r>
      <w:r w:rsidR="00324FE7" w:rsidRPr="00AA5756">
        <w:rPr>
          <w:lang w:val="en-GB"/>
        </w:rPr>
        <w:t xml:space="preserve"> </w:t>
      </w:r>
      <w:r w:rsidR="00CC01C6">
        <w:rPr>
          <w:lang w:val="en-GB"/>
        </w:rPr>
        <w:t xml:space="preserve">indeed </w:t>
      </w:r>
      <w:r w:rsidR="00373882" w:rsidRPr="00AA5756">
        <w:rPr>
          <w:lang w:val="en-GB"/>
        </w:rPr>
        <w:t xml:space="preserve">has </w:t>
      </w:r>
      <w:r w:rsidR="00BA528E" w:rsidRPr="00AA5756">
        <w:rPr>
          <w:lang w:val="en-GB"/>
        </w:rPr>
        <w:t xml:space="preserve">demonstrated empirically </w:t>
      </w:r>
      <w:r w:rsidR="00373882" w:rsidRPr="00AA5756">
        <w:rPr>
          <w:lang w:val="en-GB"/>
        </w:rPr>
        <w:t xml:space="preserve">that countries that </w:t>
      </w:r>
      <w:r w:rsidR="00CC01C6">
        <w:rPr>
          <w:lang w:val="en-GB"/>
        </w:rPr>
        <w:t>provide</w:t>
      </w:r>
      <w:r w:rsidR="00373882" w:rsidRPr="00AA5756">
        <w:rPr>
          <w:lang w:val="en-GB"/>
        </w:rPr>
        <w:t xml:space="preserve"> </w:t>
      </w:r>
      <w:r w:rsidR="00723F70" w:rsidRPr="00AA5756">
        <w:rPr>
          <w:lang w:val="en-GB"/>
        </w:rPr>
        <w:t xml:space="preserve">strong actuarial incentives for retirement before mandatory ages are frequently among those who also exhibit lowest employment ratios among older workers (and vice versa). </w:t>
      </w:r>
      <w:r w:rsidR="00F83E71">
        <w:rPr>
          <w:lang w:val="en-GB"/>
        </w:rPr>
        <w:t xml:space="preserve"> In addition to public </w:t>
      </w:r>
      <w:r w:rsidR="0039549D">
        <w:rPr>
          <w:lang w:val="en-GB"/>
        </w:rPr>
        <w:t xml:space="preserve">pension </w:t>
      </w:r>
      <w:r w:rsidR="00F83E71">
        <w:rPr>
          <w:lang w:val="en-GB"/>
        </w:rPr>
        <w:t xml:space="preserve">incentives, </w:t>
      </w:r>
      <w:r w:rsidR="0039549D">
        <w:rPr>
          <w:lang w:val="en-GB"/>
        </w:rPr>
        <w:t xml:space="preserve">additional lump sum payments by the employer or occupational pension plans </w:t>
      </w:r>
      <w:r w:rsidR="005C3A24">
        <w:rPr>
          <w:lang w:val="en-GB"/>
        </w:rPr>
        <w:t xml:space="preserve">provided through the employer </w:t>
      </w:r>
      <w:r w:rsidR="0039549D">
        <w:rPr>
          <w:lang w:val="en-GB"/>
        </w:rPr>
        <w:t>m</w:t>
      </w:r>
      <w:r w:rsidR="005C3A24">
        <w:rPr>
          <w:lang w:val="en-GB"/>
        </w:rPr>
        <w:t>a</w:t>
      </w:r>
      <w:r w:rsidR="0039549D">
        <w:rPr>
          <w:lang w:val="en-GB"/>
        </w:rPr>
        <w:t xml:space="preserve">y exert strong incentives for a premature employment exit. As empirical studies indicate (e.g. </w:t>
      </w:r>
      <w:r w:rsidR="0039549D" w:rsidRPr="005C3A24">
        <w:rPr>
          <w:i/>
          <w:lang w:val="en-GB"/>
        </w:rPr>
        <w:t>Hutchens</w:t>
      </w:r>
      <w:r w:rsidR="00F070F4">
        <w:rPr>
          <w:i/>
          <w:lang w:val="en-GB"/>
        </w:rPr>
        <w:t>,</w:t>
      </w:r>
      <w:r w:rsidR="0039549D">
        <w:rPr>
          <w:lang w:val="en-GB"/>
        </w:rPr>
        <w:t xml:space="preserve"> 1999, </w:t>
      </w:r>
      <w:proofErr w:type="spellStart"/>
      <w:r w:rsidR="0039549D" w:rsidRPr="005C3A24">
        <w:rPr>
          <w:i/>
          <w:lang w:val="en-GB"/>
        </w:rPr>
        <w:t>Bellmann</w:t>
      </w:r>
      <w:proofErr w:type="spellEnd"/>
      <w:r w:rsidR="0039549D" w:rsidRPr="005C3A24">
        <w:rPr>
          <w:i/>
          <w:lang w:val="en-GB"/>
        </w:rPr>
        <w:t xml:space="preserve"> and </w:t>
      </w:r>
      <w:proofErr w:type="spellStart"/>
      <w:r w:rsidR="0039549D" w:rsidRPr="005C3A24">
        <w:rPr>
          <w:i/>
          <w:lang w:val="en-GB"/>
        </w:rPr>
        <w:t>Janik</w:t>
      </w:r>
      <w:proofErr w:type="spellEnd"/>
      <w:r w:rsidR="00F070F4">
        <w:rPr>
          <w:lang w:val="en-GB"/>
        </w:rPr>
        <w:t xml:space="preserve">, </w:t>
      </w:r>
      <w:r w:rsidR="0039549D">
        <w:rPr>
          <w:lang w:val="en-GB"/>
        </w:rPr>
        <w:t xml:space="preserve">2007, </w:t>
      </w:r>
      <w:r w:rsidR="0039549D" w:rsidRPr="005C3A24">
        <w:rPr>
          <w:i/>
          <w:lang w:val="en-GB"/>
        </w:rPr>
        <w:t xml:space="preserve">Dorn </w:t>
      </w:r>
      <w:r w:rsidR="00F070F4">
        <w:rPr>
          <w:lang w:val="en-US"/>
        </w:rPr>
        <w:t>and</w:t>
      </w:r>
      <w:r w:rsidR="0039549D" w:rsidRPr="005C3A24">
        <w:rPr>
          <w:i/>
          <w:lang w:val="en-GB"/>
        </w:rPr>
        <w:t xml:space="preserve"> Sousa-Poza</w:t>
      </w:r>
      <w:r w:rsidR="00F070F4">
        <w:rPr>
          <w:i/>
          <w:lang w:val="en-GB"/>
        </w:rPr>
        <w:t>,</w:t>
      </w:r>
      <w:r w:rsidR="0039549D">
        <w:rPr>
          <w:lang w:val="en-GB"/>
        </w:rPr>
        <w:t xml:space="preserve"> 2010), these incentives often mutually reinforce each other, as payment of employer-based ‘top-ups’ is most frequently found in those countries where public retirement incentives already are high.  </w:t>
      </w:r>
    </w:p>
    <w:p w:rsidR="001A388A" w:rsidRPr="00AA5756" w:rsidRDefault="003F1AF6" w:rsidP="001A388A">
      <w:pPr>
        <w:spacing w:after="120"/>
        <w:contextualSpacing/>
        <w:jc w:val="both"/>
        <w:rPr>
          <w:lang w:val="en-GB"/>
        </w:rPr>
      </w:pPr>
      <w:r>
        <w:rPr>
          <w:lang w:val="en-GB"/>
        </w:rPr>
        <w:t>In recent years, t</w:t>
      </w:r>
      <w:r w:rsidR="00723F70" w:rsidRPr="00AA5756">
        <w:rPr>
          <w:lang w:val="en-GB"/>
        </w:rPr>
        <w:t>h</w:t>
      </w:r>
      <w:r w:rsidR="00D60C0D">
        <w:rPr>
          <w:lang w:val="en-GB"/>
        </w:rPr>
        <w:t>e</w:t>
      </w:r>
      <w:r w:rsidR="00723F70" w:rsidRPr="00AA5756">
        <w:rPr>
          <w:lang w:val="en-GB"/>
        </w:rPr>
        <w:t xml:space="preserve"> economic approach </w:t>
      </w:r>
      <w:r w:rsidR="002848E5">
        <w:rPr>
          <w:lang w:val="en-GB"/>
        </w:rPr>
        <w:t>to</w:t>
      </w:r>
      <w:r w:rsidR="00723F70" w:rsidRPr="00AA5756">
        <w:rPr>
          <w:lang w:val="en-GB"/>
        </w:rPr>
        <w:t xml:space="preserve"> explain early retirement </w:t>
      </w:r>
      <w:r>
        <w:rPr>
          <w:lang w:val="en-GB"/>
        </w:rPr>
        <w:t xml:space="preserve">via publically or privately provided pension incentives </w:t>
      </w:r>
      <w:r w:rsidR="00723F70" w:rsidRPr="00AA5756">
        <w:rPr>
          <w:lang w:val="en-GB"/>
        </w:rPr>
        <w:t>has gained much support among international organi</w:t>
      </w:r>
      <w:r w:rsidR="00AA5756">
        <w:rPr>
          <w:lang w:val="en-GB"/>
        </w:rPr>
        <w:t>s</w:t>
      </w:r>
      <w:r w:rsidR="00723F70" w:rsidRPr="00AA5756">
        <w:rPr>
          <w:lang w:val="en-GB"/>
        </w:rPr>
        <w:t xml:space="preserve">ations, such as the OECD or the EU Commission, that have argued that to successfully reverse early retirement, financially attractive early exit options </w:t>
      </w:r>
      <w:r w:rsidR="00880397">
        <w:rPr>
          <w:lang w:val="en-GB"/>
        </w:rPr>
        <w:t>have</w:t>
      </w:r>
      <w:r w:rsidR="00723F70" w:rsidRPr="00AA5756">
        <w:rPr>
          <w:lang w:val="en-GB"/>
        </w:rPr>
        <w:t xml:space="preserve"> to be phased out and retirement ages (or contribution </w:t>
      </w:r>
      <w:r w:rsidR="002848E5">
        <w:rPr>
          <w:lang w:val="en-GB"/>
        </w:rPr>
        <w:t>y</w:t>
      </w:r>
      <w:r w:rsidR="00723F70" w:rsidRPr="00AA5756">
        <w:rPr>
          <w:lang w:val="en-GB"/>
        </w:rPr>
        <w:t>ears needed to receive a full pension</w:t>
      </w:r>
      <w:r w:rsidR="00A54E16" w:rsidRPr="00AA5756">
        <w:rPr>
          <w:lang w:val="en-GB"/>
        </w:rPr>
        <w:t>)</w:t>
      </w:r>
      <w:r w:rsidR="00723F70" w:rsidRPr="00AA5756">
        <w:rPr>
          <w:lang w:val="en-GB"/>
        </w:rPr>
        <w:t xml:space="preserve"> need to be increased.</w:t>
      </w:r>
      <w:r w:rsidR="00324FE7" w:rsidRPr="00AA5756">
        <w:rPr>
          <w:lang w:val="en-GB"/>
        </w:rPr>
        <w:t xml:space="preserve"> </w:t>
      </w:r>
    </w:p>
    <w:p w:rsidR="001A388A" w:rsidRPr="00AA5756" w:rsidRDefault="001A388A" w:rsidP="001A388A">
      <w:pPr>
        <w:pStyle w:val="Listenabsatz"/>
        <w:numPr>
          <w:ilvl w:val="2"/>
          <w:numId w:val="5"/>
        </w:numPr>
        <w:spacing w:after="120"/>
        <w:ind w:left="0" w:firstLine="0"/>
        <w:rPr>
          <w:i/>
          <w:lang w:val="en-GB"/>
        </w:rPr>
      </w:pPr>
      <w:r w:rsidRPr="00AA5756">
        <w:rPr>
          <w:i/>
          <w:lang w:val="en-GB"/>
        </w:rPr>
        <w:t>Push Factors</w:t>
      </w:r>
    </w:p>
    <w:p w:rsidR="00940A5E" w:rsidRPr="00AA5756" w:rsidRDefault="00A51EF0" w:rsidP="00940A5E">
      <w:pPr>
        <w:spacing w:after="120"/>
        <w:contextualSpacing/>
        <w:jc w:val="both"/>
        <w:rPr>
          <w:lang w:val="en-GB"/>
        </w:rPr>
      </w:pPr>
      <w:r w:rsidRPr="00AA5756">
        <w:rPr>
          <w:lang w:val="en-GB"/>
        </w:rPr>
        <w:t xml:space="preserve">In contrast to pull factors that emphasize </w:t>
      </w:r>
      <w:r w:rsidR="00E600D1" w:rsidRPr="00AA5756">
        <w:rPr>
          <w:lang w:val="en-GB"/>
        </w:rPr>
        <w:t xml:space="preserve">older workers </w:t>
      </w:r>
      <w:r w:rsidRPr="00AA5756">
        <w:rPr>
          <w:lang w:val="en-GB"/>
        </w:rPr>
        <w:t xml:space="preserve">‘free choice’ </w:t>
      </w:r>
      <w:r w:rsidR="00E600D1">
        <w:rPr>
          <w:lang w:val="en-GB"/>
        </w:rPr>
        <w:t>between</w:t>
      </w:r>
      <w:r w:rsidRPr="00AA5756">
        <w:rPr>
          <w:lang w:val="en-GB"/>
        </w:rPr>
        <w:t xml:space="preserve"> labour market </w:t>
      </w:r>
      <w:r w:rsidR="00E600D1">
        <w:rPr>
          <w:lang w:val="en-GB"/>
        </w:rPr>
        <w:t>exit and work continuation</w:t>
      </w:r>
      <w:r w:rsidRPr="00AA5756">
        <w:rPr>
          <w:lang w:val="en-GB"/>
        </w:rPr>
        <w:t>, research in sociology and human resource management has highlighted that</w:t>
      </w:r>
      <w:r w:rsidR="00C433A6" w:rsidRPr="00AA5756">
        <w:rPr>
          <w:lang w:val="en-GB"/>
        </w:rPr>
        <w:t xml:space="preserve"> the decision situation of older workers may not be that discrete. </w:t>
      </w:r>
      <w:r w:rsidR="00E600D1">
        <w:rPr>
          <w:lang w:val="en-GB"/>
        </w:rPr>
        <w:t>O</w:t>
      </w:r>
      <w:r w:rsidRPr="00AA5756">
        <w:rPr>
          <w:lang w:val="en-GB"/>
        </w:rPr>
        <w:t xml:space="preserve">lder workers </w:t>
      </w:r>
      <w:r w:rsidR="00C433A6" w:rsidRPr="00AA5756">
        <w:rPr>
          <w:lang w:val="en-GB"/>
        </w:rPr>
        <w:t>are often</w:t>
      </w:r>
      <w:r w:rsidRPr="00AA5756">
        <w:rPr>
          <w:lang w:val="en-GB"/>
        </w:rPr>
        <w:t xml:space="preserve"> crowded out from emplo</w:t>
      </w:r>
      <w:r w:rsidR="00C433A6" w:rsidRPr="00AA5756">
        <w:rPr>
          <w:lang w:val="en-GB"/>
        </w:rPr>
        <w:t>y</w:t>
      </w:r>
      <w:r w:rsidRPr="00AA5756">
        <w:rPr>
          <w:lang w:val="en-GB"/>
        </w:rPr>
        <w:t xml:space="preserve">ment </w:t>
      </w:r>
      <w:r w:rsidR="00C433A6" w:rsidRPr="00AA5756">
        <w:rPr>
          <w:lang w:val="en-GB"/>
        </w:rPr>
        <w:t>against their deliberate retirement preferences. Previous research has discussed various different types of such ‘</w:t>
      </w:r>
      <w:r w:rsidR="00C433A6" w:rsidRPr="00AA5756">
        <w:rPr>
          <w:i/>
          <w:lang w:val="en-GB"/>
        </w:rPr>
        <w:t>push factors</w:t>
      </w:r>
      <w:r w:rsidR="00C433A6" w:rsidRPr="00AA5756">
        <w:rPr>
          <w:lang w:val="en-GB"/>
        </w:rPr>
        <w:t xml:space="preserve">’ for (early) retirement (see </w:t>
      </w:r>
      <w:proofErr w:type="spellStart"/>
      <w:r w:rsidR="00C433A6" w:rsidRPr="00D43E0F">
        <w:rPr>
          <w:i/>
          <w:lang w:val="en-GB"/>
        </w:rPr>
        <w:t>Ebbinghaus</w:t>
      </w:r>
      <w:proofErr w:type="spellEnd"/>
      <w:r w:rsidR="00C433A6" w:rsidRPr="00D43E0F">
        <w:rPr>
          <w:i/>
          <w:lang w:val="en-GB"/>
        </w:rPr>
        <w:t xml:space="preserve"> and </w:t>
      </w:r>
      <w:proofErr w:type="spellStart"/>
      <w:r w:rsidR="00C433A6" w:rsidRPr="00D43E0F">
        <w:rPr>
          <w:i/>
          <w:lang w:val="en-GB"/>
        </w:rPr>
        <w:t>Hofäcker</w:t>
      </w:r>
      <w:proofErr w:type="spellEnd"/>
      <w:r w:rsidR="00C433A6" w:rsidRPr="00AA5756">
        <w:rPr>
          <w:lang w:val="en-GB"/>
        </w:rPr>
        <w:t xml:space="preserve">, forthcoming, for a detailed overview). </w:t>
      </w:r>
      <w:r w:rsidR="002E1A1E" w:rsidRPr="00AA5756">
        <w:rPr>
          <w:lang w:val="en-GB"/>
        </w:rPr>
        <w:t xml:space="preserve">Especially during the </w:t>
      </w:r>
      <w:r w:rsidR="00D43E0F">
        <w:rPr>
          <w:lang w:val="en-GB"/>
        </w:rPr>
        <w:t>oil crise</w:t>
      </w:r>
      <w:r w:rsidR="00D43E0F" w:rsidRPr="00AA5756">
        <w:rPr>
          <w:lang w:val="en-GB"/>
        </w:rPr>
        <w:t>s</w:t>
      </w:r>
      <w:r w:rsidR="004B55AC" w:rsidRPr="00AA5756">
        <w:rPr>
          <w:lang w:val="en-GB"/>
        </w:rPr>
        <w:t xml:space="preserve"> </w:t>
      </w:r>
      <w:r w:rsidR="00D43E0F">
        <w:rPr>
          <w:lang w:val="en-GB"/>
        </w:rPr>
        <w:t>in</w:t>
      </w:r>
      <w:r w:rsidR="004B55AC" w:rsidRPr="00AA5756">
        <w:rPr>
          <w:lang w:val="en-GB"/>
        </w:rPr>
        <w:t xml:space="preserve"> the 1970s, </w:t>
      </w:r>
      <w:r w:rsidR="002B6DCF" w:rsidRPr="00AA5756">
        <w:rPr>
          <w:i/>
          <w:lang w:val="en-GB"/>
        </w:rPr>
        <w:t>cyclical</w:t>
      </w:r>
      <w:r w:rsidR="004B55AC" w:rsidRPr="00AA5756">
        <w:rPr>
          <w:i/>
          <w:lang w:val="en-GB"/>
        </w:rPr>
        <w:t xml:space="preserve"> downturn</w:t>
      </w:r>
      <w:r w:rsidR="002B6DCF" w:rsidRPr="00AA5756">
        <w:rPr>
          <w:i/>
          <w:lang w:val="en-GB"/>
        </w:rPr>
        <w:t>s</w:t>
      </w:r>
      <w:r w:rsidR="004B55AC" w:rsidRPr="00AA5756">
        <w:rPr>
          <w:lang w:val="en-GB"/>
        </w:rPr>
        <w:t xml:space="preserve"> accompanied by large baby boomer cohorts pushing into the labour market exerted strong pressures on older workers to exit employment prematurely. These trends were exacerbated further by simultaneous </w:t>
      </w:r>
      <w:r w:rsidR="004B55AC" w:rsidRPr="00AA5756">
        <w:rPr>
          <w:i/>
          <w:lang w:val="en-GB"/>
        </w:rPr>
        <w:t xml:space="preserve">shifts in </w:t>
      </w:r>
      <w:r w:rsidR="008F3050" w:rsidRPr="00AA5756">
        <w:rPr>
          <w:i/>
          <w:lang w:val="en-GB"/>
        </w:rPr>
        <w:t xml:space="preserve">economic </w:t>
      </w:r>
      <w:r w:rsidR="008F3050" w:rsidRPr="00AA5756">
        <w:rPr>
          <w:lang w:val="en-GB"/>
        </w:rPr>
        <w:t xml:space="preserve">(from an industrial to a service economy) </w:t>
      </w:r>
      <w:r w:rsidR="008F3050" w:rsidRPr="00AA5756">
        <w:rPr>
          <w:i/>
          <w:lang w:val="en-GB"/>
        </w:rPr>
        <w:t>and occupational structures</w:t>
      </w:r>
      <w:r w:rsidR="008F3050" w:rsidRPr="00AA5756">
        <w:rPr>
          <w:lang w:val="en-GB"/>
        </w:rPr>
        <w:t xml:space="preserve"> (from blue-collar to white collar occupations) that partly devaluated older workers’ previous qualifications</w:t>
      </w:r>
      <w:r w:rsidR="00D43E0F">
        <w:rPr>
          <w:lang w:val="en-GB"/>
        </w:rPr>
        <w:t xml:space="preserve"> (</w:t>
      </w:r>
      <w:proofErr w:type="spellStart"/>
      <w:r w:rsidR="00D43E0F" w:rsidRPr="00D43E0F">
        <w:rPr>
          <w:i/>
          <w:lang w:val="en-GB"/>
        </w:rPr>
        <w:t>Blossfeld</w:t>
      </w:r>
      <w:proofErr w:type="spellEnd"/>
      <w:r w:rsidR="00D43E0F" w:rsidRPr="00D43E0F">
        <w:rPr>
          <w:i/>
          <w:lang w:val="en-GB"/>
        </w:rPr>
        <w:t xml:space="preserve"> et al.,</w:t>
      </w:r>
      <w:r w:rsidR="00D43E0F">
        <w:rPr>
          <w:lang w:val="en-GB"/>
        </w:rPr>
        <w:t xml:space="preserve"> 2006)</w:t>
      </w:r>
      <w:r w:rsidR="008F3050" w:rsidRPr="00AA5756">
        <w:rPr>
          <w:lang w:val="en-GB"/>
        </w:rPr>
        <w:t>.</w:t>
      </w:r>
      <w:r w:rsidR="00A54E16" w:rsidRPr="00AA5756">
        <w:rPr>
          <w:lang w:val="en-GB"/>
        </w:rPr>
        <w:t xml:space="preserve"> However, while these processes apparently played a </w:t>
      </w:r>
      <w:r w:rsidR="00A54E16" w:rsidRPr="00AA5756">
        <w:rPr>
          <w:lang w:val="en-GB"/>
        </w:rPr>
        <w:lastRenderedPageBreak/>
        <w:t>role in promoting early retirement in its early phase, their role deteriorated over time. As comparative labour market data show, in a number of (European) countries, early retirement increasingly decoupled from these processes as it continued to spread across larger parts of the population even after the economy recovered and economic respectively occupational changes slowed down</w:t>
      </w:r>
      <w:r w:rsidR="00D43E0F">
        <w:rPr>
          <w:lang w:val="en-GB"/>
        </w:rPr>
        <w:t xml:space="preserve"> (</w:t>
      </w:r>
      <w:proofErr w:type="spellStart"/>
      <w:r w:rsidR="00D43E0F" w:rsidRPr="00D43E0F">
        <w:rPr>
          <w:i/>
          <w:lang w:val="en-GB"/>
        </w:rPr>
        <w:t>Hofäcker</w:t>
      </w:r>
      <w:proofErr w:type="spellEnd"/>
      <w:r w:rsidR="00F070F4">
        <w:rPr>
          <w:lang w:val="en-GB"/>
        </w:rPr>
        <w:t xml:space="preserve">, </w:t>
      </w:r>
      <w:r w:rsidR="00D43E0F">
        <w:rPr>
          <w:lang w:val="en-GB"/>
        </w:rPr>
        <w:t>2010)</w:t>
      </w:r>
      <w:r w:rsidR="00A54E16" w:rsidRPr="00AA5756">
        <w:rPr>
          <w:lang w:val="en-GB"/>
        </w:rPr>
        <w:t>.</w:t>
      </w:r>
      <w:r w:rsidR="00EF48DC" w:rsidRPr="00AA5756">
        <w:rPr>
          <w:lang w:val="en-GB"/>
        </w:rPr>
        <w:t xml:space="preserve"> </w:t>
      </w:r>
    </w:p>
    <w:p w:rsidR="009F2E42" w:rsidRPr="00AA5756" w:rsidRDefault="00EF48DC" w:rsidP="004C61F0">
      <w:pPr>
        <w:spacing w:after="120"/>
        <w:contextualSpacing/>
        <w:jc w:val="both"/>
        <w:rPr>
          <w:lang w:val="en-GB"/>
        </w:rPr>
      </w:pPr>
      <w:r w:rsidRPr="00AA5756">
        <w:rPr>
          <w:lang w:val="en-GB"/>
        </w:rPr>
        <w:t xml:space="preserve">More recent </w:t>
      </w:r>
      <w:r w:rsidR="00940A5E" w:rsidRPr="00AA5756">
        <w:rPr>
          <w:lang w:val="en-GB"/>
        </w:rPr>
        <w:t xml:space="preserve">‘push’ </w:t>
      </w:r>
      <w:r w:rsidRPr="00AA5756">
        <w:rPr>
          <w:lang w:val="en-GB"/>
        </w:rPr>
        <w:t xml:space="preserve">approaches thus have highlighted the role of </w:t>
      </w:r>
      <w:r w:rsidRPr="00AA5756">
        <w:rPr>
          <w:i/>
          <w:lang w:val="en-GB"/>
        </w:rPr>
        <w:t>institutional labour market characteristics</w:t>
      </w:r>
      <w:r w:rsidRPr="00AA5756">
        <w:rPr>
          <w:lang w:val="en-GB"/>
        </w:rPr>
        <w:t xml:space="preserve"> in explaining older workers’ employment patterns.</w:t>
      </w:r>
      <w:r w:rsidR="00C96280" w:rsidRPr="00AA5756">
        <w:rPr>
          <w:lang w:val="en-GB"/>
        </w:rPr>
        <w:t xml:space="preserve"> Following the ‘Varieties of Capitalism’ approach</w:t>
      </w:r>
      <w:r w:rsidRPr="00AA5756">
        <w:rPr>
          <w:lang w:val="en-GB"/>
        </w:rPr>
        <w:t xml:space="preserve"> </w:t>
      </w:r>
      <w:r w:rsidR="00C96280" w:rsidRPr="00AA5756">
        <w:rPr>
          <w:lang w:val="en-GB"/>
        </w:rPr>
        <w:t>(</w:t>
      </w:r>
      <w:r w:rsidR="00C96280" w:rsidRPr="003C2D34">
        <w:rPr>
          <w:i/>
          <w:lang w:val="en-GB"/>
        </w:rPr>
        <w:t xml:space="preserve">Hall </w:t>
      </w:r>
      <w:r w:rsidR="00F070F4">
        <w:rPr>
          <w:lang w:val="en-US"/>
        </w:rPr>
        <w:t xml:space="preserve">and </w:t>
      </w:r>
      <w:r w:rsidR="00C96280" w:rsidRPr="003C2D34">
        <w:rPr>
          <w:i/>
          <w:lang w:val="en-GB"/>
        </w:rPr>
        <w:t>Soskice</w:t>
      </w:r>
      <w:r w:rsidR="00F070F4">
        <w:rPr>
          <w:i/>
          <w:lang w:val="en-GB"/>
        </w:rPr>
        <w:t>,</w:t>
      </w:r>
      <w:r w:rsidR="00C96280" w:rsidRPr="003C2D34">
        <w:rPr>
          <w:i/>
          <w:lang w:val="en-GB"/>
        </w:rPr>
        <w:t xml:space="preserve"> </w:t>
      </w:r>
      <w:r w:rsidR="00C96280" w:rsidRPr="00AA5756">
        <w:rPr>
          <w:lang w:val="en-GB"/>
        </w:rPr>
        <w:t>2011), it was argued that especially the highly regulated ‘</w:t>
      </w:r>
      <w:r w:rsidR="00C96280" w:rsidRPr="00AA5756">
        <w:rPr>
          <w:i/>
          <w:lang w:val="en-GB"/>
        </w:rPr>
        <w:t>coordinated market economies</w:t>
      </w:r>
      <w:r w:rsidR="00C96280" w:rsidRPr="00AA5756">
        <w:rPr>
          <w:lang w:val="en-GB"/>
        </w:rPr>
        <w:t xml:space="preserve">’ of Central (and partly Southern) European countries promote the redundancy of older workers: Labour relations between employers and employees are </w:t>
      </w:r>
      <w:r w:rsidR="003C2D34">
        <w:rPr>
          <w:lang w:val="en-GB"/>
        </w:rPr>
        <w:t xml:space="preserve">based on a long-term horizon and thus are </w:t>
      </w:r>
      <w:r w:rsidR="00C96280" w:rsidRPr="00AA5756">
        <w:rPr>
          <w:lang w:val="en-GB"/>
        </w:rPr>
        <w:t xml:space="preserve">strongly institutionalized, reflected in high degrees of employment protection and the central importance of the seniority principle (i.e. institutionalised increases in pay and employment security with tenure). </w:t>
      </w:r>
      <w:r w:rsidR="003C2D34">
        <w:rPr>
          <w:lang w:val="en-GB"/>
        </w:rPr>
        <w:t>T</w:t>
      </w:r>
      <w:r w:rsidR="00C96280" w:rsidRPr="00AA5756">
        <w:rPr>
          <w:lang w:val="en-GB"/>
        </w:rPr>
        <w:t xml:space="preserve">hese measures have often turned older workers into a relatively costly and </w:t>
      </w:r>
      <w:r w:rsidR="003C2D34">
        <w:rPr>
          <w:lang w:val="en-GB"/>
        </w:rPr>
        <w:t>inflexible while</w:t>
      </w:r>
      <w:r w:rsidR="00940A5E" w:rsidRPr="00AA5756">
        <w:rPr>
          <w:lang w:val="en-GB"/>
        </w:rPr>
        <w:t xml:space="preserve"> highly standardized </w:t>
      </w:r>
      <w:r w:rsidR="00F070F4">
        <w:rPr>
          <w:lang w:val="en-GB"/>
        </w:rPr>
        <w:t xml:space="preserve">and largely </w:t>
      </w:r>
      <w:r w:rsidR="003C2D34">
        <w:rPr>
          <w:lang w:val="en-GB"/>
        </w:rPr>
        <w:t xml:space="preserve">front-loaded education systems </w:t>
      </w:r>
      <w:r w:rsidR="00940A5E" w:rsidRPr="00AA5756">
        <w:rPr>
          <w:lang w:val="en-GB"/>
        </w:rPr>
        <w:t xml:space="preserve">hindered older workers to adapt their qualifications to changing labour market demands. As a consequence, older workers in </w:t>
      </w:r>
      <w:r w:rsidR="003C2D34">
        <w:rPr>
          <w:lang w:val="en-GB"/>
        </w:rPr>
        <w:t>coordinated market economies</w:t>
      </w:r>
      <w:r w:rsidR="00940A5E" w:rsidRPr="00AA5756">
        <w:rPr>
          <w:lang w:val="en-GB"/>
        </w:rPr>
        <w:t xml:space="preserve"> were frequently sent </w:t>
      </w:r>
      <w:r w:rsidR="00C96280" w:rsidRPr="00AA5756">
        <w:rPr>
          <w:lang w:val="en-GB"/>
        </w:rPr>
        <w:t xml:space="preserve">into early retirement, </w:t>
      </w:r>
      <w:r w:rsidR="00940A5E" w:rsidRPr="00AA5756">
        <w:rPr>
          <w:lang w:val="en-GB"/>
        </w:rPr>
        <w:t>often</w:t>
      </w:r>
      <w:r w:rsidR="00C96280" w:rsidRPr="00AA5756">
        <w:rPr>
          <w:lang w:val="en-GB"/>
        </w:rPr>
        <w:t xml:space="preserve"> “helped” by </w:t>
      </w:r>
      <w:r w:rsidR="00940A5E" w:rsidRPr="00AA5756">
        <w:rPr>
          <w:lang w:val="en-GB"/>
        </w:rPr>
        <w:t xml:space="preserve">generous </w:t>
      </w:r>
      <w:r w:rsidR="00C96280" w:rsidRPr="00AA5756">
        <w:rPr>
          <w:lang w:val="en-GB"/>
        </w:rPr>
        <w:t>occupational benefits</w:t>
      </w:r>
      <w:r w:rsidR="00940A5E" w:rsidRPr="00AA5756">
        <w:rPr>
          <w:lang w:val="en-GB"/>
        </w:rPr>
        <w:t xml:space="preserve"> or lump sum payments</w:t>
      </w:r>
      <w:r w:rsidR="00C96280" w:rsidRPr="00AA5756">
        <w:rPr>
          <w:lang w:val="en-GB"/>
        </w:rPr>
        <w:t xml:space="preserve">. </w:t>
      </w:r>
    </w:p>
    <w:p w:rsidR="001F2A1B" w:rsidRDefault="00976409" w:rsidP="001F2A1B">
      <w:pPr>
        <w:spacing w:after="120"/>
        <w:jc w:val="both"/>
        <w:rPr>
          <w:lang w:val="en-GB"/>
        </w:rPr>
      </w:pPr>
      <w:r w:rsidRPr="00AA5756">
        <w:rPr>
          <w:lang w:val="en-GB"/>
        </w:rPr>
        <w:t>In contrast, in the less regulated ‘</w:t>
      </w:r>
      <w:r w:rsidRPr="003C2D34">
        <w:rPr>
          <w:lang w:val="en-GB"/>
        </w:rPr>
        <w:t>liberal’ market economies</w:t>
      </w:r>
      <w:r w:rsidR="00214913" w:rsidRPr="00AA5756">
        <w:rPr>
          <w:lang w:val="en-GB"/>
        </w:rPr>
        <w:t xml:space="preserve"> of Anglo-Saxon countries,</w:t>
      </w:r>
      <w:r w:rsidRPr="00AA5756">
        <w:rPr>
          <w:lang w:val="en-GB"/>
        </w:rPr>
        <w:t xml:space="preserve"> ‘push’ forces were significantly l</w:t>
      </w:r>
      <w:r w:rsidR="008C3B18">
        <w:rPr>
          <w:lang w:val="en-GB"/>
        </w:rPr>
        <w:t>ess developed</w:t>
      </w:r>
      <w:r w:rsidRPr="00AA5756">
        <w:rPr>
          <w:lang w:val="en-GB"/>
        </w:rPr>
        <w:t xml:space="preserve"> </w:t>
      </w:r>
      <w:r w:rsidR="008C3B18">
        <w:rPr>
          <w:lang w:val="en-GB"/>
        </w:rPr>
        <w:t>as</w:t>
      </w:r>
      <w:r w:rsidRPr="00AA5756">
        <w:rPr>
          <w:lang w:val="en-GB"/>
        </w:rPr>
        <w:t xml:space="preserve"> the largely unstandardized education system</w:t>
      </w:r>
      <w:r w:rsidR="008C3B18">
        <w:rPr>
          <w:lang w:val="en-GB"/>
        </w:rPr>
        <w:t xml:space="preserve">, </w:t>
      </w:r>
      <w:r w:rsidRPr="00AA5756">
        <w:rPr>
          <w:lang w:val="en-GB"/>
        </w:rPr>
        <w:t xml:space="preserve">a flexible labour market </w:t>
      </w:r>
      <w:r w:rsidR="008C3B18">
        <w:rPr>
          <w:lang w:val="en-GB"/>
        </w:rPr>
        <w:t xml:space="preserve">with only modest seniority regulations </w:t>
      </w:r>
      <w:r w:rsidRPr="00AA5756">
        <w:rPr>
          <w:lang w:val="en-GB"/>
        </w:rPr>
        <w:t xml:space="preserve">and the mere absence of employment protection put older workers into a </w:t>
      </w:r>
      <w:r w:rsidR="008C3B18">
        <w:rPr>
          <w:lang w:val="en-GB"/>
        </w:rPr>
        <w:t xml:space="preserve">less </w:t>
      </w:r>
      <w:r w:rsidRPr="00AA5756">
        <w:rPr>
          <w:lang w:val="en-GB"/>
        </w:rPr>
        <w:t xml:space="preserve">disadvantaged </w:t>
      </w:r>
      <w:r w:rsidR="008C3B18">
        <w:rPr>
          <w:lang w:val="en-GB"/>
        </w:rPr>
        <w:t>structural</w:t>
      </w:r>
      <w:r w:rsidR="008C3B18" w:rsidRPr="00AA5756">
        <w:rPr>
          <w:lang w:val="en-GB"/>
        </w:rPr>
        <w:t xml:space="preserve"> </w:t>
      </w:r>
      <w:r w:rsidRPr="00AA5756">
        <w:rPr>
          <w:lang w:val="en-GB"/>
        </w:rPr>
        <w:t>position. Older workers thus were primarily displaced in times of economic downturns; at the same time, however, they could profit from the highly flexible labour market as it provided them with good re-entry opportunities into employmen</w:t>
      </w:r>
      <w:r w:rsidR="0074366E" w:rsidRPr="00AA5756">
        <w:rPr>
          <w:lang w:val="en-GB"/>
        </w:rPr>
        <w:t>t, even beyond retirement ages.</w:t>
      </w:r>
    </w:p>
    <w:p w:rsidR="008D3F8F" w:rsidRPr="001F2A1B" w:rsidRDefault="001A388A" w:rsidP="001F2A1B">
      <w:pPr>
        <w:spacing w:before="120" w:after="120"/>
        <w:jc w:val="both"/>
        <w:rPr>
          <w:lang w:val="en-GB"/>
        </w:rPr>
      </w:pPr>
      <w:r w:rsidRPr="00AA5756">
        <w:rPr>
          <w:i/>
          <w:lang w:val="en-GB"/>
        </w:rPr>
        <w:t xml:space="preserve">2.2.3. </w:t>
      </w:r>
      <w:r w:rsidR="00707466" w:rsidRPr="00AA5756">
        <w:rPr>
          <w:i/>
          <w:lang w:val="en-GB"/>
        </w:rPr>
        <w:t xml:space="preserve">Stay Factors </w:t>
      </w:r>
    </w:p>
    <w:p w:rsidR="00BC7515" w:rsidRPr="00AA2059" w:rsidRDefault="001215F0" w:rsidP="00BC7515">
      <w:pPr>
        <w:spacing w:after="120"/>
        <w:contextualSpacing/>
        <w:jc w:val="both"/>
        <w:rPr>
          <w:lang w:val="en-GB"/>
        </w:rPr>
      </w:pPr>
      <w:r w:rsidRPr="00AA5756">
        <w:rPr>
          <w:lang w:val="en-GB"/>
        </w:rPr>
        <w:t xml:space="preserve">Especially throughout the paradigmatic turn from early retirement to active ageing, policies to maintain older workers within employment </w:t>
      </w:r>
      <w:r w:rsidR="00277BA1">
        <w:rPr>
          <w:lang w:val="en-GB"/>
        </w:rPr>
        <w:t xml:space="preserve">additionally </w:t>
      </w:r>
      <w:r w:rsidRPr="00AA5756">
        <w:rPr>
          <w:lang w:val="en-GB"/>
        </w:rPr>
        <w:t>have gained in importance. Such ‘</w:t>
      </w:r>
      <w:r w:rsidRPr="00AA5756">
        <w:rPr>
          <w:i/>
          <w:lang w:val="en-GB"/>
        </w:rPr>
        <w:t>stay factors</w:t>
      </w:r>
      <w:r w:rsidRPr="00AA5756">
        <w:rPr>
          <w:lang w:val="en-GB"/>
        </w:rPr>
        <w:t>’</w:t>
      </w:r>
      <w:r w:rsidR="00AA2059">
        <w:rPr>
          <w:lang w:val="en-GB"/>
        </w:rPr>
        <w:t xml:space="preserve"> (</w:t>
      </w:r>
      <w:proofErr w:type="spellStart"/>
      <w:r w:rsidR="00AA2059" w:rsidRPr="005C3A24">
        <w:rPr>
          <w:i/>
          <w:lang w:val="en-GB"/>
        </w:rPr>
        <w:t>Ebbinghaus</w:t>
      </w:r>
      <w:proofErr w:type="spellEnd"/>
      <w:r w:rsidR="00AA2059" w:rsidRPr="005C3A24">
        <w:rPr>
          <w:i/>
          <w:lang w:val="en-GB"/>
        </w:rPr>
        <w:t xml:space="preserve"> &amp; </w:t>
      </w:r>
      <w:proofErr w:type="spellStart"/>
      <w:r w:rsidR="00AA2059" w:rsidRPr="005C3A24">
        <w:rPr>
          <w:i/>
          <w:lang w:val="en-GB"/>
        </w:rPr>
        <w:t>Hofäcker</w:t>
      </w:r>
      <w:proofErr w:type="spellEnd"/>
      <w:r w:rsidR="00AA2059">
        <w:rPr>
          <w:lang w:val="en-GB"/>
        </w:rPr>
        <w:t>, forthcoming)</w:t>
      </w:r>
      <w:r w:rsidR="00C33B7C" w:rsidRPr="00AA5756">
        <w:rPr>
          <w:lang w:val="en-GB"/>
        </w:rPr>
        <w:t xml:space="preserve">, on the one hand, </w:t>
      </w:r>
      <w:r w:rsidRPr="00AA5756">
        <w:rPr>
          <w:lang w:val="en-GB"/>
        </w:rPr>
        <w:t xml:space="preserve">encompass </w:t>
      </w:r>
      <w:r w:rsidR="00C33B7C" w:rsidRPr="00AA5756">
        <w:rPr>
          <w:i/>
          <w:lang w:val="en-GB"/>
        </w:rPr>
        <w:t>lifelong learning</w:t>
      </w:r>
      <w:r w:rsidR="00C33B7C" w:rsidRPr="00AA5756">
        <w:rPr>
          <w:lang w:val="en-GB"/>
        </w:rPr>
        <w:t xml:space="preserve"> policies that aim to reduce the </w:t>
      </w:r>
      <w:r w:rsidR="005C3A24">
        <w:rPr>
          <w:lang w:val="en-GB"/>
        </w:rPr>
        <w:t xml:space="preserve">relative </w:t>
      </w:r>
      <w:r w:rsidR="00C33B7C" w:rsidRPr="00AA5756">
        <w:rPr>
          <w:lang w:val="en-GB"/>
        </w:rPr>
        <w:t xml:space="preserve">qualification disadvantages of older workers and thereby to enhance their </w:t>
      </w:r>
      <w:r w:rsidR="005C3A24">
        <w:rPr>
          <w:lang w:val="en-GB"/>
        </w:rPr>
        <w:t xml:space="preserve">potential </w:t>
      </w:r>
      <w:r w:rsidR="00C33B7C" w:rsidRPr="00AA5756">
        <w:rPr>
          <w:lang w:val="en-GB"/>
        </w:rPr>
        <w:t>employability</w:t>
      </w:r>
      <w:r w:rsidR="005C3A24">
        <w:rPr>
          <w:lang w:val="en-GB"/>
        </w:rPr>
        <w:t>.</w:t>
      </w:r>
      <w:r w:rsidR="00C33B7C" w:rsidRPr="00AA5756">
        <w:rPr>
          <w:lang w:val="en-GB"/>
        </w:rPr>
        <w:t xml:space="preserve"> On the other hand, they include</w:t>
      </w:r>
      <w:r w:rsidR="005C3A24">
        <w:rPr>
          <w:lang w:val="en-GB"/>
        </w:rPr>
        <w:t xml:space="preserve"> targeted</w:t>
      </w:r>
      <w:r w:rsidR="00C33B7C" w:rsidRPr="00AA5756">
        <w:rPr>
          <w:lang w:val="en-GB"/>
        </w:rPr>
        <w:t xml:space="preserve"> active labour market policies for </w:t>
      </w:r>
      <w:r w:rsidR="005C3A24">
        <w:rPr>
          <w:lang w:val="en-GB"/>
        </w:rPr>
        <w:t xml:space="preserve">the </w:t>
      </w:r>
      <w:r w:rsidR="00C33B7C" w:rsidRPr="00AA5756">
        <w:rPr>
          <w:lang w:val="en-GB"/>
        </w:rPr>
        <w:t>older work</w:t>
      </w:r>
      <w:r w:rsidR="005C3A24">
        <w:rPr>
          <w:lang w:val="en-GB"/>
        </w:rPr>
        <w:t>force, e.g.</w:t>
      </w:r>
      <w:r w:rsidR="00C33B7C" w:rsidRPr="00AA5756">
        <w:rPr>
          <w:lang w:val="en-GB"/>
        </w:rPr>
        <w:t xml:space="preserve"> job creation or counse</w:t>
      </w:r>
      <w:r w:rsidR="00AA5756">
        <w:rPr>
          <w:lang w:val="en-GB"/>
        </w:rPr>
        <w:t>l</w:t>
      </w:r>
      <w:r w:rsidR="00C33B7C" w:rsidRPr="00AA5756">
        <w:rPr>
          <w:lang w:val="en-GB"/>
        </w:rPr>
        <w:t xml:space="preserve">ling </w:t>
      </w:r>
      <w:r w:rsidR="005C3A24">
        <w:rPr>
          <w:lang w:val="en-GB"/>
        </w:rPr>
        <w:t xml:space="preserve">schemes </w:t>
      </w:r>
      <w:r w:rsidR="00C33B7C" w:rsidRPr="00AA5756">
        <w:rPr>
          <w:lang w:val="en-GB"/>
        </w:rPr>
        <w:t>that augment older workers’ chances for successful job search.</w:t>
      </w:r>
      <w:r w:rsidR="003B7BBE" w:rsidRPr="00AA5756">
        <w:rPr>
          <w:lang w:val="en-GB"/>
        </w:rPr>
        <w:t xml:space="preserve"> Traditionally, both measures have loomed large in Northern European countries where </w:t>
      </w:r>
      <w:r w:rsidR="005C3A24">
        <w:rPr>
          <w:lang w:val="en-GB"/>
        </w:rPr>
        <w:t>such policies</w:t>
      </w:r>
      <w:r w:rsidR="003B7BBE" w:rsidRPr="00AA5756">
        <w:rPr>
          <w:lang w:val="en-GB"/>
        </w:rPr>
        <w:t xml:space="preserve"> have helped older workers to remain in or re-enter employment.</w:t>
      </w:r>
      <w:r w:rsidR="00721872" w:rsidRPr="00AA5756">
        <w:rPr>
          <w:lang w:val="en-GB"/>
        </w:rPr>
        <w:t xml:space="preserve"> </w:t>
      </w:r>
      <w:r w:rsidR="00BC7515" w:rsidRPr="00AA5756">
        <w:rPr>
          <w:lang w:val="en-GB"/>
        </w:rPr>
        <w:t>Through the recent decade, however, these measures increasingly have spread across other European countries as well. In fact, it appears to be those countries where active labour market policies and lifelong learning opportunities are more developed or where their importance has increased recently where the reversal in early retirement has been most pronounced (</w:t>
      </w:r>
      <w:r w:rsidR="005C3A24" w:rsidRPr="00F070F4">
        <w:rPr>
          <w:i/>
          <w:lang w:val="en-GB"/>
        </w:rPr>
        <w:t>ibid</w:t>
      </w:r>
      <w:r w:rsidR="005C3A24">
        <w:rPr>
          <w:lang w:val="en-GB"/>
        </w:rPr>
        <w:t>.</w:t>
      </w:r>
      <w:r w:rsidR="00BC7515" w:rsidRPr="00AA5756">
        <w:rPr>
          <w:lang w:val="en-GB"/>
        </w:rPr>
        <w:t xml:space="preserve">). </w:t>
      </w:r>
    </w:p>
    <w:p w:rsidR="000857FB" w:rsidRPr="00AA5756" w:rsidRDefault="000857FB" w:rsidP="00893357">
      <w:pPr>
        <w:pStyle w:val="Listenabsatz"/>
        <w:numPr>
          <w:ilvl w:val="1"/>
          <w:numId w:val="2"/>
        </w:numPr>
        <w:spacing w:before="120"/>
        <w:ind w:left="0" w:firstLine="0"/>
        <w:contextualSpacing w:val="0"/>
        <w:rPr>
          <w:lang w:val="en-GB"/>
        </w:rPr>
      </w:pPr>
      <w:r w:rsidRPr="00AA5756">
        <w:rPr>
          <w:lang w:val="en-GB"/>
        </w:rPr>
        <w:t>Voluntary and Involuntary Retirement</w:t>
      </w:r>
    </w:p>
    <w:p w:rsidR="003B01CF" w:rsidRPr="00AA5756" w:rsidRDefault="00A237E7" w:rsidP="003B01CF">
      <w:pPr>
        <w:spacing w:after="120"/>
        <w:contextualSpacing/>
        <w:jc w:val="both"/>
        <w:rPr>
          <w:lang w:val="en-GB"/>
        </w:rPr>
      </w:pPr>
      <w:r w:rsidRPr="00AA5756">
        <w:rPr>
          <w:lang w:val="en-GB"/>
        </w:rPr>
        <w:t xml:space="preserve">Throughout recent decades, there have been numerous cross-national studies that have </w:t>
      </w:r>
      <w:r w:rsidR="0074366E" w:rsidRPr="00AA5756">
        <w:rPr>
          <w:lang w:val="en-GB"/>
        </w:rPr>
        <w:t>investigated and empirically</w:t>
      </w:r>
      <w:r w:rsidR="0098486E" w:rsidRPr="00AA5756">
        <w:rPr>
          <w:lang w:val="en-GB"/>
        </w:rPr>
        <w:t xml:space="preserve"> highlighted</w:t>
      </w:r>
      <w:r w:rsidRPr="00AA5756">
        <w:rPr>
          <w:lang w:val="en-GB"/>
        </w:rPr>
        <w:t xml:space="preserve"> the importance of pull (e.g. </w:t>
      </w:r>
      <w:r w:rsidRPr="00277BA1">
        <w:rPr>
          <w:i/>
          <w:lang w:val="en-GB"/>
        </w:rPr>
        <w:t>Gruber and Wise</w:t>
      </w:r>
      <w:r w:rsidR="009269D0">
        <w:rPr>
          <w:lang w:val="en-GB"/>
        </w:rPr>
        <w:t>,</w:t>
      </w:r>
      <w:r w:rsidRPr="00AA5756">
        <w:rPr>
          <w:lang w:val="en-GB"/>
        </w:rPr>
        <w:t xml:space="preserve"> 1999, 2004, </w:t>
      </w:r>
      <w:proofErr w:type="spellStart"/>
      <w:r w:rsidRPr="00277BA1">
        <w:rPr>
          <w:i/>
          <w:lang w:val="en-GB"/>
        </w:rPr>
        <w:t>Blöndal</w:t>
      </w:r>
      <w:proofErr w:type="spellEnd"/>
      <w:r w:rsidRPr="00277BA1">
        <w:rPr>
          <w:i/>
          <w:lang w:val="en-GB"/>
        </w:rPr>
        <w:t xml:space="preserve"> </w:t>
      </w:r>
      <w:r w:rsidR="009269D0" w:rsidRPr="00277BA1">
        <w:rPr>
          <w:i/>
          <w:lang w:val="en-GB"/>
        </w:rPr>
        <w:t>and</w:t>
      </w:r>
      <w:r w:rsidRPr="00277BA1">
        <w:rPr>
          <w:i/>
          <w:lang w:val="en-GB"/>
        </w:rPr>
        <w:t xml:space="preserve"> </w:t>
      </w:r>
      <w:proofErr w:type="spellStart"/>
      <w:r w:rsidRPr="00277BA1">
        <w:rPr>
          <w:i/>
          <w:lang w:val="en-GB"/>
        </w:rPr>
        <w:t>Scarpetta</w:t>
      </w:r>
      <w:proofErr w:type="spellEnd"/>
      <w:r w:rsidR="009269D0">
        <w:rPr>
          <w:lang w:val="en-GB"/>
        </w:rPr>
        <w:t>,</w:t>
      </w:r>
      <w:r w:rsidRPr="00AA5756">
        <w:rPr>
          <w:lang w:val="en-GB"/>
        </w:rPr>
        <w:t xml:space="preserve"> 1999, OECD</w:t>
      </w:r>
      <w:r w:rsidR="009269D0">
        <w:rPr>
          <w:lang w:val="en-GB"/>
        </w:rPr>
        <w:t>,</w:t>
      </w:r>
      <w:r w:rsidRPr="00AA5756">
        <w:rPr>
          <w:lang w:val="en-GB"/>
        </w:rPr>
        <w:t xml:space="preserve"> 2006) respectively push factors (e.g. </w:t>
      </w:r>
      <w:proofErr w:type="spellStart"/>
      <w:r w:rsidRPr="00277BA1">
        <w:rPr>
          <w:i/>
          <w:lang w:val="en-GB"/>
        </w:rPr>
        <w:t>Blossfe</w:t>
      </w:r>
      <w:r w:rsidR="0098486E" w:rsidRPr="00277BA1">
        <w:rPr>
          <w:i/>
          <w:lang w:val="en-GB"/>
        </w:rPr>
        <w:t>ld</w:t>
      </w:r>
      <w:proofErr w:type="spellEnd"/>
      <w:r w:rsidR="0098486E" w:rsidRPr="00277BA1">
        <w:rPr>
          <w:i/>
          <w:lang w:val="en-GB"/>
        </w:rPr>
        <w:t xml:space="preserve"> et al</w:t>
      </w:r>
      <w:r w:rsidR="0098486E" w:rsidRPr="00AA5756">
        <w:rPr>
          <w:lang w:val="en-GB"/>
        </w:rPr>
        <w:t>.</w:t>
      </w:r>
      <w:r w:rsidR="009269D0">
        <w:rPr>
          <w:lang w:val="en-GB"/>
        </w:rPr>
        <w:t>,</w:t>
      </w:r>
      <w:r w:rsidR="0098486E" w:rsidRPr="00AA5756">
        <w:rPr>
          <w:lang w:val="en-GB"/>
        </w:rPr>
        <w:t xml:space="preserve"> 2006, </w:t>
      </w:r>
      <w:proofErr w:type="spellStart"/>
      <w:r w:rsidR="0098486E" w:rsidRPr="00277BA1">
        <w:rPr>
          <w:i/>
          <w:lang w:val="en-GB"/>
        </w:rPr>
        <w:t>Ebbinghaus</w:t>
      </w:r>
      <w:proofErr w:type="spellEnd"/>
      <w:r w:rsidR="009269D0">
        <w:rPr>
          <w:lang w:val="en-GB"/>
        </w:rPr>
        <w:t>,</w:t>
      </w:r>
      <w:r w:rsidR="0098486E" w:rsidRPr="00AA5756">
        <w:rPr>
          <w:lang w:val="en-GB"/>
        </w:rPr>
        <w:t xml:space="preserve"> 2006</w:t>
      </w:r>
      <w:r w:rsidRPr="00AA5756">
        <w:rPr>
          <w:lang w:val="en-GB"/>
        </w:rPr>
        <w:t>) for (early) retirement patterns of older workers</w:t>
      </w:r>
      <w:r w:rsidR="0074366E" w:rsidRPr="00AA5756">
        <w:rPr>
          <w:lang w:val="en-GB"/>
        </w:rPr>
        <w:t>.</w:t>
      </w:r>
      <w:r w:rsidR="0098486E" w:rsidRPr="00AA5756">
        <w:rPr>
          <w:lang w:val="en-GB"/>
        </w:rPr>
        <w:t xml:space="preserve"> Studies that considered both groups of factors simultaneously </w:t>
      </w:r>
      <w:r w:rsidR="00277BA1">
        <w:rPr>
          <w:lang w:val="en-GB"/>
        </w:rPr>
        <w:t>highlight</w:t>
      </w:r>
      <w:r w:rsidR="0098486E" w:rsidRPr="00AA5756">
        <w:rPr>
          <w:lang w:val="en-GB"/>
        </w:rPr>
        <w:t xml:space="preserve"> the complimentary nature of both explanation</w:t>
      </w:r>
      <w:r w:rsidR="00277BA1">
        <w:rPr>
          <w:lang w:val="en-GB"/>
        </w:rPr>
        <w:t>s</w:t>
      </w:r>
      <w:r w:rsidR="0098486E" w:rsidRPr="00AA5756">
        <w:rPr>
          <w:lang w:val="en-GB"/>
        </w:rPr>
        <w:t xml:space="preserve">. </w:t>
      </w:r>
      <w:r w:rsidR="00277BA1">
        <w:rPr>
          <w:lang w:val="en-GB"/>
        </w:rPr>
        <w:t>U</w:t>
      </w:r>
      <w:r w:rsidR="00117E05" w:rsidRPr="00AA5756">
        <w:rPr>
          <w:lang w:val="en-GB"/>
        </w:rPr>
        <w:t xml:space="preserve">sing </w:t>
      </w:r>
      <w:r w:rsidR="0098486E" w:rsidRPr="00AA5756">
        <w:rPr>
          <w:lang w:val="en-GB"/>
        </w:rPr>
        <w:t xml:space="preserve">data from the Survey of Health, Ageing and Retirement in Europe (SHARE), </w:t>
      </w:r>
      <w:proofErr w:type="spellStart"/>
      <w:r w:rsidR="0098486E" w:rsidRPr="00277BA1">
        <w:rPr>
          <w:i/>
          <w:lang w:val="en-GB"/>
        </w:rPr>
        <w:t>Debrand</w:t>
      </w:r>
      <w:proofErr w:type="spellEnd"/>
      <w:r w:rsidR="0098486E" w:rsidRPr="00277BA1">
        <w:rPr>
          <w:i/>
          <w:lang w:val="en-GB"/>
        </w:rPr>
        <w:t xml:space="preserve"> and </w:t>
      </w:r>
      <w:proofErr w:type="spellStart"/>
      <w:r w:rsidR="0098486E" w:rsidRPr="00277BA1">
        <w:rPr>
          <w:i/>
          <w:lang w:val="en-GB"/>
        </w:rPr>
        <w:t>Sirven</w:t>
      </w:r>
      <w:proofErr w:type="spellEnd"/>
      <w:r w:rsidR="0098486E" w:rsidRPr="00AA5756">
        <w:rPr>
          <w:lang w:val="en-GB"/>
        </w:rPr>
        <w:t xml:space="preserve"> (2009) </w:t>
      </w:r>
      <w:r w:rsidR="00277BA1">
        <w:rPr>
          <w:lang w:val="en-GB"/>
        </w:rPr>
        <w:t>assert</w:t>
      </w:r>
      <w:r w:rsidR="0098486E" w:rsidRPr="00AA5756">
        <w:rPr>
          <w:lang w:val="en-GB"/>
        </w:rPr>
        <w:t xml:space="preserve"> that </w:t>
      </w:r>
      <w:r w:rsidR="00117E05" w:rsidRPr="00AA5756">
        <w:rPr>
          <w:lang w:val="en-GB"/>
        </w:rPr>
        <w:t xml:space="preserve">there is </w:t>
      </w:r>
      <w:r w:rsidR="00117E05" w:rsidRPr="00AA5756">
        <w:rPr>
          <w:lang w:val="en-GB"/>
        </w:rPr>
        <w:lastRenderedPageBreak/>
        <w:t xml:space="preserve">“a multitude of explicative factors concerning the transition from employment to retirement” (p. 13) with “the various individual and contextual domains with social protection, each playing a significant role” (p.1). Using the same data, </w:t>
      </w:r>
      <w:proofErr w:type="spellStart"/>
      <w:r w:rsidR="00117E05" w:rsidRPr="00277BA1">
        <w:rPr>
          <w:i/>
          <w:lang w:val="en-GB"/>
        </w:rPr>
        <w:t>Engelhardt</w:t>
      </w:r>
      <w:proofErr w:type="spellEnd"/>
      <w:r w:rsidR="00117E05" w:rsidRPr="00AA5756">
        <w:rPr>
          <w:lang w:val="en-GB"/>
        </w:rPr>
        <w:t xml:space="preserve"> </w:t>
      </w:r>
      <w:r w:rsidR="003B01CF" w:rsidRPr="00AA5756">
        <w:rPr>
          <w:lang w:val="en-GB"/>
        </w:rPr>
        <w:t>(2011) comes to a similar conclusion when noting that “a high proportion of regional variance in labo</w:t>
      </w:r>
      <w:r w:rsidR="00AA5756">
        <w:rPr>
          <w:lang w:val="en-GB"/>
        </w:rPr>
        <w:t>u</w:t>
      </w:r>
      <w:r w:rsidR="003B01CF" w:rsidRPr="00AA5756">
        <w:rPr>
          <w:lang w:val="en-GB"/>
        </w:rPr>
        <w:t>r market exit in Europe can be explained by the different early pension age schemes, the implicit tax rates, the shares of adult, and elderly population in CET measures as well as the public expenditure in active labo</w:t>
      </w:r>
      <w:r w:rsidR="00AA5756">
        <w:rPr>
          <w:lang w:val="en-GB"/>
        </w:rPr>
        <w:t>u</w:t>
      </w:r>
      <w:r w:rsidR="003B01CF" w:rsidRPr="00AA5756">
        <w:rPr>
          <w:lang w:val="en-GB"/>
        </w:rPr>
        <w:t xml:space="preserve">r-market programs” (p.12). </w:t>
      </w:r>
      <w:r w:rsidR="00C71D05" w:rsidRPr="00AA5756">
        <w:rPr>
          <w:lang w:val="en-GB"/>
        </w:rPr>
        <w:t xml:space="preserve">Finally, looking at early retirement </w:t>
      </w:r>
      <w:r w:rsidR="00C71D05" w:rsidRPr="00277BA1">
        <w:rPr>
          <w:i/>
          <w:lang w:val="en-GB"/>
        </w:rPr>
        <w:t>aspirations</w:t>
      </w:r>
      <w:r w:rsidR="00C71D05" w:rsidRPr="00AA5756">
        <w:rPr>
          <w:lang w:val="en-GB"/>
        </w:rPr>
        <w:t xml:space="preserve"> instead of already completed transitions, </w:t>
      </w:r>
      <w:r w:rsidR="00C71D05" w:rsidRPr="00277BA1">
        <w:rPr>
          <w:i/>
          <w:lang w:val="en-GB"/>
        </w:rPr>
        <w:t xml:space="preserve">Blanchet and </w:t>
      </w:r>
      <w:proofErr w:type="spellStart"/>
      <w:r w:rsidR="00C71D05" w:rsidRPr="00277BA1">
        <w:rPr>
          <w:i/>
          <w:lang w:val="en-GB"/>
        </w:rPr>
        <w:t>Debrand</w:t>
      </w:r>
      <w:proofErr w:type="spellEnd"/>
      <w:r w:rsidR="00C71D05" w:rsidRPr="00AA5756">
        <w:rPr>
          <w:lang w:val="en-GB"/>
        </w:rPr>
        <w:t xml:space="preserve"> (2008) find that non-financial factors such as health and working conditions (i.e. push factors) </w:t>
      </w:r>
      <w:r w:rsidR="00C71D05" w:rsidRPr="00AA5756">
        <w:rPr>
          <w:lang w:val="en-GB"/>
        </w:rPr>
        <w:tab/>
        <w:t xml:space="preserve">are of major importance in explaining </w:t>
      </w:r>
      <w:proofErr w:type="spellStart"/>
      <w:r w:rsidR="00C71D05" w:rsidRPr="00AA5756">
        <w:rPr>
          <w:lang w:val="en-GB"/>
        </w:rPr>
        <w:t>inter</w:t>
      </w:r>
      <w:r w:rsidR="00C71D05" w:rsidRPr="00AA5756">
        <w:rPr>
          <w:i/>
          <w:lang w:val="en-GB"/>
        </w:rPr>
        <w:t>individual</w:t>
      </w:r>
      <w:proofErr w:type="spellEnd"/>
      <w:r w:rsidR="00C71D05" w:rsidRPr="00AA5756">
        <w:rPr>
          <w:lang w:val="en-GB"/>
        </w:rPr>
        <w:t xml:space="preserve"> differences, financial</w:t>
      </w:r>
      <w:r w:rsidR="00277BA1">
        <w:rPr>
          <w:lang w:val="en-GB"/>
        </w:rPr>
        <w:t xml:space="preserve"> incentives (i.e. pull factors)</w:t>
      </w:r>
      <w:r w:rsidR="00C71D05" w:rsidRPr="00AA5756">
        <w:rPr>
          <w:lang w:val="en-GB"/>
        </w:rPr>
        <w:t xml:space="preserve"> are more </w:t>
      </w:r>
      <w:r w:rsidR="004330A0" w:rsidRPr="00AA5756">
        <w:rPr>
          <w:lang w:val="en-GB"/>
        </w:rPr>
        <w:t>central</w:t>
      </w:r>
      <w:r w:rsidR="00C71D05" w:rsidRPr="00AA5756">
        <w:rPr>
          <w:lang w:val="en-GB"/>
        </w:rPr>
        <w:t xml:space="preserve"> </w:t>
      </w:r>
      <w:r w:rsidR="0076105B" w:rsidRPr="00AA5756">
        <w:rPr>
          <w:lang w:val="en-GB"/>
        </w:rPr>
        <w:t>f</w:t>
      </w:r>
      <w:r w:rsidR="004330A0" w:rsidRPr="00AA5756">
        <w:rPr>
          <w:lang w:val="en-GB"/>
        </w:rPr>
        <w:t>or the explanation of</w:t>
      </w:r>
      <w:r w:rsidR="00C71D05" w:rsidRPr="00AA5756">
        <w:rPr>
          <w:lang w:val="en-GB"/>
        </w:rPr>
        <w:t xml:space="preserve"> inter</w:t>
      </w:r>
      <w:r w:rsidR="00C71D05" w:rsidRPr="00AA5756">
        <w:rPr>
          <w:i/>
          <w:lang w:val="en-GB"/>
        </w:rPr>
        <w:t>national</w:t>
      </w:r>
      <w:r w:rsidR="00C71D05" w:rsidRPr="00AA5756">
        <w:rPr>
          <w:lang w:val="en-GB"/>
        </w:rPr>
        <w:t xml:space="preserve"> variation.</w:t>
      </w:r>
      <w:r w:rsidR="00605E50" w:rsidRPr="00AA5756">
        <w:rPr>
          <w:lang w:val="en-GB"/>
        </w:rPr>
        <w:t xml:space="preserve"> </w:t>
      </w:r>
    </w:p>
    <w:p w:rsidR="00397865" w:rsidRPr="00AA5756" w:rsidRDefault="00605E50" w:rsidP="00605E50">
      <w:pPr>
        <w:spacing w:after="120"/>
        <w:jc w:val="both"/>
        <w:rPr>
          <w:lang w:val="en-GB"/>
        </w:rPr>
      </w:pPr>
      <w:r w:rsidRPr="00AA5756">
        <w:rPr>
          <w:lang w:val="en-GB"/>
        </w:rPr>
        <w:t xml:space="preserve">A major shortcoming of most </w:t>
      </w:r>
      <w:r w:rsidR="000520B7">
        <w:rPr>
          <w:lang w:val="en-GB"/>
        </w:rPr>
        <w:t>existing</w:t>
      </w:r>
      <w:r w:rsidRPr="00AA5756">
        <w:rPr>
          <w:lang w:val="en-GB"/>
        </w:rPr>
        <w:t xml:space="preserve"> </w:t>
      </w:r>
      <w:r w:rsidR="000520B7">
        <w:rPr>
          <w:lang w:val="en-GB"/>
        </w:rPr>
        <w:t>analyses</w:t>
      </w:r>
      <w:r w:rsidRPr="00AA5756">
        <w:rPr>
          <w:lang w:val="en-GB"/>
        </w:rPr>
        <w:t xml:space="preserve">, however, is that they focus on retirement </w:t>
      </w:r>
      <w:r w:rsidR="000520B7">
        <w:rPr>
          <w:lang w:val="en-GB"/>
        </w:rPr>
        <w:t>transition</w:t>
      </w:r>
      <w:r w:rsidRPr="00AA5756">
        <w:rPr>
          <w:lang w:val="en-GB"/>
        </w:rPr>
        <w:t xml:space="preserve"> </w:t>
      </w:r>
      <w:r w:rsidR="000520B7" w:rsidRPr="000520B7">
        <w:rPr>
          <w:i/>
          <w:lang w:val="en-GB"/>
        </w:rPr>
        <w:t>per se</w:t>
      </w:r>
      <w:r w:rsidR="000520B7">
        <w:rPr>
          <w:lang w:val="en-GB"/>
        </w:rPr>
        <w:t xml:space="preserve"> </w:t>
      </w:r>
      <w:r w:rsidRPr="00AA5756">
        <w:rPr>
          <w:lang w:val="en-GB"/>
        </w:rPr>
        <w:t xml:space="preserve">without explicitly differentiating its motives or degree of voluntariness. </w:t>
      </w:r>
      <w:r w:rsidR="00874427">
        <w:rPr>
          <w:lang w:val="en-GB"/>
        </w:rPr>
        <w:t>C</w:t>
      </w:r>
      <w:r w:rsidRPr="00AA5756">
        <w:rPr>
          <w:lang w:val="en-GB"/>
        </w:rPr>
        <w:t>onsequen</w:t>
      </w:r>
      <w:r w:rsidR="00874427">
        <w:rPr>
          <w:lang w:val="en-GB"/>
        </w:rPr>
        <w:t>tly</w:t>
      </w:r>
      <w:r w:rsidRPr="00AA5756">
        <w:rPr>
          <w:lang w:val="en-GB"/>
        </w:rPr>
        <w:t xml:space="preserve">, </w:t>
      </w:r>
      <w:r w:rsidR="004A3FE5" w:rsidRPr="00AA5756">
        <w:rPr>
          <w:lang w:val="en-GB"/>
        </w:rPr>
        <w:t xml:space="preserve">the </w:t>
      </w:r>
      <w:r w:rsidR="000520B7">
        <w:rPr>
          <w:lang w:val="en-GB"/>
        </w:rPr>
        <w:t>actual</w:t>
      </w:r>
      <w:r w:rsidR="004A3FE5" w:rsidRPr="00AA5756">
        <w:rPr>
          <w:lang w:val="en-GB"/>
        </w:rPr>
        <w:t xml:space="preserve"> </w:t>
      </w:r>
      <w:r w:rsidR="004A3FE5" w:rsidRPr="000520B7">
        <w:rPr>
          <w:i/>
          <w:lang w:val="en-GB"/>
        </w:rPr>
        <w:t>reasons</w:t>
      </w:r>
      <w:r w:rsidR="004A3FE5" w:rsidRPr="00AA5756">
        <w:rPr>
          <w:lang w:val="en-GB"/>
        </w:rPr>
        <w:t xml:space="preserve"> for retirement</w:t>
      </w:r>
      <w:r w:rsidR="00874427">
        <w:rPr>
          <w:lang w:val="en-GB"/>
        </w:rPr>
        <w:t xml:space="preserve"> remain a ‘black box’</w:t>
      </w:r>
      <w:r w:rsidRPr="00AA5756">
        <w:rPr>
          <w:lang w:val="en-GB"/>
        </w:rPr>
        <w:t xml:space="preserve">. When testing </w:t>
      </w:r>
      <w:r w:rsidR="00874427">
        <w:rPr>
          <w:lang w:val="en-GB"/>
        </w:rPr>
        <w:t>push, pull and stay</w:t>
      </w:r>
      <w:r w:rsidRPr="00AA5756">
        <w:rPr>
          <w:lang w:val="en-GB"/>
        </w:rPr>
        <w:t xml:space="preserve"> approaches</w:t>
      </w:r>
      <w:r w:rsidR="00874427">
        <w:rPr>
          <w:lang w:val="en-GB"/>
        </w:rPr>
        <w:t xml:space="preserve">, available </w:t>
      </w:r>
      <w:r w:rsidRPr="00AA5756">
        <w:rPr>
          <w:lang w:val="en-GB"/>
        </w:rPr>
        <w:t xml:space="preserve">studies </w:t>
      </w:r>
      <w:r w:rsidR="00874427">
        <w:rPr>
          <w:lang w:val="en-GB"/>
        </w:rPr>
        <w:t>instead</w:t>
      </w:r>
      <w:r w:rsidRPr="00AA5756">
        <w:rPr>
          <w:lang w:val="en-GB"/>
        </w:rPr>
        <w:t xml:space="preserve"> refer to an indirect reasoning: if, </w:t>
      </w:r>
      <w:r w:rsidR="004A3FE5" w:rsidRPr="00AA5756">
        <w:rPr>
          <w:lang w:val="en-GB"/>
        </w:rPr>
        <w:t>for example</w:t>
      </w:r>
      <w:r w:rsidRPr="00AA5756">
        <w:rPr>
          <w:lang w:val="en-GB"/>
        </w:rPr>
        <w:t>,</w:t>
      </w:r>
      <w:r w:rsidR="004A3FE5" w:rsidRPr="00AA5756">
        <w:rPr>
          <w:lang w:val="en-GB"/>
        </w:rPr>
        <w:t xml:space="preserve"> financial factors </w:t>
      </w:r>
      <w:r w:rsidRPr="00AA5756">
        <w:rPr>
          <w:lang w:val="en-GB"/>
        </w:rPr>
        <w:t xml:space="preserve">turn out to be </w:t>
      </w:r>
      <w:r w:rsidR="004A3FE5" w:rsidRPr="00AA5756">
        <w:rPr>
          <w:lang w:val="en-GB"/>
        </w:rPr>
        <w:t xml:space="preserve">most important </w:t>
      </w:r>
      <w:r w:rsidR="00874427" w:rsidRPr="00AA5756">
        <w:rPr>
          <w:lang w:val="en-GB"/>
        </w:rPr>
        <w:t>in explaining early retirement transitions and their timing</w:t>
      </w:r>
      <w:r w:rsidR="004A3FE5" w:rsidRPr="00AA5756">
        <w:rPr>
          <w:lang w:val="en-GB"/>
        </w:rPr>
        <w:t xml:space="preserve">, </w:t>
      </w:r>
      <w:r w:rsidRPr="00AA5756">
        <w:rPr>
          <w:lang w:val="en-GB"/>
        </w:rPr>
        <w:t xml:space="preserve">it is </w:t>
      </w:r>
      <w:r w:rsidR="004A3FE5" w:rsidRPr="00AA5756">
        <w:rPr>
          <w:lang w:val="en-GB"/>
        </w:rPr>
        <w:t xml:space="preserve">assumed that </w:t>
      </w:r>
      <w:r w:rsidRPr="00AA5756">
        <w:rPr>
          <w:lang w:val="en-GB"/>
        </w:rPr>
        <w:t xml:space="preserve">‘pull factors’ constitute the driving force of early retirement. By the same token, </w:t>
      </w:r>
      <w:r w:rsidR="004A3FE5" w:rsidRPr="00AA5756">
        <w:rPr>
          <w:lang w:val="en-GB"/>
        </w:rPr>
        <w:t xml:space="preserve">if </w:t>
      </w:r>
      <w:r w:rsidRPr="00AA5756">
        <w:rPr>
          <w:lang w:val="en-GB"/>
        </w:rPr>
        <w:t xml:space="preserve">instead </w:t>
      </w:r>
      <w:r w:rsidR="004A3FE5" w:rsidRPr="00AA5756">
        <w:rPr>
          <w:lang w:val="en-GB"/>
        </w:rPr>
        <w:t xml:space="preserve">human capital factors </w:t>
      </w:r>
      <w:r w:rsidR="00874427">
        <w:rPr>
          <w:lang w:val="en-GB"/>
        </w:rPr>
        <w:t xml:space="preserve">– such as educational attainment or occupational qualification </w:t>
      </w:r>
      <w:r w:rsidRPr="00AA5756">
        <w:rPr>
          <w:lang w:val="en-GB"/>
        </w:rPr>
        <w:t>prove</w:t>
      </w:r>
      <w:r w:rsidR="004A3FE5" w:rsidRPr="00AA5756">
        <w:rPr>
          <w:lang w:val="en-GB"/>
        </w:rPr>
        <w:t xml:space="preserve"> to be influential</w:t>
      </w:r>
      <w:r w:rsidRPr="00AA5756">
        <w:rPr>
          <w:lang w:val="en-GB"/>
        </w:rPr>
        <w:t xml:space="preserve">, it is frequently </w:t>
      </w:r>
      <w:r w:rsidR="004A3FE5" w:rsidRPr="00AA5756">
        <w:rPr>
          <w:lang w:val="en-GB"/>
        </w:rPr>
        <w:t xml:space="preserve">concluded that older workers were </w:t>
      </w:r>
      <w:r w:rsidR="00321BF2" w:rsidRPr="00AA5756">
        <w:rPr>
          <w:lang w:val="en-GB"/>
        </w:rPr>
        <w:t>‘</w:t>
      </w:r>
      <w:r w:rsidR="00874427">
        <w:rPr>
          <w:lang w:val="en-GB"/>
        </w:rPr>
        <w:t>’pushed’ out of</w:t>
      </w:r>
      <w:r w:rsidR="00321BF2" w:rsidRPr="00AA5756">
        <w:rPr>
          <w:lang w:val="en-GB"/>
        </w:rPr>
        <w:t xml:space="preserve"> </w:t>
      </w:r>
      <w:r w:rsidR="004A3FE5" w:rsidRPr="00AA5756">
        <w:rPr>
          <w:lang w:val="en-GB"/>
        </w:rPr>
        <w:t>employment</w:t>
      </w:r>
      <w:r w:rsidRPr="00AA5756">
        <w:rPr>
          <w:lang w:val="en-GB"/>
        </w:rPr>
        <w:t xml:space="preserve">. </w:t>
      </w:r>
    </w:p>
    <w:p w:rsidR="00D1794B" w:rsidRPr="00AA5756" w:rsidRDefault="00397865" w:rsidP="00D1794B">
      <w:pPr>
        <w:pStyle w:val="Listenabsatz"/>
        <w:spacing w:after="120"/>
        <w:ind w:left="0"/>
        <w:contextualSpacing w:val="0"/>
        <w:jc w:val="both"/>
        <w:rPr>
          <w:lang w:val="en-GB"/>
        </w:rPr>
      </w:pPr>
      <w:r w:rsidRPr="00AA5756">
        <w:rPr>
          <w:lang w:val="en-GB"/>
        </w:rPr>
        <w:t>Without explicitly investigating the concrete reasons for (early) retirement, these conclusion</w:t>
      </w:r>
      <w:r w:rsidR="0072554F" w:rsidRPr="00AA5756">
        <w:rPr>
          <w:lang w:val="en-GB"/>
        </w:rPr>
        <w:t>s</w:t>
      </w:r>
      <w:r w:rsidRPr="00AA5756">
        <w:rPr>
          <w:lang w:val="en-GB"/>
        </w:rPr>
        <w:t xml:space="preserve"> may, however, be misleading. </w:t>
      </w:r>
      <w:r w:rsidR="0005652A" w:rsidRPr="00AA5756">
        <w:rPr>
          <w:lang w:val="en-GB"/>
        </w:rPr>
        <w:t>Low</w:t>
      </w:r>
      <w:r w:rsidR="00874427">
        <w:rPr>
          <w:lang w:val="en-GB"/>
        </w:rPr>
        <w:t>-</w:t>
      </w:r>
      <w:r w:rsidR="0005652A" w:rsidRPr="00AA5756">
        <w:rPr>
          <w:lang w:val="en-GB"/>
        </w:rPr>
        <w:t xml:space="preserve">qualified older workers may </w:t>
      </w:r>
      <w:r w:rsidR="00874427">
        <w:rPr>
          <w:lang w:val="en-GB"/>
        </w:rPr>
        <w:t xml:space="preserve">effectively </w:t>
      </w:r>
      <w:r w:rsidR="0005652A" w:rsidRPr="00AA5756">
        <w:rPr>
          <w:lang w:val="en-GB"/>
        </w:rPr>
        <w:t xml:space="preserve">leave the labour force because they </w:t>
      </w:r>
      <w:r w:rsidR="00874427">
        <w:rPr>
          <w:lang w:val="en-GB"/>
        </w:rPr>
        <w:t>we</w:t>
      </w:r>
      <w:r w:rsidR="0005652A" w:rsidRPr="00AA5756">
        <w:rPr>
          <w:lang w:val="en-GB"/>
        </w:rPr>
        <w:t xml:space="preserve">re offered </w:t>
      </w:r>
      <w:r w:rsidR="00874427">
        <w:rPr>
          <w:lang w:val="en-GB"/>
        </w:rPr>
        <w:t xml:space="preserve">an </w:t>
      </w:r>
      <w:r w:rsidR="0005652A" w:rsidRPr="00AA5756">
        <w:rPr>
          <w:lang w:val="en-GB"/>
        </w:rPr>
        <w:t xml:space="preserve">attractive early retirement </w:t>
      </w:r>
      <w:r w:rsidR="00874427">
        <w:rPr>
          <w:lang w:val="en-GB"/>
        </w:rPr>
        <w:t>option</w:t>
      </w:r>
      <w:r w:rsidR="0005652A" w:rsidRPr="00AA5756">
        <w:rPr>
          <w:lang w:val="en-GB"/>
        </w:rPr>
        <w:t xml:space="preserve"> that </w:t>
      </w:r>
      <w:r w:rsidRPr="00AA5756">
        <w:rPr>
          <w:lang w:val="en-GB"/>
        </w:rPr>
        <w:t xml:space="preserve">financially </w:t>
      </w:r>
      <w:r w:rsidR="0005652A" w:rsidRPr="00AA5756">
        <w:rPr>
          <w:lang w:val="en-GB"/>
        </w:rPr>
        <w:t>cushion</w:t>
      </w:r>
      <w:r w:rsidR="00874427">
        <w:rPr>
          <w:lang w:val="en-GB"/>
        </w:rPr>
        <w:t>ed</w:t>
      </w:r>
      <w:r w:rsidR="0005652A" w:rsidRPr="00AA5756">
        <w:rPr>
          <w:lang w:val="en-GB"/>
        </w:rPr>
        <w:t xml:space="preserve"> their </w:t>
      </w:r>
      <w:r w:rsidRPr="00AA5756">
        <w:rPr>
          <w:lang w:val="en-GB"/>
        </w:rPr>
        <w:t>e</w:t>
      </w:r>
      <w:r w:rsidR="00874427">
        <w:rPr>
          <w:lang w:val="en-GB"/>
        </w:rPr>
        <w:t>xit from employmen</w:t>
      </w:r>
      <w:r w:rsidR="00A472FC">
        <w:rPr>
          <w:lang w:val="en-GB"/>
        </w:rPr>
        <w:t>t</w:t>
      </w:r>
      <w:r w:rsidR="00874427">
        <w:rPr>
          <w:lang w:val="en-GB"/>
        </w:rPr>
        <w:t>; it</w:t>
      </w:r>
      <w:r w:rsidRPr="00AA5756">
        <w:rPr>
          <w:lang w:val="en-GB"/>
        </w:rPr>
        <w:t xml:space="preserve"> thus may be superficial to regard their retirement as </w:t>
      </w:r>
      <w:r w:rsidR="00874427">
        <w:rPr>
          <w:lang w:val="en-GB"/>
        </w:rPr>
        <w:t xml:space="preserve">primarily </w:t>
      </w:r>
      <w:r w:rsidRPr="00AA5756">
        <w:rPr>
          <w:lang w:val="en-GB"/>
        </w:rPr>
        <w:t xml:space="preserve">resulting from a </w:t>
      </w:r>
      <w:r w:rsidR="00874427">
        <w:rPr>
          <w:lang w:val="en-GB"/>
        </w:rPr>
        <w:t>‘</w:t>
      </w:r>
      <w:r w:rsidRPr="00AA5756">
        <w:rPr>
          <w:lang w:val="en-GB"/>
        </w:rPr>
        <w:t>push</w:t>
      </w:r>
      <w:r w:rsidR="00874427">
        <w:rPr>
          <w:lang w:val="en-GB"/>
        </w:rPr>
        <w:t>’</w:t>
      </w:r>
      <w:r w:rsidRPr="00AA5756">
        <w:rPr>
          <w:lang w:val="en-GB"/>
        </w:rPr>
        <w:t xml:space="preserve">. </w:t>
      </w:r>
      <w:r w:rsidR="00A472FC">
        <w:rPr>
          <w:lang w:val="en-GB"/>
        </w:rPr>
        <w:t>M</w:t>
      </w:r>
      <w:r w:rsidRPr="00AA5756">
        <w:rPr>
          <w:lang w:val="en-GB"/>
        </w:rPr>
        <w:t xml:space="preserve">easures aiming at reducing the ‘push’ into (early) retirement by increasing the </w:t>
      </w:r>
      <w:r w:rsidR="00A472FC" w:rsidRPr="00AA5756">
        <w:rPr>
          <w:lang w:val="en-GB"/>
        </w:rPr>
        <w:t xml:space="preserve">employability </w:t>
      </w:r>
      <w:r w:rsidRPr="00AA5756">
        <w:rPr>
          <w:lang w:val="en-GB"/>
        </w:rPr>
        <w:t xml:space="preserve">of such workers may be inefficient as long as </w:t>
      </w:r>
      <w:r w:rsidR="00A472FC">
        <w:rPr>
          <w:lang w:val="en-GB"/>
        </w:rPr>
        <w:t>early exit</w:t>
      </w:r>
      <w:r w:rsidRPr="00AA5756">
        <w:rPr>
          <w:lang w:val="en-GB"/>
        </w:rPr>
        <w:t xml:space="preserve"> benefits are generous enough to compensate for these potential gains. Vice versa, </w:t>
      </w:r>
      <w:r w:rsidR="0005652A" w:rsidRPr="00AA5756">
        <w:rPr>
          <w:lang w:val="en-GB"/>
        </w:rPr>
        <w:t xml:space="preserve">older workers may </w:t>
      </w:r>
      <w:r w:rsidR="00A472FC">
        <w:rPr>
          <w:lang w:val="en-GB"/>
        </w:rPr>
        <w:t xml:space="preserve">exhibit a high reactivity </w:t>
      </w:r>
      <w:r w:rsidRPr="00AA5756">
        <w:rPr>
          <w:lang w:val="en-GB"/>
        </w:rPr>
        <w:t xml:space="preserve">to </w:t>
      </w:r>
      <w:r w:rsidR="00A472FC">
        <w:rPr>
          <w:lang w:val="en-GB"/>
        </w:rPr>
        <w:t xml:space="preserve">financial </w:t>
      </w:r>
      <w:r w:rsidRPr="00AA5756">
        <w:rPr>
          <w:lang w:val="en-GB"/>
        </w:rPr>
        <w:t>incentives</w:t>
      </w:r>
      <w:r w:rsidR="00A472FC">
        <w:rPr>
          <w:lang w:val="en-GB"/>
        </w:rPr>
        <w:t xml:space="preserve"> in public pension systems</w:t>
      </w:r>
      <w:r w:rsidRPr="00AA5756">
        <w:rPr>
          <w:lang w:val="en-GB"/>
        </w:rPr>
        <w:t xml:space="preserve"> </w:t>
      </w:r>
      <w:r w:rsidR="0005652A" w:rsidRPr="00AA5756">
        <w:rPr>
          <w:lang w:val="en-GB"/>
        </w:rPr>
        <w:t xml:space="preserve">only because </w:t>
      </w:r>
      <w:r w:rsidR="00A472FC">
        <w:rPr>
          <w:lang w:val="en-GB"/>
        </w:rPr>
        <w:t>they face significant barriers to</w:t>
      </w:r>
      <w:r w:rsidR="00236C94" w:rsidRPr="00AA5756">
        <w:rPr>
          <w:lang w:val="en-GB"/>
        </w:rPr>
        <w:t xml:space="preserve"> </w:t>
      </w:r>
      <w:r w:rsidR="0005652A" w:rsidRPr="00AA5756">
        <w:rPr>
          <w:lang w:val="en-GB"/>
        </w:rPr>
        <w:t>employment</w:t>
      </w:r>
      <w:r w:rsidR="00236C94" w:rsidRPr="00AA5756">
        <w:rPr>
          <w:lang w:val="en-GB"/>
        </w:rPr>
        <w:t xml:space="preserve">. The consideration of such employment transitions as resulting from mere ‘pull’ </w:t>
      </w:r>
      <w:r w:rsidR="00A472FC">
        <w:rPr>
          <w:lang w:val="en-GB"/>
        </w:rPr>
        <w:t>forces</w:t>
      </w:r>
      <w:r w:rsidR="00236C94" w:rsidRPr="00AA5756">
        <w:rPr>
          <w:lang w:val="en-GB"/>
        </w:rPr>
        <w:t xml:space="preserve"> thus may be equally misleading. </w:t>
      </w:r>
      <w:r w:rsidR="00A472FC">
        <w:rPr>
          <w:lang w:val="en-GB"/>
        </w:rPr>
        <w:t>For these workers</w:t>
      </w:r>
      <w:r w:rsidR="0072554F" w:rsidRPr="00AA5756">
        <w:rPr>
          <w:lang w:val="en-GB"/>
        </w:rPr>
        <w:t xml:space="preserve">, a recommended decrease in the attractiveness of early retirement incentives would not necessarily lead to a prolongation of their work career but may rather lead to a ‘privatisation of employment risks’ and </w:t>
      </w:r>
      <w:r w:rsidR="00A472FC">
        <w:rPr>
          <w:lang w:val="en-GB"/>
        </w:rPr>
        <w:t xml:space="preserve">more </w:t>
      </w:r>
      <w:r w:rsidR="0072554F" w:rsidRPr="00AA5756">
        <w:rPr>
          <w:lang w:val="en-GB"/>
        </w:rPr>
        <w:t>precarious pathways into retirement (</w:t>
      </w:r>
      <w:proofErr w:type="spellStart"/>
      <w:r w:rsidR="0072554F" w:rsidRPr="00A472FC">
        <w:rPr>
          <w:i/>
          <w:lang w:val="en-GB"/>
        </w:rPr>
        <w:t>Blossfeld</w:t>
      </w:r>
      <w:proofErr w:type="spellEnd"/>
      <w:r w:rsidR="004C6CD6" w:rsidRPr="00AA5756">
        <w:rPr>
          <w:lang w:val="en-GB"/>
        </w:rPr>
        <w:t xml:space="preserve"> et al.</w:t>
      </w:r>
      <w:r w:rsidR="00F070F4">
        <w:rPr>
          <w:lang w:val="en-GB"/>
        </w:rPr>
        <w:t>,</w:t>
      </w:r>
      <w:r w:rsidR="004C6CD6" w:rsidRPr="00AA5756">
        <w:rPr>
          <w:lang w:val="en-GB"/>
        </w:rPr>
        <w:t xml:space="preserve"> 2011, </w:t>
      </w:r>
      <w:proofErr w:type="spellStart"/>
      <w:r w:rsidR="004C6CD6" w:rsidRPr="00A472FC">
        <w:rPr>
          <w:i/>
          <w:lang w:val="en-GB"/>
        </w:rPr>
        <w:t>Ebbinghaus</w:t>
      </w:r>
      <w:proofErr w:type="spellEnd"/>
      <w:r w:rsidR="00F070F4">
        <w:rPr>
          <w:i/>
          <w:lang w:val="en-GB"/>
        </w:rPr>
        <w:t>,</w:t>
      </w:r>
      <w:r w:rsidR="004C6CD6" w:rsidRPr="00AA5756">
        <w:rPr>
          <w:lang w:val="en-GB"/>
        </w:rPr>
        <w:t xml:space="preserve"> 2005). </w:t>
      </w:r>
      <w:r w:rsidR="00D1794B">
        <w:rPr>
          <w:lang w:val="en-GB"/>
        </w:rPr>
        <w:t>E</w:t>
      </w:r>
      <w:r w:rsidR="00D1794B" w:rsidRPr="00AA5756">
        <w:rPr>
          <w:lang w:val="en-GB"/>
        </w:rPr>
        <w:t xml:space="preserve">ven under the increasing influence of active ageing programs, not all employees may be able to prolong their working life due to lacking employment opportunities or insufficient qualifications. Instead, they still may be ‘pushed out of employment’ and be forced to retire against their will. While thus improving the employment performance of older workers at the aggregate level, current early exit reversal policies thus simultaneously may create new labour market </w:t>
      </w:r>
      <w:r w:rsidR="00ED2614">
        <w:rPr>
          <w:lang w:val="en-GB"/>
        </w:rPr>
        <w:t>cleavages</w:t>
      </w:r>
      <w:r w:rsidR="00D1794B" w:rsidRPr="00AA5756">
        <w:rPr>
          <w:lang w:val="en-GB"/>
        </w:rPr>
        <w:t xml:space="preserve"> between those older workers who are able adapt to recent reform and to continue their employment and those that are (still) structurally excluded from employment.</w:t>
      </w:r>
    </w:p>
    <w:p w:rsidR="004A3FE5" w:rsidRPr="00AA5756" w:rsidRDefault="00893357" w:rsidP="00ED2614">
      <w:pPr>
        <w:pStyle w:val="Listenabsatz"/>
        <w:spacing w:after="120"/>
        <w:ind w:left="0"/>
        <w:contextualSpacing w:val="0"/>
        <w:jc w:val="both"/>
        <w:rPr>
          <w:lang w:val="en-GB"/>
        </w:rPr>
      </w:pPr>
      <w:r>
        <w:rPr>
          <w:lang w:val="en-GB"/>
        </w:rPr>
        <w:t>A</w:t>
      </w:r>
      <w:r w:rsidR="0072554F" w:rsidRPr="00AA5756">
        <w:rPr>
          <w:lang w:val="en-GB"/>
        </w:rPr>
        <w:t xml:space="preserve"> more differentiated </w:t>
      </w:r>
      <w:r w:rsidR="00705D69">
        <w:rPr>
          <w:lang w:val="en-GB"/>
        </w:rPr>
        <w:t>view on</w:t>
      </w:r>
      <w:r w:rsidR="0072554F" w:rsidRPr="00AA5756">
        <w:rPr>
          <w:lang w:val="en-GB"/>
        </w:rPr>
        <w:t xml:space="preserve"> the reasons for (early) retirement is thus required to</w:t>
      </w:r>
      <w:r>
        <w:rPr>
          <w:lang w:val="en-GB"/>
        </w:rPr>
        <w:t xml:space="preserve"> better understand recent labour market developments for </w:t>
      </w:r>
      <w:r w:rsidR="00002879" w:rsidRPr="00AA5756">
        <w:rPr>
          <w:lang w:val="en-GB"/>
        </w:rPr>
        <w:t>older workers</w:t>
      </w:r>
      <w:r>
        <w:rPr>
          <w:lang w:val="en-GB"/>
        </w:rPr>
        <w:t xml:space="preserve">. </w:t>
      </w:r>
      <w:r w:rsidR="00ED2614">
        <w:rPr>
          <w:lang w:val="en-GB"/>
        </w:rPr>
        <w:t>Yet, t</w:t>
      </w:r>
      <w:r w:rsidR="00AF43F3" w:rsidRPr="00AA5756">
        <w:rPr>
          <w:lang w:val="en-GB"/>
        </w:rPr>
        <w:t xml:space="preserve">here are </w:t>
      </w:r>
      <w:r w:rsidR="00ED2614">
        <w:rPr>
          <w:lang w:val="en-GB"/>
        </w:rPr>
        <w:t xml:space="preserve">only </w:t>
      </w:r>
      <w:r w:rsidR="00AF43F3" w:rsidRPr="00AA5756">
        <w:rPr>
          <w:lang w:val="en-GB"/>
        </w:rPr>
        <w:t>few</w:t>
      </w:r>
      <w:r w:rsidR="008D6865" w:rsidRPr="00AA5756">
        <w:rPr>
          <w:lang w:val="en-GB"/>
        </w:rPr>
        <w:t xml:space="preserve"> studies</w:t>
      </w:r>
      <w:r w:rsidR="00AF43F3" w:rsidRPr="00AA5756">
        <w:rPr>
          <w:lang w:val="en-GB"/>
        </w:rPr>
        <w:t xml:space="preserve"> </w:t>
      </w:r>
      <w:r w:rsidR="00ED2614">
        <w:rPr>
          <w:lang w:val="en-GB"/>
        </w:rPr>
        <w:t>taking a suchlike perspective</w:t>
      </w:r>
      <w:r w:rsidR="007C6693" w:rsidRPr="00AA5756">
        <w:rPr>
          <w:lang w:val="en-GB"/>
        </w:rPr>
        <w:t xml:space="preserve">. Using </w:t>
      </w:r>
      <w:r w:rsidR="00AF43F3" w:rsidRPr="00AA5756">
        <w:rPr>
          <w:lang w:val="en-GB"/>
        </w:rPr>
        <w:t xml:space="preserve">data on </w:t>
      </w:r>
      <w:r w:rsidR="00ED2614">
        <w:rPr>
          <w:lang w:val="en-GB"/>
        </w:rPr>
        <w:t>individual perceptions of retirement</w:t>
      </w:r>
      <w:r w:rsidR="007C6693" w:rsidRPr="00AA5756">
        <w:rPr>
          <w:lang w:val="en-GB"/>
        </w:rPr>
        <w:t xml:space="preserve"> </w:t>
      </w:r>
      <w:r w:rsidR="00ED2614">
        <w:rPr>
          <w:lang w:val="en-GB"/>
        </w:rPr>
        <w:t xml:space="preserve">provided in </w:t>
      </w:r>
      <w:r w:rsidR="00705D69">
        <w:rPr>
          <w:lang w:val="en-GB"/>
        </w:rPr>
        <w:t xml:space="preserve">the </w:t>
      </w:r>
      <w:r w:rsidR="007C6693" w:rsidRPr="00AA5756">
        <w:rPr>
          <w:lang w:val="en-GB"/>
        </w:rPr>
        <w:t>ISSP</w:t>
      </w:r>
      <w:r w:rsidR="00AF43F3" w:rsidRPr="00AA5756">
        <w:rPr>
          <w:rStyle w:val="Funotenzeichen"/>
          <w:lang w:val="en-GB"/>
        </w:rPr>
        <w:footnoteReference w:id="5"/>
      </w:r>
      <w:r w:rsidR="007C6693" w:rsidRPr="00AA5756">
        <w:rPr>
          <w:lang w:val="en-GB"/>
        </w:rPr>
        <w:t xml:space="preserve"> 1997</w:t>
      </w:r>
      <w:r w:rsidR="00AF43F3" w:rsidRPr="00AA5756">
        <w:rPr>
          <w:lang w:val="en-GB"/>
        </w:rPr>
        <w:t xml:space="preserve">, Dorn and Sousa-Poza (2010) find that involuntary </w:t>
      </w:r>
      <w:r w:rsidR="002D2CDC" w:rsidRPr="00AA5756">
        <w:rPr>
          <w:lang w:val="en-GB"/>
        </w:rPr>
        <w:t xml:space="preserve">early </w:t>
      </w:r>
      <w:r w:rsidR="00AF43F3" w:rsidRPr="00AA5756">
        <w:rPr>
          <w:lang w:val="en-GB"/>
        </w:rPr>
        <w:t>retirement</w:t>
      </w:r>
      <w:r w:rsidR="002D2CDC" w:rsidRPr="00AA5756">
        <w:rPr>
          <w:rStyle w:val="Funotenzeichen"/>
          <w:lang w:val="en-GB"/>
        </w:rPr>
        <w:footnoteReference w:id="6"/>
      </w:r>
      <w:r w:rsidR="00AF43F3" w:rsidRPr="00AA5756">
        <w:rPr>
          <w:lang w:val="en-GB"/>
        </w:rPr>
        <w:t xml:space="preserve"> is particularly widespread in Central European ‘early exit’ countries, such as Germany or France, while it is of le</w:t>
      </w:r>
      <w:r w:rsidR="00705D69">
        <w:rPr>
          <w:lang w:val="en-GB"/>
        </w:rPr>
        <w:t>ss</w:t>
      </w:r>
      <w:r w:rsidR="00AF43F3" w:rsidRPr="00AA5756">
        <w:rPr>
          <w:lang w:val="en-GB"/>
        </w:rPr>
        <w:t xml:space="preserve"> </w:t>
      </w:r>
      <w:r w:rsidR="00AF43F3" w:rsidRPr="00AA5756">
        <w:rPr>
          <w:lang w:val="en-GB"/>
        </w:rPr>
        <w:lastRenderedPageBreak/>
        <w:t xml:space="preserve">importance in employment maintenance regimes such as the US, Denmark or Norway. Notably, their results also show that retirement incentives </w:t>
      </w:r>
      <w:r w:rsidR="005730A8" w:rsidRPr="00AA5756">
        <w:rPr>
          <w:lang w:val="en-GB"/>
        </w:rPr>
        <w:t xml:space="preserve">through generous social security benefits do actually trigger more </w:t>
      </w:r>
      <w:r w:rsidR="005730A8" w:rsidRPr="00AA5756">
        <w:rPr>
          <w:i/>
          <w:lang w:val="en-GB"/>
        </w:rPr>
        <w:t>involuntary</w:t>
      </w:r>
      <w:r w:rsidR="005730A8" w:rsidRPr="00AA5756">
        <w:rPr>
          <w:lang w:val="en-GB"/>
        </w:rPr>
        <w:t xml:space="preserve"> retirement, which the authors explain by the fact that well-developed state-funded early retirement benefits make it easier for firms </w:t>
      </w:r>
      <w:r w:rsidR="00115B6A">
        <w:rPr>
          <w:lang w:val="en-GB"/>
        </w:rPr>
        <w:t xml:space="preserve">facing financial pressures </w:t>
      </w:r>
      <w:r w:rsidR="005730A8" w:rsidRPr="00AA5756">
        <w:rPr>
          <w:lang w:val="en-GB"/>
        </w:rPr>
        <w:t>to reduce their workforce via supplementary lump sum payments (</w:t>
      </w:r>
      <w:r w:rsidR="005730A8" w:rsidRPr="00115B6A">
        <w:rPr>
          <w:i/>
          <w:lang w:val="en-GB"/>
        </w:rPr>
        <w:t>Dorn and Sousa-Poza</w:t>
      </w:r>
      <w:r w:rsidR="004D4C45">
        <w:rPr>
          <w:lang w:val="en-GB"/>
        </w:rPr>
        <w:t>,</w:t>
      </w:r>
      <w:r w:rsidR="005730A8" w:rsidRPr="00AA5756">
        <w:rPr>
          <w:lang w:val="en-GB"/>
        </w:rPr>
        <w:t xml:space="preserve"> 2010:</w:t>
      </w:r>
      <w:r w:rsidR="004D4C45">
        <w:rPr>
          <w:lang w:val="en-GB"/>
        </w:rPr>
        <w:t xml:space="preserve"> p.</w:t>
      </w:r>
      <w:r w:rsidR="005730A8" w:rsidRPr="00AA5756">
        <w:rPr>
          <w:lang w:val="en-GB"/>
        </w:rPr>
        <w:t xml:space="preserve">436). </w:t>
      </w:r>
      <w:r w:rsidR="002D2CDC" w:rsidRPr="00AA5756">
        <w:rPr>
          <w:lang w:val="en-GB"/>
        </w:rPr>
        <w:t>However the</w:t>
      </w:r>
      <w:r w:rsidR="00115B6A">
        <w:rPr>
          <w:lang w:val="en-GB"/>
        </w:rPr>
        <w:t>ir</w:t>
      </w:r>
      <w:r w:rsidR="002D2CDC" w:rsidRPr="00AA5756">
        <w:rPr>
          <w:lang w:val="en-GB"/>
        </w:rPr>
        <w:t xml:space="preserve"> data originates from the late-1990s, </w:t>
      </w:r>
      <w:r w:rsidR="00115B6A">
        <w:rPr>
          <w:lang w:val="en-GB"/>
        </w:rPr>
        <w:t xml:space="preserve">reflecting rather </w:t>
      </w:r>
      <w:r w:rsidR="002D2CDC" w:rsidRPr="00AA5756">
        <w:rPr>
          <w:lang w:val="en-GB"/>
        </w:rPr>
        <w:t xml:space="preserve">the ‘late early-retirement era’ </w:t>
      </w:r>
      <w:r w:rsidR="00115B6A">
        <w:rPr>
          <w:lang w:val="en-GB"/>
        </w:rPr>
        <w:t>while</w:t>
      </w:r>
      <w:r w:rsidR="002D2CDC" w:rsidRPr="00AA5756">
        <w:rPr>
          <w:lang w:val="en-GB"/>
        </w:rPr>
        <w:t xml:space="preserve"> provid</w:t>
      </w:r>
      <w:r w:rsidR="00115B6A">
        <w:rPr>
          <w:lang w:val="en-GB"/>
        </w:rPr>
        <w:t>ing</w:t>
      </w:r>
      <w:r w:rsidR="002D2CDC" w:rsidRPr="00AA5756">
        <w:rPr>
          <w:lang w:val="en-GB"/>
        </w:rPr>
        <w:t xml:space="preserve"> only little information about possible </w:t>
      </w:r>
      <w:r w:rsidR="00115B6A">
        <w:rPr>
          <w:lang w:val="en-GB"/>
        </w:rPr>
        <w:t>modifications</w:t>
      </w:r>
      <w:r w:rsidR="002D2CDC" w:rsidRPr="00AA5756">
        <w:rPr>
          <w:lang w:val="en-GB"/>
        </w:rPr>
        <w:t xml:space="preserve"> in retirement </w:t>
      </w:r>
      <w:r w:rsidR="00115B6A">
        <w:rPr>
          <w:lang w:val="en-GB"/>
        </w:rPr>
        <w:t>behaviour</w:t>
      </w:r>
      <w:r w:rsidR="002D2CDC" w:rsidRPr="00AA5756">
        <w:rPr>
          <w:lang w:val="en-GB"/>
        </w:rPr>
        <w:t xml:space="preserve"> in </w:t>
      </w:r>
      <w:r w:rsidR="00115B6A">
        <w:rPr>
          <w:lang w:val="en-GB"/>
        </w:rPr>
        <w:t xml:space="preserve">more </w:t>
      </w:r>
      <w:proofErr w:type="spellStart"/>
      <w:r w:rsidR="00115B6A">
        <w:rPr>
          <w:lang w:val="en-GB"/>
        </w:rPr>
        <w:t>recnt</w:t>
      </w:r>
      <w:proofErr w:type="spellEnd"/>
      <w:r w:rsidR="00115B6A">
        <w:rPr>
          <w:lang w:val="en-GB"/>
        </w:rPr>
        <w:t xml:space="preserve"> years. </w:t>
      </w:r>
      <w:r w:rsidR="002D2CDC" w:rsidRPr="00AA5756">
        <w:rPr>
          <w:lang w:val="en-GB"/>
        </w:rPr>
        <w:t xml:space="preserve">Furthermore, their </w:t>
      </w:r>
      <w:r w:rsidR="00115B6A">
        <w:rPr>
          <w:lang w:val="en-GB"/>
        </w:rPr>
        <w:t>differentiation</w:t>
      </w:r>
      <w:r w:rsidR="002D2CDC" w:rsidRPr="00AA5756">
        <w:rPr>
          <w:lang w:val="en-GB"/>
        </w:rPr>
        <w:t xml:space="preserve"> of early retirement </w:t>
      </w:r>
      <w:r w:rsidR="00115B6A">
        <w:rPr>
          <w:lang w:val="en-GB"/>
        </w:rPr>
        <w:t xml:space="preserve">as being either </w:t>
      </w:r>
      <w:r w:rsidR="002D2CDC" w:rsidRPr="00AA5756">
        <w:rPr>
          <w:lang w:val="en-GB"/>
        </w:rPr>
        <w:t xml:space="preserve">‘by choice’ or ‘not by choice’ constitutes a rather global measure with only limited information about the actual </w:t>
      </w:r>
      <w:r w:rsidR="00692941">
        <w:rPr>
          <w:lang w:val="en-GB"/>
        </w:rPr>
        <w:t>motives driving retir</w:t>
      </w:r>
      <w:r w:rsidR="00115B6A">
        <w:rPr>
          <w:lang w:val="en-GB"/>
        </w:rPr>
        <w:t>ement</w:t>
      </w:r>
      <w:r w:rsidR="002D2CDC" w:rsidRPr="00AA5756">
        <w:rPr>
          <w:lang w:val="en-GB"/>
        </w:rPr>
        <w:t>.</w:t>
      </w:r>
      <w:r w:rsidR="002D2CDC" w:rsidRPr="00AA5756">
        <w:rPr>
          <w:rStyle w:val="Funotenzeichen"/>
          <w:lang w:val="en-GB"/>
        </w:rPr>
        <w:footnoteReference w:id="7"/>
      </w:r>
    </w:p>
    <w:p w:rsidR="003965EB" w:rsidRPr="00AA5756" w:rsidRDefault="00AA5756" w:rsidP="00DF1B4D">
      <w:pPr>
        <w:pStyle w:val="Listenabsatz"/>
        <w:spacing w:after="120"/>
        <w:ind w:left="0"/>
        <w:contextualSpacing w:val="0"/>
        <w:jc w:val="both"/>
        <w:rPr>
          <w:lang w:val="en-GB"/>
        </w:rPr>
      </w:pPr>
      <w:r w:rsidRPr="00DF1B4D">
        <w:rPr>
          <w:i/>
          <w:lang w:val="en-GB"/>
        </w:rPr>
        <w:t>Fischer and Sousa-Poza</w:t>
      </w:r>
      <w:r w:rsidRPr="00AA5756">
        <w:rPr>
          <w:lang w:val="en-GB"/>
        </w:rPr>
        <w:t xml:space="preserve"> (2010) more explicitly focus on firm-based reasons by using a question from the SHARE survey which differentiates various different reasons for (early) exit, ranging from reaching </w:t>
      </w:r>
      <w:r w:rsidR="00AE61E6">
        <w:rPr>
          <w:lang w:val="en-GB"/>
        </w:rPr>
        <w:t xml:space="preserve">an </w:t>
      </w:r>
      <w:r w:rsidRPr="00AA5756">
        <w:rPr>
          <w:lang w:val="en-GB"/>
        </w:rPr>
        <w:t xml:space="preserve">age limit for </w:t>
      </w:r>
      <w:r w:rsidR="00DF1B4D">
        <w:rPr>
          <w:lang w:val="en-GB"/>
        </w:rPr>
        <w:t xml:space="preserve">public, occupational or private </w:t>
      </w:r>
      <w:r w:rsidR="00AE61E6">
        <w:rPr>
          <w:lang w:val="en-GB"/>
        </w:rPr>
        <w:t xml:space="preserve">pension </w:t>
      </w:r>
      <w:r w:rsidRPr="00AA5756">
        <w:rPr>
          <w:lang w:val="en-GB"/>
        </w:rPr>
        <w:t xml:space="preserve">receipt, retirement for health-related reasons, </w:t>
      </w:r>
      <w:r w:rsidR="00AE61E6">
        <w:rPr>
          <w:lang w:val="en-GB"/>
        </w:rPr>
        <w:t>retirement out of personal motives</w:t>
      </w:r>
      <w:r w:rsidRPr="00AA5756">
        <w:rPr>
          <w:lang w:val="en-GB"/>
        </w:rPr>
        <w:t xml:space="preserve"> to firm-based reasons for retirement</w:t>
      </w:r>
      <w:r w:rsidR="00AE61E6">
        <w:rPr>
          <w:lang w:val="en-GB"/>
        </w:rPr>
        <w:t>,</w:t>
      </w:r>
      <w:r w:rsidRPr="00AA5756">
        <w:rPr>
          <w:lang w:val="en-GB"/>
        </w:rPr>
        <w:t>.</w:t>
      </w:r>
      <w:r w:rsidR="00B40726">
        <w:rPr>
          <w:lang w:val="en-GB"/>
        </w:rPr>
        <w:t xml:space="preserve"> Fischer and Souza concentrate on the la</w:t>
      </w:r>
      <w:r w:rsidR="00AE61E6">
        <w:rPr>
          <w:lang w:val="en-GB"/>
        </w:rPr>
        <w:t xml:space="preserve">tter aspect by investigating to which </w:t>
      </w:r>
      <w:r w:rsidR="00B40726">
        <w:rPr>
          <w:lang w:val="en-GB"/>
        </w:rPr>
        <w:t>degree firm-based retirement is enforced via dismissal or incentivised via employer</w:t>
      </w:r>
      <w:r w:rsidR="00AE61E6">
        <w:rPr>
          <w:lang w:val="en-GB"/>
        </w:rPr>
        <w:t>-provided</w:t>
      </w:r>
      <w:r w:rsidR="00B40726">
        <w:rPr>
          <w:lang w:val="en-GB"/>
        </w:rPr>
        <w:t xml:space="preserve"> benefits. They find that severance payments are more widespread in countries with more unionised employment relationships and rather generous pension systems </w:t>
      </w:r>
      <w:r w:rsidR="00DF1B4D">
        <w:rPr>
          <w:lang w:val="en-GB"/>
        </w:rPr>
        <w:t>while</w:t>
      </w:r>
      <w:r w:rsidR="00B40726">
        <w:rPr>
          <w:lang w:val="en-GB"/>
        </w:rPr>
        <w:t xml:space="preserve"> in countries where public retirement incentives are less generous, firms are more likely to revert to dismissal as a means to restructure their workforce</w:t>
      </w:r>
      <w:r w:rsidR="00DF1B4D">
        <w:rPr>
          <w:lang w:val="en-GB"/>
        </w:rPr>
        <w:t xml:space="preserve"> (thus corroborating the findings from </w:t>
      </w:r>
      <w:r w:rsidR="00DF1B4D" w:rsidRPr="00DF1B4D">
        <w:rPr>
          <w:i/>
          <w:lang w:val="en-GB"/>
        </w:rPr>
        <w:t>Dorn and Sousa-Poza</w:t>
      </w:r>
      <w:r w:rsidR="00DF1B4D">
        <w:rPr>
          <w:i/>
          <w:lang w:val="en-GB"/>
        </w:rPr>
        <w:t>)</w:t>
      </w:r>
      <w:r w:rsidR="00B40726">
        <w:rPr>
          <w:lang w:val="en-GB"/>
        </w:rPr>
        <w:t xml:space="preserve">. Though the SHARE indicator appears to be more accurate than the ISSP indicator, </w:t>
      </w:r>
      <w:r w:rsidR="00DF1B4D" w:rsidRPr="00DF1B4D">
        <w:rPr>
          <w:i/>
          <w:lang w:val="en-GB"/>
        </w:rPr>
        <w:t>Fischer and Sousa-Poza</w:t>
      </w:r>
      <w:r w:rsidR="006B5FCC">
        <w:rPr>
          <w:lang w:val="en-GB"/>
        </w:rPr>
        <w:t xml:space="preserve"> limit their analytical focus to firm-based retirement only and leave aside other retirement intentions that may be considered as reflecting further important dimensions of voluntary (e.g. retirement for private reasons) or involuntary early retirement (e.g. retirement for health-based reasons). Even for firm-based retirement, it could be argued that alternative measures that go beyond mere severance payments, such as </w:t>
      </w:r>
      <w:r w:rsidR="00DF1B4D">
        <w:rPr>
          <w:lang w:val="en-GB"/>
        </w:rPr>
        <w:t xml:space="preserve">early </w:t>
      </w:r>
      <w:r w:rsidR="006B5FCC">
        <w:rPr>
          <w:lang w:val="en-GB"/>
        </w:rPr>
        <w:t>retirement incentives through occupational pension schemes are being neglected</w:t>
      </w:r>
      <w:r w:rsidR="00DF1B4D">
        <w:rPr>
          <w:lang w:val="en-GB"/>
        </w:rPr>
        <w:t>.</w:t>
      </w:r>
      <w:r w:rsidR="00B40726">
        <w:rPr>
          <w:lang w:val="en-GB"/>
        </w:rPr>
        <w:t xml:space="preserve"> </w:t>
      </w:r>
    </w:p>
    <w:p w:rsidR="009B6A74" w:rsidRDefault="00692941" w:rsidP="00E14A70">
      <w:pPr>
        <w:pStyle w:val="Listenabsatz"/>
        <w:ind w:left="0"/>
        <w:jc w:val="both"/>
        <w:rPr>
          <w:lang w:val="en-GB"/>
        </w:rPr>
      </w:pPr>
      <w:r>
        <w:rPr>
          <w:lang w:val="en-GB"/>
        </w:rPr>
        <w:t xml:space="preserve">A final approach is provided by </w:t>
      </w:r>
      <w:proofErr w:type="spellStart"/>
      <w:r w:rsidR="006B5FCC" w:rsidRPr="00DF1B4D">
        <w:rPr>
          <w:i/>
          <w:lang w:val="en-GB"/>
        </w:rPr>
        <w:t>Koenen</w:t>
      </w:r>
      <w:proofErr w:type="spellEnd"/>
      <w:r w:rsidR="006B5FCC" w:rsidRPr="00DF1B4D">
        <w:rPr>
          <w:i/>
          <w:lang w:val="en-GB"/>
        </w:rPr>
        <w:t xml:space="preserve"> et al.</w:t>
      </w:r>
      <w:r w:rsidR="006B5FCC">
        <w:rPr>
          <w:lang w:val="en-GB"/>
        </w:rPr>
        <w:t xml:space="preserve"> (2009)</w:t>
      </w:r>
      <w:r w:rsidR="00E14A70">
        <w:rPr>
          <w:lang w:val="en-GB"/>
        </w:rPr>
        <w:t xml:space="preserve">. They use the identical SHARE indicator but </w:t>
      </w:r>
      <w:r w:rsidR="00170E90">
        <w:rPr>
          <w:lang w:val="en-GB"/>
        </w:rPr>
        <w:t xml:space="preserve">use it as to </w:t>
      </w:r>
      <w:r w:rsidR="00E14A70">
        <w:rPr>
          <w:lang w:val="en-GB"/>
        </w:rPr>
        <w:t xml:space="preserve">define </w:t>
      </w:r>
      <w:r w:rsidR="00170E90">
        <w:rPr>
          <w:lang w:val="en-GB"/>
        </w:rPr>
        <w:t>‘</w:t>
      </w:r>
      <w:r w:rsidR="00E14A70">
        <w:rPr>
          <w:lang w:val="en-GB"/>
        </w:rPr>
        <w:t>voluntary</w:t>
      </w:r>
      <w:r w:rsidR="00170E90">
        <w:rPr>
          <w:lang w:val="en-GB"/>
        </w:rPr>
        <w:t>’</w:t>
      </w:r>
      <w:r w:rsidR="00E14A70">
        <w:rPr>
          <w:lang w:val="en-GB"/>
        </w:rPr>
        <w:t xml:space="preserve"> early retirement </w:t>
      </w:r>
      <w:r w:rsidR="00170E90">
        <w:rPr>
          <w:lang w:val="en-GB"/>
        </w:rPr>
        <w:t>a</w:t>
      </w:r>
      <w:r w:rsidR="00E14A70">
        <w:rPr>
          <w:lang w:val="en-GB"/>
        </w:rPr>
        <w:t>s applying to those that have exited employment for private reasons (i.e. to enjoy life/ to spend more time with the family/ to retire simultaneously with the partner) or for health reasons (either because of own ill health or that of the partner). Furthermore, voluntary retire</w:t>
      </w:r>
      <w:r w:rsidR="00170E90">
        <w:rPr>
          <w:lang w:val="en-GB"/>
        </w:rPr>
        <w:t>es are assumed to be those</w:t>
      </w:r>
      <w:r w:rsidR="00E14A70">
        <w:rPr>
          <w:lang w:val="en-GB"/>
        </w:rPr>
        <w:t xml:space="preserve"> that have reached </w:t>
      </w:r>
      <w:r w:rsidR="00170E90">
        <w:rPr>
          <w:lang w:val="en-GB"/>
        </w:rPr>
        <w:t xml:space="preserve">pensionable </w:t>
      </w:r>
      <w:r w:rsidR="00E14A70">
        <w:rPr>
          <w:lang w:val="en-GB"/>
        </w:rPr>
        <w:t>age</w:t>
      </w:r>
      <w:r w:rsidR="00170E90">
        <w:rPr>
          <w:lang w:val="en-GB"/>
        </w:rPr>
        <w:t>s</w:t>
      </w:r>
      <w:r w:rsidR="00E14A70">
        <w:rPr>
          <w:lang w:val="en-GB"/>
        </w:rPr>
        <w:t xml:space="preserve"> and have exited employment despite having had the opportunity to continue working. In contrast, </w:t>
      </w:r>
      <w:r w:rsidR="00170E90">
        <w:rPr>
          <w:lang w:val="en-GB"/>
        </w:rPr>
        <w:t>‘</w:t>
      </w:r>
      <w:r w:rsidR="00E14A70">
        <w:rPr>
          <w:lang w:val="en-GB"/>
        </w:rPr>
        <w:t>involuntary</w:t>
      </w:r>
      <w:r w:rsidR="00170E90">
        <w:rPr>
          <w:lang w:val="en-GB"/>
        </w:rPr>
        <w:t>’</w:t>
      </w:r>
      <w:r w:rsidR="00E14A70">
        <w:rPr>
          <w:lang w:val="en-GB"/>
        </w:rPr>
        <w:t xml:space="preserve"> early retirement applies to individuals that were dismissed or offered an early retirement solution by their employer </w:t>
      </w:r>
      <w:r w:rsidR="00170E90">
        <w:rPr>
          <w:lang w:val="en-GB"/>
        </w:rPr>
        <w:t>as well as</w:t>
      </w:r>
      <w:r w:rsidR="00E14A70">
        <w:rPr>
          <w:lang w:val="en-GB"/>
        </w:rPr>
        <w:t xml:space="preserve"> those exiting the labour market a</w:t>
      </w:r>
      <w:r w:rsidR="00170E90">
        <w:rPr>
          <w:lang w:val="en-GB"/>
        </w:rPr>
        <w:t xml:space="preserve">fter an age limit </w:t>
      </w:r>
      <w:r w:rsidR="00E14A70">
        <w:rPr>
          <w:lang w:val="en-GB"/>
        </w:rPr>
        <w:t xml:space="preserve">without having had opportunities for </w:t>
      </w:r>
      <w:r w:rsidR="00170E90">
        <w:rPr>
          <w:lang w:val="en-GB"/>
        </w:rPr>
        <w:t>work continuation</w:t>
      </w:r>
      <w:r w:rsidR="00E14A70">
        <w:rPr>
          <w:lang w:val="en-GB"/>
        </w:rPr>
        <w:t xml:space="preserve">. Even though single </w:t>
      </w:r>
      <w:r w:rsidR="00170E90">
        <w:rPr>
          <w:lang w:val="en-GB"/>
        </w:rPr>
        <w:t>aspects of their classification</w:t>
      </w:r>
      <w:r w:rsidR="00E14A70">
        <w:rPr>
          <w:lang w:val="en-GB"/>
        </w:rPr>
        <w:t xml:space="preserve"> may be debatable (e.g. the </w:t>
      </w:r>
      <w:r w:rsidR="00170E90">
        <w:rPr>
          <w:lang w:val="en-GB"/>
        </w:rPr>
        <w:t>placement</w:t>
      </w:r>
      <w:r w:rsidR="00E14A70">
        <w:rPr>
          <w:lang w:val="en-GB"/>
        </w:rPr>
        <w:t xml:space="preserve"> of health-based retirement as being voluntary), the model used by </w:t>
      </w:r>
      <w:proofErr w:type="spellStart"/>
      <w:r w:rsidR="00E14A70" w:rsidRPr="009B6A74">
        <w:rPr>
          <w:i/>
          <w:lang w:val="en-GB"/>
        </w:rPr>
        <w:t>Koenen</w:t>
      </w:r>
      <w:proofErr w:type="spellEnd"/>
      <w:r w:rsidR="00E14A70" w:rsidRPr="009B6A74">
        <w:rPr>
          <w:i/>
          <w:lang w:val="en-GB"/>
        </w:rPr>
        <w:t xml:space="preserve"> et al.</w:t>
      </w:r>
      <w:r w:rsidR="00E14A70">
        <w:rPr>
          <w:lang w:val="en-GB"/>
        </w:rPr>
        <w:t xml:space="preserve"> incorporates </w:t>
      </w:r>
      <w:r w:rsidR="00C55B2F">
        <w:rPr>
          <w:lang w:val="en-GB"/>
        </w:rPr>
        <w:t xml:space="preserve">various aspects of early retirement and thus can be regarded as being more holistic than the employer-based differentiation by </w:t>
      </w:r>
      <w:r w:rsidR="00C55B2F" w:rsidRPr="009B6A74">
        <w:rPr>
          <w:i/>
          <w:lang w:val="en-GB"/>
        </w:rPr>
        <w:t>Fischer and Sousa-Poza</w:t>
      </w:r>
      <w:r w:rsidR="00C55B2F">
        <w:rPr>
          <w:lang w:val="en-GB"/>
        </w:rPr>
        <w:t xml:space="preserve">. </w:t>
      </w:r>
      <w:r w:rsidR="006F2055">
        <w:rPr>
          <w:lang w:val="en-GB"/>
        </w:rPr>
        <w:t>Using this classification, the three authors show that involuntary early retirement concentrate</w:t>
      </w:r>
      <w:r w:rsidR="00170E90">
        <w:rPr>
          <w:lang w:val="en-GB"/>
        </w:rPr>
        <w:t>s</w:t>
      </w:r>
      <w:r w:rsidR="006F2055">
        <w:rPr>
          <w:lang w:val="en-GB"/>
        </w:rPr>
        <w:t xml:space="preserve"> among men</w:t>
      </w:r>
      <w:r w:rsidR="00170E90">
        <w:rPr>
          <w:lang w:val="en-GB"/>
        </w:rPr>
        <w:t xml:space="preserve"> working within large industrial</w:t>
      </w:r>
      <w:r w:rsidR="006F2055">
        <w:rPr>
          <w:lang w:val="en-GB"/>
        </w:rPr>
        <w:t xml:space="preserve"> firms</w:t>
      </w:r>
      <w:r w:rsidR="009B6A74">
        <w:rPr>
          <w:lang w:val="en-GB"/>
        </w:rPr>
        <w:t xml:space="preserve"> and is</w:t>
      </w:r>
      <w:r w:rsidR="006F2055">
        <w:rPr>
          <w:lang w:val="en-GB"/>
        </w:rPr>
        <w:t xml:space="preserve"> most widespread in Eastern German</w:t>
      </w:r>
      <w:r w:rsidR="009B6A74">
        <w:rPr>
          <w:lang w:val="en-GB"/>
        </w:rPr>
        <w:t xml:space="preserve">y where economic restructuring </w:t>
      </w:r>
      <w:r w:rsidR="006F2055">
        <w:rPr>
          <w:lang w:val="en-GB"/>
        </w:rPr>
        <w:t xml:space="preserve">from a socialist to a market economy frequently led to </w:t>
      </w:r>
      <w:r w:rsidR="009B6A74">
        <w:rPr>
          <w:lang w:val="en-GB"/>
        </w:rPr>
        <w:t xml:space="preserve">massive </w:t>
      </w:r>
      <w:r w:rsidR="006F2055">
        <w:rPr>
          <w:lang w:val="en-GB"/>
        </w:rPr>
        <w:t xml:space="preserve">labour </w:t>
      </w:r>
      <w:r w:rsidR="006F2055">
        <w:rPr>
          <w:lang w:val="en-GB"/>
        </w:rPr>
        <w:lastRenderedPageBreak/>
        <w:t>shedding. Their results, however, remain restricted to</w:t>
      </w:r>
      <w:r w:rsidR="009B6A74">
        <w:rPr>
          <w:lang w:val="en-GB"/>
        </w:rPr>
        <w:t xml:space="preserve"> a cross-sectional analysis of retrospective data from the </w:t>
      </w:r>
      <w:r w:rsidR="006F2055">
        <w:rPr>
          <w:lang w:val="en-GB"/>
        </w:rPr>
        <w:t>one country case of Germany</w:t>
      </w:r>
      <w:r w:rsidR="009B6A74">
        <w:rPr>
          <w:lang w:val="en-GB"/>
        </w:rPr>
        <w:t xml:space="preserve"> only.</w:t>
      </w:r>
    </w:p>
    <w:p w:rsidR="006F2055" w:rsidRDefault="00387EFD" w:rsidP="00E14A70">
      <w:pPr>
        <w:pStyle w:val="Listenabsatz"/>
        <w:ind w:left="0"/>
        <w:jc w:val="both"/>
        <w:rPr>
          <w:lang w:val="en-GB"/>
        </w:rPr>
      </w:pPr>
      <w:r>
        <w:rPr>
          <w:lang w:val="en-GB"/>
        </w:rPr>
        <w:t xml:space="preserve">Both previous studies thus do not sue the multi-faceted indicator within the SHARE survey to its full potential. </w:t>
      </w:r>
      <w:r w:rsidR="006F2055">
        <w:rPr>
          <w:lang w:val="en-GB"/>
        </w:rPr>
        <w:t xml:space="preserve">Against this background, the aim of this paper will be </w:t>
      </w:r>
      <w:r>
        <w:rPr>
          <w:lang w:val="en-GB"/>
        </w:rPr>
        <w:t xml:space="preserve">use the same indicator, but </w:t>
      </w:r>
      <w:r w:rsidR="006F2055">
        <w:rPr>
          <w:lang w:val="en-GB"/>
        </w:rPr>
        <w:t xml:space="preserve">to </w:t>
      </w:r>
      <w:r>
        <w:rPr>
          <w:lang w:val="en-GB"/>
        </w:rPr>
        <w:t>develop both a dichotomous differentiation of voluntary vs. involuntary retirement as well as a distinction of four different types of retirement motives – institutionally-induced, health induced, employer-induced and privately induced retirement</w:t>
      </w:r>
      <w:r w:rsidR="006D3950">
        <w:rPr>
          <w:lang w:val="en-GB"/>
        </w:rPr>
        <w:t xml:space="preserve">. For the empirical analysis of retirement transitions, the paper will draw back to longitudinal data from the first two waves of the SHARE survey that both allow to observe retirement transition within a two-year age window </w:t>
      </w:r>
      <w:r w:rsidR="00A45F59">
        <w:rPr>
          <w:lang w:val="en-GB"/>
        </w:rPr>
        <w:t xml:space="preserve">from 2004/5 to 2006/7, i.e. </w:t>
      </w:r>
      <w:r w:rsidR="006D3950">
        <w:rPr>
          <w:lang w:val="en-GB"/>
        </w:rPr>
        <w:t>during the gradual implementation of active ageing policies</w:t>
      </w:r>
      <w:r w:rsidR="00A45F59">
        <w:rPr>
          <w:lang w:val="en-GB"/>
        </w:rPr>
        <w:t>. At the same time, the rich data provided by SHARE on individual as well as workplace characteristics allows</w:t>
      </w:r>
      <w:r w:rsidR="006D3950">
        <w:rPr>
          <w:lang w:val="en-GB"/>
        </w:rPr>
        <w:t xml:space="preserve"> to connect these transitions </w:t>
      </w:r>
      <w:r>
        <w:rPr>
          <w:lang w:val="en-GB"/>
        </w:rPr>
        <w:t xml:space="preserve">to </w:t>
      </w:r>
      <w:r w:rsidR="006D3950">
        <w:rPr>
          <w:lang w:val="en-GB"/>
        </w:rPr>
        <w:t xml:space="preserve">various aspects of the workers previous’ employment relationship. </w:t>
      </w:r>
      <w:r w:rsidR="00A45F59">
        <w:rPr>
          <w:lang w:val="en-GB"/>
        </w:rPr>
        <w:t xml:space="preserve">Using this data, the paper, on the one hand, aims </w:t>
      </w:r>
      <w:r w:rsidR="006F2055">
        <w:rPr>
          <w:lang w:val="en-GB"/>
        </w:rPr>
        <w:t xml:space="preserve">to analyse </w:t>
      </w:r>
      <w:r w:rsidR="00A45F59">
        <w:rPr>
          <w:lang w:val="en-GB"/>
        </w:rPr>
        <w:t xml:space="preserve">the cross-national variation in early retirement, i.e. to explore </w:t>
      </w:r>
      <w:r w:rsidR="006F2055">
        <w:rPr>
          <w:lang w:val="en-GB"/>
        </w:rPr>
        <w:t xml:space="preserve">which are the nation-specific determinants that promote respectively delimit voluntary or involuntary retirement. On the other hand, </w:t>
      </w:r>
      <w:r w:rsidR="00A45F59">
        <w:rPr>
          <w:lang w:val="en-GB"/>
        </w:rPr>
        <w:t>it will</w:t>
      </w:r>
      <w:r w:rsidR="006F2055">
        <w:rPr>
          <w:lang w:val="en-GB"/>
        </w:rPr>
        <w:t xml:space="preserve"> investigate whether there are specific disadvantaged groups of older workers that are disproportionately affected by involuntary early retirement. </w:t>
      </w:r>
    </w:p>
    <w:p w:rsidR="005A0C35" w:rsidRPr="00AA5756" w:rsidRDefault="005A0C35" w:rsidP="00E14A70">
      <w:pPr>
        <w:pStyle w:val="Listenabsatz"/>
        <w:ind w:left="0"/>
        <w:jc w:val="both"/>
        <w:rPr>
          <w:lang w:val="en-GB"/>
        </w:rPr>
      </w:pPr>
    </w:p>
    <w:p w:rsidR="00BC7515" w:rsidRPr="00571B88" w:rsidRDefault="00BC7515" w:rsidP="001215F0">
      <w:pPr>
        <w:pStyle w:val="Listenabsatz"/>
        <w:ind w:left="0"/>
        <w:contextualSpacing w:val="0"/>
        <w:rPr>
          <w:i/>
          <w:lang w:val="en-GB"/>
        </w:rPr>
      </w:pPr>
      <w:r w:rsidRPr="00571B88">
        <w:rPr>
          <w:i/>
          <w:lang w:val="en-GB"/>
        </w:rPr>
        <w:t>2.4. Hypotheses</w:t>
      </w:r>
    </w:p>
    <w:p w:rsidR="00075733" w:rsidRDefault="00E26EBC" w:rsidP="00075733">
      <w:pPr>
        <w:pStyle w:val="Listenabsatz"/>
        <w:ind w:left="0"/>
        <w:jc w:val="both"/>
        <w:rPr>
          <w:lang w:val="en-GB"/>
        </w:rPr>
      </w:pPr>
      <w:r>
        <w:rPr>
          <w:lang w:val="en-GB"/>
        </w:rPr>
        <w:t xml:space="preserve">In the following, I shall reconstruct empirically both the incidence of early retirement as well as the degree of voluntariness associated with it. </w:t>
      </w:r>
      <w:r w:rsidR="00075733">
        <w:rPr>
          <w:lang w:val="en-GB"/>
        </w:rPr>
        <w:t>I</w:t>
      </w:r>
      <w:r w:rsidR="006B0A3E">
        <w:rPr>
          <w:lang w:val="en-GB"/>
        </w:rPr>
        <w:t xml:space="preserve"> assume that i</w:t>
      </w:r>
      <w:r w:rsidR="00075733">
        <w:rPr>
          <w:lang w:val="en-GB"/>
        </w:rPr>
        <w:t xml:space="preserve">n first instance, individual retirement decisions </w:t>
      </w:r>
      <w:r w:rsidR="006B0A3E">
        <w:rPr>
          <w:lang w:val="en-GB"/>
        </w:rPr>
        <w:t>ar</w:t>
      </w:r>
      <w:r w:rsidR="00075733">
        <w:rPr>
          <w:lang w:val="en-GB"/>
        </w:rPr>
        <w:t>e determined by the interaction between the national institutional context and policies at the firm</w:t>
      </w:r>
      <w:r w:rsidR="006B0A3E">
        <w:rPr>
          <w:lang w:val="en-GB"/>
        </w:rPr>
        <w:t>-</w:t>
      </w:r>
      <w:r w:rsidR="00075733">
        <w:rPr>
          <w:lang w:val="en-GB"/>
        </w:rPr>
        <w:t xml:space="preserve">level. Taken together, these institutional features define the opportunities and constraints under which older workers can decide about exiting the labour market or continuing to work. If for example retirement ages are high and public and/or occupational benefits are meagre, older workers will have little choice than to continue working until personal assets and savings suffice for a permanent withdrawal for the labour market. By the same token, institutional that do not support the employability of older workers, be it through public or firm-level policies, will leave </w:t>
      </w:r>
      <w:proofErr w:type="gramStart"/>
      <w:r w:rsidR="00075733">
        <w:rPr>
          <w:lang w:val="en-GB"/>
        </w:rPr>
        <w:t>most older</w:t>
      </w:r>
      <w:proofErr w:type="gramEnd"/>
      <w:r w:rsidR="00075733">
        <w:rPr>
          <w:lang w:val="en-GB"/>
        </w:rPr>
        <w:t xml:space="preserve"> workers little choice than to withdraw from work. It thus can be assumed that it will be primarily institutional contexts that will affect older workers likelihood to retire early and the degree of voluntariness associated with it. Only when institutional contexts indeed leave older workers a fair degree of choice in their retirement decisions, it can be assumed that further factors at the individual level will play an additional role. In the following, we thus shall outline the main hypotheses for influencing factors at the </w:t>
      </w:r>
      <w:r w:rsidR="00075733" w:rsidRPr="00A45F59">
        <w:rPr>
          <w:i/>
          <w:lang w:val="en-GB"/>
        </w:rPr>
        <w:t>national</w:t>
      </w:r>
      <w:r w:rsidR="00075733">
        <w:rPr>
          <w:lang w:val="en-GB"/>
        </w:rPr>
        <w:t xml:space="preserve"> level (e.g. labour market and social policies), the </w:t>
      </w:r>
      <w:r w:rsidR="00075733">
        <w:rPr>
          <w:i/>
          <w:lang w:val="en-GB"/>
        </w:rPr>
        <w:t>firm</w:t>
      </w:r>
      <w:r w:rsidR="00075733">
        <w:rPr>
          <w:lang w:val="en-GB"/>
        </w:rPr>
        <w:t xml:space="preserve"> level (i.e. workplace characteristics) as well as attributes of the </w:t>
      </w:r>
      <w:r w:rsidR="00075733" w:rsidRPr="00A45F59">
        <w:rPr>
          <w:i/>
          <w:lang w:val="en-GB"/>
        </w:rPr>
        <w:t>individual</w:t>
      </w:r>
      <w:r w:rsidR="00075733">
        <w:rPr>
          <w:lang w:val="en-GB"/>
        </w:rPr>
        <w:t xml:space="preserve"> itself (e.g. age, gender or human capital attainment). </w:t>
      </w:r>
      <w:proofErr w:type="gramStart"/>
      <w:r w:rsidR="00075733">
        <w:rPr>
          <w:lang w:val="en-GB"/>
        </w:rPr>
        <w:t>These hypothesis</w:t>
      </w:r>
      <w:proofErr w:type="gramEnd"/>
      <w:r w:rsidR="00075733">
        <w:rPr>
          <w:lang w:val="en-GB"/>
        </w:rPr>
        <w:t xml:space="preserve"> subsequently will be tested using most recent data from the first two waves of the SHARE survey.</w:t>
      </w:r>
    </w:p>
    <w:p w:rsidR="00E26EBC" w:rsidRDefault="00E26EBC" w:rsidP="00E26EBC">
      <w:pPr>
        <w:pStyle w:val="Listenabsatz"/>
        <w:ind w:left="0"/>
        <w:jc w:val="both"/>
        <w:rPr>
          <w:lang w:val="en-GB"/>
        </w:rPr>
      </w:pPr>
    </w:p>
    <w:p w:rsidR="00BF3FBD" w:rsidRPr="00BF3FBD" w:rsidRDefault="00FC25C6" w:rsidP="00E26EBC">
      <w:pPr>
        <w:pStyle w:val="Listenabsatz"/>
        <w:ind w:left="0"/>
        <w:jc w:val="both"/>
        <w:rPr>
          <w:u w:val="single"/>
          <w:lang w:val="en-GB"/>
        </w:rPr>
      </w:pPr>
      <w:r>
        <w:rPr>
          <w:u w:val="single"/>
          <w:lang w:val="en-GB"/>
        </w:rPr>
        <w:t>Macro-</w:t>
      </w:r>
      <w:r w:rsidR="00BF3FBD" w:rsidRPr="00BF3FBD">
        <w:rPr>
          <w:u w:val="single"/>
          <w:lang w:val="en-GB"/>
        </w:rPr>
        <w:t xml:space="preserve"> level</w:t>
      </w:r>
    </w:p>
    <w:p w:rsidR="0091166E" w:rsidRDefault="00EB643F" w:rsidP="00C40100">
      <w:pPr>
        <w:pStyle w:val="Listenabsatz"/>
        <w:spacing w:after="120"/>
        <w:ind w:left="0"/>
        <w:contextualSpacing w:val="0"/>
        <w:jc w:val="both"/>
        <w:rPr>
          <w:lang w:val="en-GB"/>
        </w:rPr>
      </w:pPr>
      <w:r>
        <w:rPr>
          <w:lang w:val="en-GB"/>
        </w:rPr>
        <w:t>The primary level at which older workers employment respectively retirement opportunities are being determined is the level of national policies. In line with previous research</w:t>
      </w:r>
      <w:r w:rsidR="00BF3FBD">
        <w:rPr>
          <w:lang w:val="en-GB"/>
        </w:rPr>
        <w:t xml:space="preserve">, I </w:t>
      </w:r>
      <w:r w:rsidR="0091166E">
        <w:rPr>
          <w:lang w:val="en-GB"/>
        </w:rPr>
        <w:t>expect that three different types of institutions will impact on the timing and nature of older workers’ retirement transitions.</w:t>
      </w:r>
    </w:p>
    <w:p w:rsidR="00BF3FBD" w:rsidRDefault="0091166E" w:rsidP="00C40100">
      <w:pPr>
        <w:pStyle w:val="Listenabsatz"/>
        <w:spacing w:after="120"/>
        <w:ind w:left="0"/>
        <w:contextualSpacing w:val="0"/>
        <w:jc w:val="both"/>
        <w:rPr>
          <w:lang w:val="en-GB"/>
        </w:rPr>
      </w:pPr>
      <w:r>
        <w:rPr>
          <w:lang w:val="en-GB"/>
        </w:rPr>
        <w:lastRenderedPageBreak/>
        <w:t>I</w:t>
      </w:r>
      <w:r w:rsidR="00BF3FBD">
        <w:rPr>
          <w:lang w:val="en-GB"/>
        </w:rPr>
        <w:t xml:space="preserve">nstitutional </w:t>
      </w:r>
      <w:r w:rsidR="00BF3FBD" w:rsidRPr="00BF3FBD">
        <w:rPr>
          <w:i/>
          <w:lang w:val="en-GB"/>
        </w:rPr>
        <w:t>push factors</w:t>
      </w:r>
      <w:r w:rsidR="00BF3FBD">
        <w:rPr>
          <w:lang w:val="en-GB"/>
        </w:rPr>
        <w:t xml:space="preserve"> – as reflected, for example, in high levels of labour market rigidity or </w:t>
      </w:r>
      <w:r w:rsidR="00EB643F">
        <w:rPr>
          <w:lang w:val="en-GB"/>
        </w:rPr>
        <w:t xml:space="preserve">high and persistent unemployment </w:t>
      </w:r>
      <w:r w:rsidR="00BF3FBD">
        <w:rPr>
          <w:lang w:val="en-GB"/>
        </w:rPr>
        <w:t xml:space="preserve">– </w:t>
      </w:r>
      <w:r w:rsidR="00BF3FBD" w:rsidRPr="005B68ED">
        <w:rPr>
          <w:i/>
          <w:lang w:val="en-GB"/>
        </w:rPr>
        <w:t xml:space="preserve">will promote older workers’ labour market exit </w:t>
      </w:r>
      <w:r w:rsidR="000A0E93" w:rsidRPr="005B68ED">
        <w:rPr>
          <w:i/>
          <w:lang w:val="en-GB"/>
        </w:rPr>
        <w:t>and thus will increase the likelihood of early retirement</w:t>
      </w:r>
      <w:r w:rsidR="005B68ED">
        <w:rPr>
          <w:lang w:val="en-GB"/>
        </w:rPr>
        <w:t xml:space="preserve"> (</w:t>
      </w:r>
      <w:r w:rsidR="005B68ED" w:rsidRPr="00E65E3A">
        <w:rPr>
          <w:u w:val="single"/>
          <w:lang w:val="en-GB"/>
        </w:rPr>
        <w:t>Hypothesis A1</w:t>
      </w:r>
      <w:r w:rsidR="005B68ED">
        <w:rPr>
          <w:lang w:val="en-GB"/>
        </w:rPr>
        <w:t>)</w:t>
      </w:r>
      <w:r w:rsidR="000A0E93">
        <w:rPr>
          <w:lang w:val="en-GB"/>
        </w:rPr>
        <w:t xml:space="preserve">. As they usually will narrow between work </w:t>
      </w:r>
      <w:r w:rsidR="006B0A3E">
        <w:rPr>
          <w:lang w:val="en-GB"/>
        </w:rPr>
        <w:t>and</w:t>
      </w:r>
      <w:r w:rsidR="000A0E93">
        <w:rPr>
          <w:lang w:val="en-GB"/>
        </w:rPr>
        <w:t xml:space="preserve"> retirement by restraining </w:t>
      </w:r>
      <w:r w:rsidR="006B0A3E">
        <w:rPr>
          <w:lang w:val="en-GB"/>
        </w:rPr>
        <w:t>older workers’</w:t>
      </w:r>
      <w:r w:rsidR="000A0E93">
        <w:rPr>
          <w:lang w:val="en-GB"/>
        </w:rPr>
        <w:t xml:space="preserve"> employability, I </w:t>
      </w:r>
      <w:r w:rsidR="006B0A3E">
        <w:rPr>
          <w:lang w:val="en-GB"/>
        </w:rPr>
        <w:t xml:space="preserve">assume that </w:t>
      </w:r>
      <w:r w:rsidR="006B0A3E">
        <w:rPr>
          <w:i/>
          <w:lang w:val="en-GB"/>
        </w:rPr>
        <w:t xml:space="preserve">they will </w:t>
      </w:r>
      <w:r w:rsidR="000A0E93" w:rsidRPr="005B68ED">
        <w:rPr>
          <w:i/>
          <w:lang w:val="en-GB"/>
        </w:rPr>
        <w:t>increase the incidence of involuntary early exit transitions</w:t>
      </w:r>
      <w:r w:rsidR="005B68ED">
        <w:rPr>
          <w:lang w:val="en-GB"/>
        </w:rPr>
        <w:t xml:space="preserve"> (</w:t>
      </w:r>
      <w:r w:rsidR="005B68ED" w:rsidRPr="00E65E3A">
        <w:rPr>
          <w:u w:val="single"/>
          <w:lang w:val="en-GB"/>
        </w:rPr>
        <w:t>Hypothesis A2</w:t>
      </w:r>
      <w:r w:rsidR="005B68ED">
        <w:rPr>
          <w:lang w:val="en-GB"/>
        </w:rPr>
        <w:t>)</w:t>
      </w:r>
      <w:r w:rsidR="000A0E93">
        <w:rPr>
          <w:lang w:val="en-GB"/>
        </w:rPr>
        <w:t xml:space="preserve">. </w:t>
      </w:r>
    </w:p>
    <w:p w:rsidR="000A0E93" w:rsidRDefault="000A0E93" w:rsidP="00C40100">
      <w:pPr>
        <w:pStyle w:val="Listenabsatz"/>
        <w:spacing w:after="120"/>
        <w:ind w:left="0"/>
        <w:contextualSpacing w:val="0"/>
        <w:jc w:val="both"/>
        <w:rPr>
          <w:lang w:val="en-GB"/>
        </w:rPr>
      </w:pPr>
      <w:r>
        <w:rPr>
          <w:lang w:val="en-GB"/>
        </w:rPr>
        <w:t xml:space="preserve">Similarly, institutional </w:t>
      </w:r>
      <w:r w:rsidRPr="00B24201">
        <w:rPr>
          <w:i/>
          <w:lang w:val="en-GB"/>
        </w:rPr>
        <w:t>pu</w:t>
      </w:r>
      <w:r w:rsidR="005B68ED" w:rsidRPr="00B24201">
        <w:rPr>
          <w:i/>
          <w:lang w:val="en-GB"/>
        </w:rPr>
        <w:t>ll</w:t>
      </w:r>
      <w:r w:rsidRPr="00B24201">
        <w:rPr>
          <w:i/>
          <w:lang w:val="en-GB"/>
        </w:rPr>
        <w:t xml:space="preserve"> factors</w:t>
      </w:r>
      <w:r>
        <w:rPr>
          <w:lang w:val="en-GB"/>
        </w:rPr>
        <w:t xml:space="preserve"> </w:t>
      </w:r>
      <w:r w:rsidR="005B68ED">
        <w:rPr>
          <w:lang w:val="en-GB"/>
        </w:rPr>
        <w:t xml:space="preserve">– e.g. economic early retirement incentives incorporated into national pension or </w:t>
      </w:r>
      <w:r w:rsidR="00C733FC">
        <w:rPr>
          <w:lang w:val="en-GB"/>
        </w:rPr>
        <w:t>other</w:t>
      </w:r>
      <w:r w:rsidR="005B68ED">
        <w:rPr>
          <w:lang w:val="en-GB"/>
        </w:rPr>
        <w:t xml:space="preserve"> transfer systems </w:t>
      </w:r>
      <w:r w:rsidR="005B68ED" w:rsidRPr="005B68ED">
        <w:rPr>
          <w:i/>
          <w:lang w:val="en-GB"/>
        </w:rPr>
        <w:t>– will promote early retirement</w:t>
      </w:r>
      <w:r w:rsidR="005B68ED">
        <w:rPr>
          <w:i/>
          <w:lang w:val="en-GB"/>
        </w:rPr>
        <w:t xml:space="preserve"> </w:t>
      </w:r>
      <w:r w:rsidR="005B68ED">
        <w:rPr>
          <w:lang w:val="en-GB"/>
        </w:rPr>
        <w:t>(</w:t>
      </w:r>
      <w:r w:rsidR="005B68ED" w:rsidRPr="00E65E3A">
        <w:rPr>
          <w:u w:val="single"/>
          <w:lang w:val="en-GB"/>
        </w:rPr>
        <w:t>Hypothesis A3</w:t>
      </w:r>
      <w:r w:rsidR="005B68ED">
        <w:rPr>
          <w:lang w:val="en-GB"/>
        </w:rPr>
        <w:t xml:space="preserve">). However, the effect of these institutional factors on its degree of voluntariness may be ambiguous. On the one hand, following the findings from Dorn and Souza-Poza (2010), it </w:t>
      </w:r>
      <w:r w:rsidR="006B0A3E">
        <w:rPr>
          <w:lang w:val="en-GB"/>
        </w:rPr>
        <w:t>can</w:t>
      </w:r>
      <w:r w:rsidR="005B68ED">
        <w:rPr>
          <w:lang w:val="en-GB"/>
        </w:rPr>
        <w:t xml:space="preserve"> be assumed that financial pull incentives through public institutions may promote involuntary early retirement by creating incentives for firms to shed redundant older </w:t>
      </w:r>
      <w:r w:rsidR="00C733FC">
        <w:rPr>
          <w:lang w:val="en-GB"/>
        </w:rPr>
        <w:t xml:space="preserve">workers. </w:t>
      </w:r>
      <w:r w:rsidR="00C733FC">
        <w:rPr>
          <w:i/>
          <w:lang w:val="en-GB"/>
        </w:rPr>
        <w:t>Those</w:t>
      </w:r>
      <w:r w:rsidR="005B68ED" w:rsidRPr="005B68ED">
        <w:rPr>
          <w:i/>
          <w:lang w:val="en-GB"/>
        </w:rPr>
        <w:t xml:space="preserve"> affected by such rationalisation measures </w:t>
      </w:r>
      <w:r w:rsidR="00C733FC" w:rsidRPr="005B68ED">
        <w:rPr>
          <w:i/>
          <w:lang w:val="en-GB"/>
        </w:rPr>
        <w:t xml:space="preserve">may </w:t>
      </w:r>
      <w:r w:rsidR="005B68ED" w:rsidRPr="005B68ED">
        <w:rPr>
          <w:i/>
          <w:lang w:val="en-GB"/>
        </w:rPr>
        <w:t>perceive their exit as being made redundant by their previous employer, i.e. as being ‘involuntary’</w:t>
      </w:r>
      <w:r w:rsidR="005B68ED">
        <w:rPr>
          <w:lang w:val="en-GB"/>
        </w:rPr>
        <w:t xml:space="preserve"> (</w:t>
      </w:r>
      <w:r w:rsidR="005B68ED" w:rsidRPr="00E65E3A">
        <w:rPr>
          <w:u w:val="single"/>
          <w:lang w:val="en-GB"/>
        </w:rPr>
        <w:t>Hypothesis A4a</w:t>
      </w:r>
      <w:r w:rsidR="005B68ED">
        <w:rPr>
          <w:lang w:val="en-GB"/>
        </w:rPr>
        <w:t xml:space="preserve">). On the other hand, the combined </w:t>
      </w:r>
      <w:r w:rsidR="00C733FC">
        <w:rPr>
          <w:lang w:val="en-GB"/>
        </w:rPr>
        <w:t>generosity</w:t>
      </w:r>
      <w:r w:rsidR="005B68ED">
        <w:rPr>
          <w:lang w:val="en-GB"/>
        </w:rPr>
        <w:t xml:space="preserve"> of public early retirement payments </w:t>
      </w:r>
      <w:r w:rsidR="00C733FC">
        <w:rPr>
          <w:lang w:val="en-GB"/>
        </w:rPr>
        <w:t>(</w:t>
      </w:r>
      <w:r w:rsidR="005B68ED">
        <w:rPr>
          <w:lang w:val="en-GB"/>
        </w:rPr>
        <w:t xml:space="preserve">and </w:t>
      </w:r>
      <w:r w:rsidR="00C733FC">
        <w:rPr>
          <w:lang w:val="en-GB"/>
        </w:rPr>
        <w:t xml:space="preserve">potentially </w:t>
      </w:r>
      <w:r w:rsidR="005B68ED">
        <w:rPr>
          <w:lang w:val="en-GB"/>
        </w:rPr>
        <w:t>employers’ top-up</w:t>
      </w:r>
      <w:r w:rsidR="00C733FC">
        <w:rPr>
          <w:lang w:val="en-GB"/>
        </w:rPr>
        <w:t>s)</w:t>
      </w:r>
      <w:r w:rsidR="005B68ED">
        <w:rPr>
          <w:lang w:val="en-GB"/>
        </w:rPr>
        <w:t xml:space="preserve"> may </w:t>
      </w:r>
      <w:r w:rsidR="00C733FC">
        <w:rPr>
          <w:lang w:val="en-GB"/>
        </w:rPr>
        <w:t xml:space="preserve">offset the psychological </w:t>
      </w:r>
      <w:r w:rsidR="00B24201">
        <w:rPr>
          <w:lang w:val="en-GB"/>
        </w:rPr>
        <w:t xml:space="preserve">detriments of early labour force exit. </w:t>
      </w:r>
      <w:r w:rsidR="00C733FC">
        <w:rPr>
          <w:lang w:val="en-GB"/>
        </w:rPr>
        <w:t>F</w:t>
      </w:r>
      <w:r w:rsidR="00B24201">
        <w:rPr>
          <w:lang w:val="en-GB"/>
        </w:rPr>
        <w:t xml:space="preserve">ollowing </w:t>
      </w:r>
      <w:proofErr w:type="spellStart"/>
      <w:r w:rsidR="00B24201">
        <w:rPr>
          <w:lang w:val="en-GB"/>
        </w:rPr>
        <w:t>Kohli’s</w:t>
      </w:r>
      <w:proofErr w:type="spellEnd"/>
      <w:r w:rsidR="00B24201">
        <w:rPr>
          <w:lang w:val="en-GB"/>
        </w:rPr>
        <w:t xml:space="preserve"> </w:t>
      </w:r>
      <w:r w:rsidR="00C733FC">
        <w:rPr>
          <w:lang w:val="en-GB"/>
        </w:rPr>
        <w:t>view</w:t>
      </w:r>
      <w:r w:rsidR="00B24201">
        <w:rPr>
          <w:lang w:val="en-GB"/>
        </w:rPr>
        <w:t xml:space="preserve"> of retirement as being part of the ‘moral economy’ of modern societies (</w:t>
      </w:r>
      <w:proofErr w:type="spellStart"/>
      <w:r w:rsidR="00B24201" w:rsidRPr="00F070F4">
        <w:rPr>
          <w:i/>
          <w:lang w:val="en-GB"/>
        </w:rPr>
        <w:t>Kohli</w:t>
      </w:r>
      <w:proofErr w:type="spellEnd"/>
      <w:r w:rsidR="00F070F4">
        <w:rPr>
          <w:lang w:val="en-GB"/>
        </w:rPr>
        <w:t xml:space="preserve">, </w:t>
      </w:r>
      <w:r w:rsidR="00B24201">
        <w:rPr>
          <w:lang w:val="en-GB"/>
        </w:rPr>
        <w:t xml:space="preserve">1987), older workers may perceive high severance payments as a kind of institutionalised ‘reward’ for previous work. </w:t>
      </w:r>
      <w:r w:rsidR="00C733FC">
        <w:rPr>
          <w:lang w:val="en-GB"/>
        </w:rPr>
        <w:t xml:space="preserve">Following this line of argument, </w:t>
      </w:r>
      <w:r w:rsidR="009A53F6">
        <w:rPr>
          <w:lang w:val="en-GB"/>
        </w:rPr>
        <w:t xml:space="preserve">generous </w:t>
      </w:r>
      <w:r w:rsidR="00B24201" w:rsidRPr="00B24201">
        <w:rPr>
          <w:i/>
          <w:lang w:val="en-GB"/>
        </w:rPr>
        <w:t>financial pull incentives may in fact decrease the incidence of involuntary retirement</w:t>
      </w:r>
      <w:r w:rsidR="00B24201">
        <w:rPr>
          <w:lang w:val="en-GB"/>
        </w:rPr>
        <w:t xml:space="preserve"> (</w:t>
      </w:r>
      <w:r w:rsidR="00B24201" w:rsidRPr="00E65E3A">
        <w:rPr>
          <w:u w:val="single"/>
          <w:lang w:val="en-GB"/>
        </w:rPr>
        <w:t>Hypothesis A4b</w:t>
      </w:r>
      <w:r w:rsidR="00B24201">
        <w:rPr>
          <w:lang w:val="en-GB"/>
        </w:rPr>
        <w:t xml:space="preserve">).  </w:t>
      </w:r>
    </w:p>
    <w:p w:rsidR="0048615F" w:rsidRDefault="004B1B4D" w:rsidP="00C40100">
      <w:pPr>
        <w:pStyle w:val="Listenabsatz"/>
        <w:spacing w:after="120"/>
        <w:ind w:left="0"/>
        <w:contextualSpacing w:val="0"/>
        <w:jc w:val="both"/>
        <w:rPr>
          <w:lang w:val="en-GB"/>
        </w:rPr>
      </w:pPr>
      <w:r>
        <w:rPr>
          <w:lang w:val="en-GB"/>
        </w:rPr>
        <w:t xml:space="preserve">Finally, I assume that </w:t>
      </w:r>
      <w:r w:rsidRPr="004B1B4D">
        <w:rPr>
          <w:i/>
          <w:lang w:val="en-GB"/>
        </w:rPr>
        <w:t>stay policies</w:t>
      </w:r>
      <w:r>
        <w:rPr>
          <w:lang w:val="en-GB"/>
        </w:rPr>
        <w:t xml:space="preserve"> </w:t>
      </w:r>
      <w:r w:rsidR="006B0A3E">
        <w:rPr>
          <w:lang w:val="en-GB"/>
        </w:rPr>
        <w:t xml:space="preserve">aiming at </w:t>
      </w:r>
      <w:r>
        <w:rPr>
          <w:lang w:val="en-GB"/>
        </w:rPr>
        <w:t xml:space="preserve">promoting longer working life </w:t>
      </w:r>
      <w:r w:rsidRPr="00111CB9">
        <w:rPr>
          <w:i/>
          <w:lang w:val="en-GB"/>
        </w:rPr>
        <w:t>will decrease the incidence of early retirement as such</w:t>
      </w:r>
      <w:r w:rsidR="00111CB9">
        <w:rPr>
          <w:i/>
          <w:lang w:val="en-GB"/>
        </w:rPr>
        <w:t xml:space="preserve"> </w:t>
      </w:r>
      <w:r w:rsidR="00111CB9">
        <w:rPr>
          <w:lang w:val="en-GB"/>
        </w:rPr>
        <w:t>(</w:t>
      </w:r>
      <w:r w:rsidR="00111CB9" w:rsidRPr="00E65E3A">
        <w:rPr>
          <w:u w:val="single"/>
          <w:lang w:val="en-GB"/>
        </w:rPr>
        <w:t>Hypothesis A5</w:t>
      </w:r>
      <w:r w:rsidR="00111CB9">
        <w:rPr>
          <w:lang w:val="en-GB"/>
        </w:rPr>
        <w:t>)</w:t>
      </w:r>
      <w:r>
        <w:rPr>
          <w:lang w:val="en-GB"/>
        </w:rPr>
        <w:t>.</w:t>
      </w:r>
      <w:r w:rsidR="00BF3FBD">
        <w:rPr>
          <w:lang w:val="en-GB"/>
        </w:rPr>
        <w:t xml:space="preserve"> </w:t>
      </w:r>
      <w:r w:rsidR="00BD0EC7">
        <w:rPr>
          <w:lang w:val="en-GB"/>
        </w:rPr>
        <w:t xml:space="preserve">As such measures promote older workers labour market chances, </w:t>
      </w:r>
      <w:r w:rsidR="00111CB9">
        <w:rPr>
          <w:lang w:val="en-GB"/>
        </w:rPr>
        <w:t>it can be assumed that retirement decision</w:t>
      </w:r>
      <w:r w:rsidR="006B0A3E">
        <w:rPr>
          <w:lang w:val="en-GB"/>
        </w:rPr>
        <w:t>s</w:t>
      </w:r>
      <w:r w:rsidR="00111CB9">
        <w:rPr>
          <w:lang w:val="en-GB"/>
        </w:rPr>
        <w:t xml:space="preserve"> </w:t>
      </w:r>
      <w:r w:rsidR="009A53F6">
        <w:rPr>
          <w:lang w:val="en-GB"/>
        </w:rPr>
        <w:t>can be</w:t>
      </w:r>
      <w:r w:rsidR="00111CB9">
        <w:rPr>
          <w:lang w:val="en-GB"/>
        </w:rPr>
        <w:t xml:space="preserve"> taken more autonomously, thus </w:t>
      </w:r>
      <w:r w:rsidR="00111CB9" w:rsidRPr="00111CB9">
        <w:rPr>
          <w:i/>
          <w:lang w:val="en-GB"/>
        </w:rPr>
        <w:t>reducing the incidence of involuntary retirement</w:t>
      </w:r>
      <w:r w:rsidR="00111CB9">
        <w:rPr>
          <w:lang w:val="en-GB"/>
        </w:rPr>
        <w:t xml:space="preserve"> (</w:t>
      </w:r>
      <w:r w:rsidR="00111CB9" w:rsidRPr="00E65E3A">
        <w:rPr>
          <w:u w:val="single"/>
          <w:lang w:val="en-GB"/>
        </w:rPr>
        <w:t>Hypothesis A6</w:t>
      </w:r>
      <w:r w:rsidR="00111CB9">
        <w:rPr>
          <w:lang w:val="en-GB"/>
        </w:rPr>
        <w:t xml:space="preserve">). </w:t>
      </w:r>
      <w:r w:rsidR="00BD0EC7">
        <w:rPr>
          <w:lang w:val="en-GB"/>
        </w:rPr>
        <w:t xml:space="preserve"> </w:t>
      </w:r>
    </w:p>
    <w:p w:rsidR="00A1299F" w:rsidRDefault="00111CB9" w:rsidP="00C40100">
      <w:pPr>
        <w:pStyle w:val="Listenabsatz"/>
        <w:spacing w:after="120"/>
        <w:ind w:left="0"/>
        <w:contextualSpacing w:val="0"/>
        <w:jc w:val="both"/>
        <w:rPr>
          <w:lang w:val="en-GB"/>
        </w:rPr>
      </w:pPr>
      <w:r>
        <w:rPr>
          <w:lang w:val="en-GB"/>
        </w:rPr>
        <w:t xml:space="preserve">Though the effect of the single institutional factors outlined above can be discerned analytically, </w:t>
      </w:r>
      <w:r w:rsidR="00C40100">
        <w:rPr>
          <w:lang w:val="en-GB"/>
        </w:rPr>
        <w:t>concrete</w:t>
      </w:r>
      <w:r>
        <w:rPr>
          <w:lang w:val="en-GB"/>
        </w:rPr>
        <w:t xml:space="preserve"> </w:t>
      </w:r>
      <w:r w:rsidR="00C40100">
        <w:rPr>
          <w:lang w:val="en-GB"/>
        </w:rPr>
        <w:t>country cases</w:t>
      </w:r>
      <w:r>
        <w:rPr>
          <w:lang w:val="en-GB"/>
        </w:rPr>
        <w:t xml:space="preserve"> are marked by the interplay of different – and occasionally eve</w:t>
      </w:r>
      <w:r w:rsidR="00C40100">
        <w:rPr>
          <w:lang w:val="en-GB"/>
        </w:rPr>
        <w:t>n</w:t>
      </w:r>
      <w:r>
        <w:rPr>
          <w:lang w:val="en-GB"/>
        </w:rPr>
        <w:t xml:space="preserve">- contradictory – institutional configurations. In order to account for these ‘manifestations’ of institutional effects in European welfare states, the following analyses additionally distinguish between different </w:t>
      </w:r>
      <w:r w:rsidRPr="000874CA">
        <w:rPr>
          <w:i/>
          <w:lang w:val="en-GB"/>
        </w:rPr>
        <w:t>welfare regime types</w:t>
      </w:r>
      <w:r>
        <w:rPr>
          <w:lang w:val="en-GB"/>
        </w:rPr>
        <w:t xml:space="preserve"> (</w:t>
      </w:r>
      <w:proofErr w:type="spellStart"/>
      <w:r w:rsidRPr="00F070F4">
        <w:rPr>
          <w:i/>
          <w:lang w:val="en-GB"/>
        </w:rPr>
        <w:t>Esping</w:t>
      </w:r>
      <w:proofErr w:type="spellEnd"/>
      <w:r w:rsidRPr="00F070F4">
        <w:rPr>
          <w:i/>
          <w:lang w:val="en-GB"/>
        </w:rPr>
        <w:t>-Andersen</w:t>
      </w:r>
      <w:r w:rsidR="00F070F4">
        <w:rPr>
          <w:lang w:val="en-GB"/>
        </w:rPr>
        <w:t xml:space="preserve">, </w:t>
      </w:r>
      <w:r w:rsidRPr="009269D0">
        <w:rPr>
          <w:lang w:val="en-GB"/>
        </w:rPr>
        <w:t>1990</w:t>
      </w:r>
      <w:r>
        <w:rPr>
          <w:lang w:val="en-GB"/>
        </w:rPr>
        <w:t xml:space="preserve">) and the associated </w:t>
      </w:r>
      <w:r w:rsidR="000874CA">
        <w:rPr>
          <w:lang w:val="en-GB"/>
        </w:rPr>
        <w:t>patterns of early respectively involuntary early retirement (</w:t>
      </w:r>
      <w:r w:rsidR="000874CA" w:rsidRPr="00E65E3A">
        <w:rPr>
          <w:u w:val="single"/>
          <w:lang w:val="en-GB"/>
        </w:rPr>
        <w:t>Hypothesis A7</w:t>
      </w:r>
      <w:r w:rsidR="000874CA">
        <w:rPr>
          <w:lang w:val="en-GB"/>
        </w:rPr>
        <w:t xml:space="preserve">). </w:t>
      </w:r>
      <w:r w:rsidR="00194626">
        <w:rPr>
          <w:lang w:val="en-GB"/>
        </w:rPr>
        <w:t xml:space="preserve">For </w:t>
      </w:r>
      <w:r w:rsidR="00194626" w:rsidRPr="00194626">
        <w:rPr>
          <w:i/>
          <w:lang w:val="en-GB"/>
        </w:rPr>
        <w:t>social-</w:t>
      </w:r>
      <w:r w:rsidR="000874CA" w:rsidRPr="00194626">
        <w:rPr>
          <w:i/>
          <w:lang w:val="en-GB"/>
        </w:rPr>
        <w:t>democratic</w:t>
      </w:r>
      <w:r w:rsidR="000874CA">
        <w:rPr>
          <w:lang w:val="en-GB"/>
        </w:rPr>
        <w:t xml:space="preserve"> </w:t>
      </w:r>
      <w:r w:rsidR="000874CA" w:rsidRPr="00194626">
        <w:rPr>
          <w:lang w:val="en-GB"/>
        </w:rPr>
        <w:t xml:space="preserve">Scandinavian </w:t>
      </w:r>
      <w:r w:rsidR="00A1299F">
        <w:rPr>
          <w:lang w:val="en-GB"/>
        </w:rPr>
        <w:t>countries</w:t>
      </w:r>
      <w:r w:rsidR="000874CA">
        <w:rPr>
          <w:lang w:val="en-GB"/>
        </w:rPr>
        <w:t xml:space="preserve">, we expect that </w:t>
      </w:r>
      <w:r w:rsidR="000874CA" w:rsidRPr="00AE3512">
        <w:rPr>
          <w:i/>
          <w:lang w:val="en-GB"/>
        </w:rPr>
        <w:t>both early retirement as well as involuntary early retirement will be lowest</w:t>
      </w:r>
      <w:r w:rsidR="00AE3512">
        <w:rPr>
          <w:i/>
          <w:lang w:val="en-GB"/>
        </w:rPr>
        <w:t xml:space="preserve"> </w:t>
      </w:r>
      <w:r w:rsidR="00AE3512" w:rsidRPr="00AE3512">
        <w:rPr>
          <w:lang w:val="en-GB"/>
        </w:rPr>
        <w:t>(</w:t>
      </w:r>
      <w:r w:rsidR="00AE3512" w:rsidRPr="00E65E3A">
        <w:rPr>
          <w:u w:val="single"/>
          <w:lang w:val="en-GB"/>
        </w:rPr>
        <w:t>Hypothesis A7a</w:t>
      </w:r>
      <w:r w:rsidR="00AE3512" w:rsidRPr="00AE3512">
        <w:rPr>
          <w:lang w:val="en-GB"/>
        </w:rPr>
        <w:t>)</w:t>
      </w:r>
      <w:r w:rsidR="000874CA">
        <w:rPr>
          <w:lang w:val="en-GB"/>
        </w:rPr>
        <w:t xml:space="preserve">, as low early retirement incentives, supportive active labour market policies and well-developed measures of lifelong learning promote the employability of older workers. </w:t>
      </w:r>
      <w:r w:rsidR="00194626">
        <w:rPr>
          <w:lang w:val="en-GB"/>
        </w:rPr>
        <w:t>Though i</w:t>
      </w:r>
      <w:r w:rsidR="000874CA">
        <w:rPr>
          <w:lang w:val="en-GB"/>
        </w:rPr>
        <w:t xml:space="preserve">n </w:t>
      </w:r>
      <w:r w:rsidR="000874CA" w:rsidRPr="00194626">
        <w:rPr>
          <w:i/>
          <w:lang w:val="en-GB"/>
        </w:rPr>
        <w:t>liberal</w:t>
      </w:r>
      <w:r w:rsidR="000874CA">
        <w:rPr>
          <w:lang w:val="en-GB"/>
        </w:rPr>
        <w:t xml:space="preserve"> </w:t>
      </w:r>
      <w:r w:rsidR="00194626">
        <w:rPr>
          <w:lang w:val="en-GB"/>
        </w:rPr>
        <w:t xml:space="preserve">Anglo-Saxon </w:t>
      </w:r>
      <w:r w:rsidR="000874CA">
        <w:rPr>
          <w:lang w:val="en-GB"/>
        </w:rPr>
        <w:t xml:space="preserve">countries, there exist </w:t>
      </w:r>
      <w:r w:rsidR="00194626">
        <w:rPr>
          <w:lang w:val="en-GB"/>
        </w:rPr>
        <w:t>similar</w:t>
      </w:r>
      <w:r w:rsidR="000874CA">
        <w:rPr>
          <w:lang w:val="en-GB"/>
        </w:rPr>
        <w:t xml:space="preserve">ly low incentives for early exit, no active state policies foster older workers’ employment. </w:t>
      </w:r>
      <w:r w:rsidR="00194626">
        <w:rPr>
          <w:lang w:val="en-GB"/>
        </w:rPr>
        <w:t>L</w:t>
      </w:r>
      <w:r w:rsidR="000874CA">
        <w:rPr>
          <w:lang w:val="en-GB"/>
        </w:rPr>
        <w:t xml:space="preserve">ate career </w:t>
      </w:r>
      <w:r w:rsidR="00194626">
        <w:rPr>
          <w:lang w:val="en-GB"/>
        </w:rPr>
        <w:t>employment in these countries rather originates</w:t>
      </w:r>
      <w:r w:rsidR="000874CA">
        <w:rPr>
          <w:lang w:val="en-GB"/>
        </w:rPr>
        <w:t xml:space="preserve"> </w:t>
      </w:r>
      <w:r w:rsidR="006B0A3E">
        <w:rPr>
          <w:lang w:val="en-GB"/>
        </w:rPr>
        <w:t xml:space="preserve">from </w:t>
      </w:r>
      <w:r w:rsidR="000874CA">
        <w:rPr>
          <w:lang w:val="en-GB"/>
        </w:rPr>
        <w:t xml:space="preserve">the interplay </w:t>
      </w:r>
      <w:r w:rsidR="006B0A3E">
        <w:rPr>
          <w:lang w:val="en-GB"/>
        </w:rPr>
        <w:t>of</w:t>
      </w:r>
      <w:r w:rsidR="000874CA">
        <w:rPr>
          <w:lang w:val="en-GB"/>
        </w:rPr>
        <w:t xml:space="preserve"> a flexible labour market </w:t>
      </w:r>
      <w:r w:rsidR="006B0A3E">
        <w:rPr>
          <w:lang w:val="en-GB"/>
        </w:rPr>
        <w:t>with</w:t>
      </w:r>
      <w:r w:rsidR="000874CA">
        <w:rPr>
          <w:lang w:val="en-GB"/>
        </w:rPr>
        <w:t xml:space="preserve"> the need to work longer due to the often only modest public pension </w:t>
      </w:r>
      <w:r w:rsidR="006B0A3E">
        <w:rPr>
          <w:lang w:val="en-GB"/>
        </w:rPr>
        <w:t>levels</w:t>
      </w:r>
      <w:r w:rsidR="000874CA">
        <w:rPr>
          <w:lang w:val="en-GB"/>
        </w:rPr>
        <w:t xml:space="preserve">. </w:t>
      </w:r>
      <w:r w:rsidR="00194626">
        <w:rPr>
          <w:lang w:val="en-GB"/>
        </w:rPr>
        <w:t>As o</w:t>
      </w:r>
      <w:r w:rsidR="000874CA">
        <w:rPr>
          <w:lang w:val="en-GB"/>
        </w:rPr>
        <w:t xml:space="preserve">lder workers thus </w:t>
      </w:r>
      <w:r w:rsidR="00194626">
        <w:rPr>
          <w:lang w:val="en-GB"/>
        </w:rPr>
        <w:t xml:space="preserve">are </w:t>
      </w:r>
      <w:r w:rsidR="000874CA">
        <w:rPr>
          <w:lang w:val="en-GB"/>
        </w:rPr>
        <w:t>more vulnerable to market forces</w:t>
      </w:r>
      <w:r w:rsidR="00AE3512" w:rsidRPr="00AE3512">
        <w:rPr>
          <w:i/>
          <w:lang w:val="en-GB"/>
        </w:rPr>
        <w:t xml:space="preserve">, we thus expect that involuntary exit may be more frequent </w:t>
      </w:r>
      <w:r w:rsidR="00AE3512">
        <w:rPr>
          <w:i/>
          <w:lang w:val="en-GB"/>
        </w:rPr>
        <w:t xml:space="preserve">in liberal Anglo-Saxon </w:t>
      </w:r>
      <w:r w:rsidR="00AE3512" w:rsidRPr="00AE3512">
        <w:rPr>
          <w:i/>
          <w:lang w:val="en-GB"/>
        </w:rPr>
        <w:t xml:space="preserve">than in </w:t>
      </w:r>
      <w:r w:rsidR="00194626">
        <w:rPr>
          <w:i/>
          <w:lang w:val="en-GB"/>
        </w:rPr>
        <w:t>Scandinavian countries</w:t>
      </w:r>
      <w:r w:rsidR="00194626" w:rsidRPr="00AE3512">
        <w:rPr>
          <w:i/>
          <w:lang w:val="en-GB"/>
        </w:rPr>
        <w:t xml:space="preserve"> </w:t>
      </w:r>
      <w:r w:rsidR="00AE3512" w:rsidRPr="00AE3512">
        <w:rPr>
          <w:i/>
          <w:lang w:val="en-GB"/>
        </w:rPr>
        <w:t>Northern Europe</w:t>
      </w:r>
      <w:r w:rsidR="00AE3512">
        <w:rPr>
          <w:lang w:val="en-GB"/>
        </w:rPr>
        <w:t xml:space="preserve"> </w:t>
      </w:r>
      <w:r w:rsidR="00AE3512" w:rsidRPr="00AE3512">
        <w:rPr>
          <w:lang w:val="en-GB"/>
        </w:rPr>
        <w:t>(</w:t>
      </w:r>
      <w:r w:rsidR="00AE3512" w:rsidRPr="00E65E3A">
        <w:rPr>
          <w:u w:val="single"/>
          <w:lang w:val="en-GB"/>
        </w:rPr>
        <w:t>Hypothesis A7b</w:t>
      </w:r>
      <w:r w:rsidR="00AE3512" w:rsidRPr="00AE3512">
        <w:rPr>
          <w:lang w:val="en-GB"/>
        </w:rPr>
        <w:t>)</w:t>
      </w:r>
      <w:r w:rsidR="00AE3512">
        <w:rPr>
          <w:lang w:val="en-GB"/>
        </w:rPr>
        <w:t xml:space="preserve">. Both Central as well as Southern European countries for many decades </w:t>
      </w:r>
      <w:proofErr w:type="gramStart"/>
      <w:r w:rsidR="00203546">
        <w:rPr>
          <w:lang w:val="en-GB"/>
        </w:rPr>
        <w:t>have</w:t>
      </w:r>
      <w:proofErr w:type="gramEnd"/>
      <w:r w:rsidR="00203546">
        <w:rPr>
          <w:lang w:val="en-GB"/>
        </w:rPr>
        <w:t xml:space="preserve"> figured as</w:t>
      </w:r>
      <w:r w:rsidR="00AE3512">
        <w:rPr>
          <w:lang w:val="en-GB"/>
        </w:rPr>
        <w:t xml:space="preserve"> </w:t>
      </w:r>
      <w:r w:rsidR="006B0A3E">
        <w:rPr>
          <w:lang w:val="en-GB"/>
        </w:rPr>
        <w:t>t</w:t>
      </w:r>
      <w:r w:rsidR="00203546">
        <w:rPr>
          <w:lang w:val="en-GB"/>
        </w:rPr>
        <w:t>ypical</w:t>
      </w:r>
      <w:r w:rsidR="00AE3512">
        <w:rPr>
          <w:lang w:val="en-GB"/>
        </w:rPr>
        <w:t xml:space="preserve"> </w:t>
      </w:r>
      <w:r w:rsidR="00203546">
        <w:rPr>
          <w:lang w:val="en-GB"/>
        </w:rPr>
        <w:t>‘</w:t>
      </w:r>
      <w:r w:rsidR="00AE3512">
        <w:rPr>
          <w:lang w:val="en-GB"/>
        </w:rPr>
        <w:t>early exit regimes</w:t>
      </w:r>
      <w:r w:rsidR="00203546">
        <w:rPr>
          <w:lang w:val="en-GB"/>
        </w:rPr>
        <w:t xml:space="preserve">’ (see </w:t>
      </w:r>
      <w:proofErr w:type="spellStart"/>
      <w:r w:rsidR="00203546" w:rsidRPr="00203546">
        <w:rPr>
          <w:i/>
          <w:lang w:val="en-GB"/>
        </w:rPr>
        <w:t>Blossfeld</w:t>
      </w:r>
      <w:proofErr w:type="spellEnd"/>
      <w:r w:rsidR="00203546">
        <w:rPr>
          <w:lang w:val="en-GB"/>
        </w:rPr>
        <w:t xml:space="preserve"> et al., 2006)</w:t>
      </w:r>
      <w:r w:rsidR="00AE3512">
        <w:rPr>
          <w:lang w:val="en-GB"/>
        </w:rPr>
        <w:t xml:space="preserve">. </w:t>
      </w:r>
      <w:r w:rsidR="00203546">
        <w:rPr>
          <w:lang w:val="en-GB"/>
        </w:rPr>
        <w:t>While g</w:t>
      </w:r>
      <w:r w:rsidR="00AE3512">
        <w:rPr>
          <w:lang w:val="en-GB"/>
        </w:rPr>
        <w:t xml:space="preserve">enerous public pension pathways offered financially attractive opportunities for leaving the labour force, </w:t>
      </w:r>
      <w:r w:rsidR="00CC2B2B">
        <w:rPr>
          <w:lang w:val="en-GB"/>
        </w:rPr>
        <w:t>rigid labour market</w:t>
      </w:r>
      <w:r w:rsidR="00203546">
        <w:rPr>
          <w:lang w:val="en-GB"/>
        </w:rPr>
        <w:t>s</w:t>
      </w:r>
      <w:r w:rsidR="00CC2B2B">
        <w:rPr>
          <w:lang w:val="en-GB"/>
        </w:rPr>
        <w:t xml:space="preserve"> and the low importance of active labour market policies for older workers have severely restricted the labour market o</w:t>
      </w:r>
      <w:r w:rsidR="00203546">
        <w:rPr>
          <w:lang w:val="en-GB"/>
        </w:rPr>
        <w:t>pportunities for older workers</w:t>
      </w:r>
      <w:r w:rsidR="006B0A3E">
        <w:rPr>
          <w:lang w:val="en-GB"/>
        </w:rPr>
        <w:t xml:space="preserve"> in these countries</w:t>
      </w:r>
      <w:r w:rsidR="00203546">
        <w:rPr>
          <w:lang w:val="en-GB"/>
        </w:rPr>
        <w:t>.</w:t>
      </w:r>
      <w:r w:rsidR="00AE3512">
        <w:rPr>
          <w:lang w:val="en-GB"/>
        </w:rPr>
        <w:t xml:space="preserve"> </w:t>
      </w:r>
      <w:r w:rsidR="00CC2B2B">
        <w:rPr>
          <w:lang w:val="en-GB"/>
        </w:rPr>
        <w:t>For both regime types, we thus may expect that the incidence of early retirement will be rather high</w:t>
      </w:r>
      <w:r w:rsidR="00203546">
        <w:rPr>
          <w:lang w:val="en-GB"/>
        </w:rPr>
        <w:t xml:space="preserve"> and that involuntary early exit may be of considerable importance (</w:t>
      </w:r>
      <w:r w:rsidR="00203546" w:rsidRPr="00E65E3A">
        <w:rPr>
          <w:u w:val="single"/>
          <w:lang w:val="en-GB"/>
        </w:rPr>
        <w:t xml:space="preserve">Hypothesis </w:t>
      </w:r>
      <w:r w:rsidR="00E65E3A">
        <w:rPr>
          <w:u w:val="single"/>
          <w:lang w:val="en-GB"/>
        </w:rPr>
        <w:t>A</w:t>
      </w:r>
      <w:r w:rsidR="00203546" w:rsidRPr="00E65E3A">
        <w:rPr>
          <w:u w:val="single"/>
          <w:lang w:val="en-GB"/>
        </w:rPr>
        <w:t>7c</w:t>
      </w:r>
      <w:r w:rsidR="00203546">
        <w:rPr>
          <w:lang w:val="en-GB"/>
        </w:rPr>
        <w:t>). However, due to t</w:t>
      </w:r>
      <w:r w:rsidR="00CC2B2B">
        <w:rPr>
          <w:lang w:val="en-GB"/>
        </w:rPr>
        <w:t xml:space="preserve">he highly generous replacement levels of public pension payments in the </w:t>
      </w:r>
      <w:r w:rsidR="00CC2B2B">
        <w:rPr>
          <w:lang w:val="en-GB"/>
        </w:rPr>
        <w:lastRenderedPageBreak/>
        <w:t>traditionally ‘</w:t>
      </w:r>
      <w:proofErr w:type="spellStart"/>
      <w:r w:rsidR="00CC2B2B">
        <w:rPr>
          <w:lang w:val="en-GB"/>
        </w:rPr>
        <w:t>clientelistic</w:t>
      </w:r>
      <w:proofErr w:type="spellEnd"/>
      <w:r w:rsidR="00CC2B2B">
        <w:rPr>
          <w:lang w:val="en-GB"/>
        </w:rPr>
        <w:t xml:space="preserve">’ welfare states of </w:t>
      </w:r>
      <w:r w:rsidR="00203546">
        <w:rPr>
          <w:lang w:val="en-GB"/>
        </w:rPr>
        <w:t>Southern Europe (</w:t>
      </w:r>
      <w:proofErr w:type="spellStart"/>
      <w:r w:rsidR="00203546" w:rsidRPr="00203546">
        <w:rPr>
          <w:i/>
          <w:lang w:val="en-GB"/>
        </w:rPr>
        <w:t>Ferrera</w:t>
      </w:r>
      <w:proofErr w:type="spellEnd"/>
      <w:r w:rsidR="00F070F4">
        <w:rPr>
          <w:lang w:val="en-GB"/>
        </w:rPr>
        <w:t xml:space="preserve">, </w:t>
      </w:r>
      <w:r w:rsidR="00203546">
        <w:rPr>
          <w:lang w:val="en-GB"/>
        </w:rPr>
        <w:t>1996)</w:t>
      </w:r>
      <w:r w:rsidR="00CC2B2B">
        <w:rPr>
          <w:lang w:val="en-GB"/>
        </w:rPr>
        <w:t xml:space="preserve"> the level of involuntary retirement will be lower in </w:t>
      </w:r>
      <w:r w:rsidR="00203546">
        <w:rPr>
          <w:lang w:val="en-GB"/>
        </w:rPr>
        <w:t>S</w:t>
      </w:r>
      <w:r w:rsidR="00CC2B2B">
        <w:rPr>
          <w:lang w:val="en-GB"/>
        </w:rPr>
        <w:t xml:space="preserve">outhern than in Central European countries (though lying well </w:t>
      </w:r>
      <w:r w:rsidR="00203546">
        <w:rPr>
          <w:lang w:val="en-GB"/>
        </w:rPr>
        <w:t>above</w:t>
      </w:r>
      <w:r w:rsidR="00CC2B2B">
        <w:rPr>
          <w:lang w:val="en-GB"/>
        </w:rPr>
        <w:t xml:space="preserve"> the levels of Scandinavia</w:t>
      </w:r>
      <w:r w:rsidR="00203546">
        <w:rPr>
          <w:lang w:val="en-GB"/>
        </w:rPr>
        <w:t>n</w:t>
      </w:r>
      <w:r w:rsidR="00CC2B2B">
        <w:rPr>
          <w:lang w:val="en-GB"/>
        </w:rPr>
        <w:t xml:space="preserve"> and Anglo-Saxon </w:t>
      </w:r>
      <w:r w:rsidR="00203546">
        <w:rPr>
          <w:lang w:val="en-GB"/>
        </w:rPr>
        <w:t>nations;</w:t>
      </w:r>
      <w:r w:rsidR="00203546" w:rsidRPr="00E65E3A">
        <w:rPr>
          <w:u w:val="single"/>
          <w:lang w:val="en-GB"/>
        </w:rPr>
        <w:t xml:space="preserve"> Hypothesis </w:t>
      </w:r>
      <w:r w:rsidR="00E65E3A">
        <w:rPr>
          <w:u w:val="single"/>
          <w:lang w:val="en-GB"/>
        </w:rPr>
        <w:t>A</w:t>
      </w:r>
      <w:r w:rsidR="00203546" w:rsidRPr="00E65E3A">
        <w:rPr>
          <w:u w:val="single"/>
          <w:lang w:val="en-GB"/>
        </w:rPr>
        <w:t>7d</w:t>
      </w:r>
      <w:r w:rsidR="00CC2B2B">
        <w:rPr>
          <w:lang w:val="en-GB"/>
        </w:rPr>
        <w:t xml:space="preserve">). </w:t>
      </w:r>
    </w:p>
    <w:p w:rsidR="000B0ECE" w:rsidRDefault="000B0ECE" w:rsidP="0048615F">
      <w:pPr>
        <w:pStyle w:val="Listenabsatz"/>
        <w:ind w:left="0"/>
        <w:rPr>
          <w:u w:val="single"/>
          <w:lang w:val="en-GB"/>
        </w:rPr>
      </w:pPr>
    </w:p>
    <w:p w:rsidR="000B0ECE" w:rsidRDefault="000B0ECE" w:rsidP="0048615F">
      <w:pPr>
        <w:pStyle w:val="Listenabsatz"/>
        <w:ind w:left="0"/>
        <w:rPr>
          <w:u w:val="single"/>
          <w:lang w:val="en-GB"/>
        </w:rPr>
      </w:pPr>
    </w:p>
    <w:p w:rsidR="0048615F" w:rsidRPr="00BD0812" w:rsidRDefault="0048615F" w:rsidP="0048615F">
      <w:pPr>
        <w:pStyle w:val="Listenabsatz"/>
        <w:ind w:left="0"/>
        <w:rPr>
          <w:u w:val="single"/>
          <w:lang w:val="en-GB"/>
        </w:rPr>
      </w:pPr>
      <w:r w:rsidRPr="00BD0812">
        <w:rPr>
          <w:u w:val="single"/>
          <w:lang w:val="en-GB"/>
        </w:rPr>
        <w:t>Firm-level</w:t>
      </w:r>
    </w:p>
    <w:p w:rsidR="006758B8" w:rsidRDefault="00BD0812" w:rsidP="006C48D5">
      <w:pPr>
        <w:pStyle w:val="Listenabsatz"/>
        <w:spacing w:after="120"/>
        <w:ind w:left="0"/>
        <w:jc w:val="both"/>
        <w:rPr>
          <w:lang w:val="en-GB"/>
        </w:rPr>
      </w:pPr>
      <w:r>
        <w:rPr>
          <w:lang w:val="en-GB"/>
        </w:rPr>
        <w:t xml:space="preserve">As outlined above, we expect firm-level policies to systematically </w:t>
      </w:r>
      <w:proofErr w:type="spellStart"/>
      <w:r>
        <w:rPr>
          <w:lang w:val="en-GB"/>
        </w:rPr>
        <w:t>covary</w:t>
      </w:r>
      <w:proofErr w:type="spellEnd"/>
      <w:r>
        <w:rPr>
          <w:lang w:val="en-GB"/>
        </w:rPr>
        <w:t xml:space="preserve"> with the national institutional context. Beyond that, characteristics of the firm may have an influence on the retirement decision and its degree of voluntariness. </w:t>
      </w:r>
      <w:r w:rsidR="002D0F7F">
        <w:rPr>
          <w:lang w:val="en-GB"/>
        </w:rPr>
        <w:t xml:space="preserve">This initially applies to the </w:t>
      </w:r>
      <w:r w:rsidR="002D0F7F" w:rsidRPr="002D0F7F">
        <w:rPr>
          <w:i/>
          <w:lang w:val="en-GB"/>
        </w:rPr>
        <w:t>economic sector</w:t>
      </w:r>
      <w:r w:rsidR="002D0F7F">
        <w:rPr>
          <w:lang w:val="en-GB"/>
        </w:rPr>
        <w:t xml:space="preserve"> in which a firm is engaged (</w:t>
      </w:r>
      <w:r w:rsidR="002D0F7F" w:rsidRPr="00E65E3A">
        <w:rPr>
          <w:u w:val="single"/>
          <w:lang w:val="en-GB"/>
        </w:rPr>
        <w:t>Hypothesis B1</w:t>
      </w:r>
      <w:r w:rsidR="002D0F7F">
        <w:rPr>
          <w:lang w:val="en-GB"/>
        </w:rPr>
        <w:t xml:space="preserve">). Especially for firms in the industrial and manufacturing sector, where rationalisation and restructuring have been most pronounced throughout previous decades, we can assume that early </w:t>
      </w:r>
      <w:r w:rsidR="00C0599E">
        <w:rPr>
          <w:lang w:val="en-GB"/>
        </w:rPr>
        <w:t>exit</w:t>
      </w:r>
      <w:r w:rsidR="002D0F7F">
        <w:rPr>
          <w:lang w:val="en-GB"/>
        </w:rPr>
        <w:t xml:space="preserve"> will be most widespread. Due to the forced nature of most redundancies</w:t>
      </w:r>
      <w:r w:rsidR="00C0599E">
        <w:rPr>
          <w:lang w:val="en-GB"/>
        </w:rPr>
        <w:t xml:space="preserve"> in declining sectors</w:t>
      </w:r>
      <w:r w:rsidR="002D0F7F">
        <w:rPr>
          <w:lang w:val="en-GB"/>
        </w:rPr>
        <w:t xml:space="preserve">, we can also assume that involuntary retirement will loom large. In contrast, older workers’ employment within the growing tertiary sector can be expected to be more stable, resulting in lower rates of early and involuntary retirement. This expectedly holds especially for the </w:t>
      </w:r>
      <w:r w:rsidR="002D0F7F" w:rsidRPr="002D0F7F">
        <w:rPr>
          <w:i/>
          <w:lang w:val="en-GB"/>
        </w:rPr>
        <w:t>public</w:t>
      </w:r>
      <w:r w:rsidR="002D0F7F">
        <w:rPr>
          <w:lang w:val="en-GB"/>
        </w:rPr>
        <w:t xml:space="preserve"> sector where individual careers are more safely protected against economic fluctuations (</w:t>
      </w:r>
      <w:proofErr w:type="spellStart"/>
      <w:r w:rsidR="002D0F7F" w:rsidRPr="00F070F4">
        <w:rPr>
          <w:i/>
          <w:lang w:val="en-GB"/>
        </w:rPr>
        <w:t>Blossfeld</w:t>
      </w:r>
      <w:proofErr w:type="spellEnd"/>
      <w:r w:rsidR="002D0F7F" w:rsidRPr="00F070F4">
        <w:rPr>
          <w:i/>
          <w:lang w:val="en-GB"/>
        </w:rPr>
        <w:t xml:space="preserve"> et al.</w:t>
      </w:r>
      <w:r w:rsidR="00F070F4">
        <w:rPr>
          <w:lang w:val="en-GB"/>
        </w:rPr>
        <w:t>,</w:t>
      </w:r>
      <w:r w:rsidR="002D0F7F">
        <w:rPr>
          <w:lang w:val="en-GB"/>
        </w:rPr>
        <w:t xml:space="preserve"> 2006, 2011).   </w:t>
      </w:r>
    </w:p>
    <w:p w:rsidR="00E0415F" w:rsidRDefault="006C48D5" w:rsidP="006C48D5">
      <w:pPr>
        <w:pStyle w:val="Listenabsatz"/>
        <w:spacing w:after="120"/>
        <w:ind w:left="0"/>
        <w:jc w:val="both"/>
        <w:rPr>
          <w:lang w:val="en-GB"/>
        </w:rPr>
      </w:pPr>
      <w:r>
        <w:rPr>
          <w:lang w:val="en-GB"/>
        </w:rPr>
        <w:t>While the firm-based ‘push’ out of employment will depend much on the economic sector, potential ‘pull’ effects expectedly will vary with t</w:t>
      </w:r>
      <w:r w:rsidR="00887E30">
        <w:rPr>
          <w:lang w:val="en-GB"/>
        </w:rPr>
        <w:t xml:space="preserve">he </w:t>
      </w:r>
      <w:r w:rsidR="00887E30" w:rsidRPr="006C48D5">
        <w:rPr>
          <w:i/>
          <w:lang w:val="en-GB"/>
        </w:rPr>
        <w:t>size of a firm</w:t>
      </w:r>
      <w:r w:rsidR="00887E30">
        <w:rPr>
          <w:lang w:val="en-GB"/>
        </w:rPr>
        <w:t xml:space="preserve"> in which an older worker is employed</w:t>
      </w:r>
      <w:r>
        <w:rPr>
          <w:lang w:val="en-GB"/>
        </w:rPr>
        <w:t xml:space="preserve"> (</w:t>
      </w:r>
      <w:r w:rsidRPr="0031504D">
        <w:rPr>
          <w:u w:val="single"/>
          <w:lang w:val="en-GB"/>
        </w:rPr>
        <w:t>Hypothesis B2</w:t>
      </w:r>
      <w:r>
        <w:rPr>
          <w:lang w:val="en-GB"/>
        </w:rPr>
        <w:t>)</w:t>
      </w:r>
      <w:r w:rsidR="00887E30">
        <w:rPr>
          <w:lang w:val="en-GB"/>
        </w:rPr>
        <w:t>. Institutionalised early retirement plans are known to be most widespread in large firms which</w:t>
      </w:r>
      <w:r>
        <w:rPr>
          <w:lang w:val="en-GB"/>
        </w:rPr>
        <w:t>,</w:t>
      </w:r>
      <w:r w:rsidR="00887E30">
        <w:rPr>
          <w:lang w:val="en-GB"/>
        </w:rPr>
        <w:t xml:space="preserve"> on the one hand</w:t>
      </w:r>
      <w:r>
        <w:rPr>
          <w:lang w:val="en-GB"/>
        </w:rPr>
        <w:t>,</w:t>
      </w:r>
      <w:r w:rsidR="00887E30">
        <w:rPr>
          <w:lang w:val="en-GB"/>
        </w:rPr>
        <w:t xml:space="preserve"> </w:t>
      </w:r>
      <w:r>
        <w:rPr>
          <w:lang w:val="en-GB"/>
        </w:rPr>
        <w:t xml:space="preserve">are more likely to be in need to restructure their staff in case of economic turbulences and, on the other hand, </w:t>
      </w:r>
      <w:r w:rsidR="00887E30">
        <w:rPr>
          <w:lang w:val="en-GB"/>
        </w:rPr>
        <w:t>have available the necessary capital resources to fund such</w:t>
      </w:r>
      <w:r>
        <w:rPr>
          <w:lang w:val="en-GB"/>
        </w:rPr>
        <w:t xml:space="preserve"> schemes. While early retirement can be expected to be </w:t>
      </w:r>
      <w:r w:rsidR="00C0599E">
        <w:rPr>
          <w:lang w:val="en-GB"/>
        </w:rPr>
        <w:t>more</w:t>
      </w:r>
      <w:r>
        <w:rPr>
          <w:lang w:val="en-GB"/>
        </w:rPr>
        <w:t xml:space="preserve"> widespread, early exit will not necessarily be involuntary, given that large firms are in a comparatively better position to provide </w:t>
      </w:r>
      <w:r w:rsidR="00C0599E">
        <w:rPr>
          <w:lang w:val="en-GB"/>
        </w:rPr>
        <w:t>generous</w:t>
      </w:r>
      <w:r>
        <w:rPr>
          <w:lang w:val="en-GB"/>
        </w:rPr>
        <w:t xml:space="preserve"> early exit plans or occupational pension</w:t>
      </w:r>
      <w:r w:rsidR="00C0599E">
        <w:rPr>
          <w:lang w:val="en-GB"/>
        </w:rPr>
        <w:t>s</w:t>
      </w:r>
      <w:r>
        <w:rPr>
          <w:lang w:val="en-GB"/>
        </w:rPr>
        <w:t xml:space="preserve"> </w:t>
      </w:r>
      <w:r w:rsidR="00C0599E">
        <w:rPr>
          <w:lang w:val="en-GB"/>
        </w:rPr>
        <w:t>that</w:t>
      </w:r>
      <w:r>
        <w:rPr>
          <w:lang w:val="en-GB"/>
        </w:rPr>
        <w:t xml:space="preserve"> compensate for the withdrawal. In contrast, early exits in small firms </w:t>
      </w:r>
      <w:r w:rsidR="00C0599E">
        <w:rPr>
          <w:lang w:val="en-GB"/>
        </w:rPr>
        <w:t>rather</w:t>
      </w:r>
      <w:r>
        <w:rPr>
          <w:lang w:val="en-GB"/>
        </w:rPr>
        <w:t xml:space="preserve"> will be involuntary given the absence of such well-funded schemes.</w:t>
      </w:r>
    </w:p>
    <w:p w:rsidR="006758B8" w:rsidRDefault="006758B8" w:rsidP="0048615F">
      <w:pPr>
        <w:pStyle w:val="Listenabsatz"/>
        <w:ind w:left="0"/>
        <w:rPr>
          <w:lang w:val="en-GB"/>
        </w:rPr>
      </w:pPr>
    </w:p>
    <w:p w:rsidR="0048615F" w:rsidRPr="006C48D5" w:rsidRDefault="006C48D5" w:rsidP="0048615F">
      <w:pPr>
        <w:pStyle w:val="Listenabsatz"/>
        <w:ind w:left="0"/>
        <w:rPr>
          <w:u w:val="single"/>
          <w:lang w:val="en-GB"/>
        </w:rPr>
      </w:pPr>
      <w:r w:rsidRPr="006C48D5">
        <w:rPr>
          <w:u w:val="single"/>
          <w:lang w:val="en-GB"/>
        </w:rPr>
        <w:t xml:space="preserve">Individual </w:t>
      </w:r>
      <w:r w:rsidR="0048615F" w:rsidRPr="006C48D5">
        <w:rPr>
          <w:u w:val="single"/>
          <w:lang w:val="en-GB"/>
        </w:rPr>
        <w:t>level</w:t>
      </w:r>
    </w:p>
    <w:p w:rsidR="006758B8" w:rsidRDefault="006758B8" w:rsidP="0048615F">
      <w:pPr>
        <w:pStyle w:val="Listenabsatz"/>
        <w:ind w:left="0"/>
        <w:rPr>
          <w:lang w:val="en-GB"/>
        </w:rPr>
      </w:pPr>
    </w:p>
    <w:p w:rsidR="00EB1F19" w:rsidRDefault="00835462" w:rsidP="00EB1F19">
      <w:pPr>
        <w:pStyle w:val="Listenabsatz"/>
        <w:ind w:left="0"/>
        <w:jc w:val="both"/>
        <w:rPr>
          <w:lang w:val="en-GB"/>
        </w:rPr>
      </w:pPr>
      <w:r>
        <w:rPr>
          <w:lang w:val="en-GB"/>
        </w:rPr>
        <w:t xml:space="preserve">Finally, the timing of retirement </w:t>
      </w:r>
      <w:r w:rsidR="00C0599E">
        <w:rPr>
          <w:lang w:val="en-GB"/>
        </w:rPr>
        <w:t>and its voluntariness</w:t>
      </w:r>
      <w:r>
        <w:rPr>
          <w:lang w:val="en-GB"/>
        </w:rPr>
        <w:t xml:space="preserve"> will vary depending on individual characteristics of the older worker him/herself. </w:t>
      </w:r>
      <w:r w:rsidR="00EB1F19">
        <w:rPr>
          <w:lang w:val="en-GB"/>
        </w:rPr>
        <w:t xml:space="preserve">Much comparative research has highlighted that individual </w:t>
      </w:r>
      <w:r w:rsidR="00EB1F19" w:rsidRPr="00690BB5">
        <w:rPr>
          <w:i/>
          <w:lang w:val="en-GB"/>
        </w:rPr>
        <w:t>health</w:t>
      </w:r>
      <w:r w:rsidR="00EB1F19">
        <w:rPr>
          <w:lang w:val="en-GB"/>
        </w:rPr>
        <w:t xml:space="preserve"> plays a central role in determining the transition into retirement. Most obviously</w:t>
      </w:r>
      <w:r w:rsidR="00C0599E">
        <w:rPr>
          <w:lang w:val="en-GB"/>
        </w:rPr>
        <w:t>,</w:t>
      </w:r>
      <w:r w:rsidR="00EB1F19">
        <w:rPr>
          <w:lang w:val="en-GB"/>
        </w:rPr>
        <w:t xml:space="preserve"> those workers in bad health conditions or those with serious physiological impairments will be more likely to exit the labour market before mandatory retirement ages. This can be expected even the more as institutionalised welfare pathways such as disability insurance allow for a premature exit for health reasons without serious cuts in pensions.</w:t>
      </w:r>
      <w:r w:rsidR="00690BB5">
        <w:rPr>
          <w:lang w:val="en-GB"/>
        </w:rPr>
        <w:t xml:space="preserve"> As health impairment</w:t>
      </w:r>
      <w:r w:rsidR="009736B7">
        <w:rPr>
          <w:lang w:val="en-GB"/>
        </w:rPr>
        <w:t>s frequently leave little choice to individuals with regard to their retirement decision, it can be assumed that in the majority, they will promote rather involuntary retirement</w:t>
      </w:r>
      <w:r w:rsidR="00C0599E">
        <w:rPr>
          <w:lang w:val="en-GB"/>
        </w:rPr>
        <w:t xml:space="preserve"> (</w:t>
      </w:r>
      <w:r w:rsidR="00C0599E" w:rsidRPr="0031504D">
        <w:rPr>
          <w:u w:val="single"/>
          <w:lang w:val="en-GB"/>
        </w:rPr>
        <w:t>Hypothesis C</w:t>
      </w:r>
      <w:r w:rsidR="00C0599E">
        <w:rPr>
          <w:u w:val="single"/>
          <w:lang w:val="en-GB"/>
        </w:rPr>
        <w:t>1</w:t>
      </w:r>
      <w:r w:rsidR="00C0599E">
        <w:rPr>
          <w:lang w:val="en-GB"/>
        </w:rPr>
        <w:t>)</w:t>
      </w:r>
      <w:r w:rsidR="009736B7">
        <w:rPr>
          <w:lang w:val="en-GB"/>
        </w:rPr>
        <w:t xml:space="preserve">. </w:t>
      </w:r>
    </w:p>
    <w:p w:rsidR="00835462" w:rsidRDefault="009736B7" w:rsidP="00E65E3A">
      <w:pPr>
        <w:pStyle w:val="Listenabsatz"/>
        <w:spacing w:after="120"/>
        <w:ind w:left="0"/>
        <w:contextualSpacing w:val="0"/>
        <w:jc w:val="both"/>
        <w:rPr>
          <w:lang w:val="en-GB"/>
        </w:rPr>
      </w:pPr>
      <w:r>
        <w:rPr>
          <w:lang w:val="en-GB"/>
        </w:rPr>
        <w:t>In addition, p</w:t>
      </w:r>
      <w:r w:rsidR="002A484D">
        <w:rPr>
          <w:lang w:val="en-GB"/>
        </w:rPr>
        <w:t>revious research</w:t>
      </w:r>
      <w:r>
        <w:rPr>
          <w:lang w:val="en-GB"/>
        </w:rPr>
        <w:t xml:space="preserve"> has attributed a central role </w:t>
      </w:r>
      <w:r w:rsidR="002A484D">
        <w:rPr>
          <w:lang w:val="en-GB"/>
        </w:rPr>
        <w:t xml:space="preserve">to </w:t>
      </w:r>
      <w:r w:rsidR="0031504D" w:rsidRPr="0031504D">
        <w:rPr>
          <w:i/>
          <w:lang w:val="en-GB"/>
        </w:rPr>
        <w:t xml:space="preserve">individual </w:t>
      </w:r>
      <w:r w:rsidR="002A484D" w:rsidRPr="0031504D">
        <w:rPr>
          <w:i/>
          <w:lang w:val="en-GB"/>
        </w:rPr>
        <w:t>human capital</w:t>
      </w:r>
      <w:r>
        <w:rPr>
          <w:i/>
          <w:lang w:val="en-GB"/>
        </w:rPr>
        <w:t xml:space="preserve"> </w:t>
      </w:r>
      <w:r w:rsidRPr="009736B7">
        <w:rPr>
          <w:lang w:val="en-GB"/>
        </w:rPr>
        <w:t>in influencing older workers’ retirement d</w:t>
      </w:r>
      <w:r>
        <w:rPr>
          <w:lang w:val="en-GB"/>
        </w:rPr>
        <w:t>ecision</w:t>
      </w:r>
      <w:r w:rsidR="002A484D">
        <w:rPr>
          <w:lang w:val="en-GB"/>
        </w:rPr>
        <w:t>: Older workers with high educational degrees</w:t>
      </w:r>
      <w:r w:rsidR="008F2E92">
        <w:rPr>
          <w:lang w:val="en-GB"/>
        </w:rPr>
        <w:t xml:space="preserve"> will be </w:t>
      </w:r>
      <w:r w:rsidR="0031504D">
        <w:rPr>
          <w:lang w:val="en-GB"/>
        </w:rPr>
        <w:t xml:space="preserve">more flexible and competitive on changing labour markets and thus will find it easier to remain in employment (see </w:t>
      </w:r>
      <w:proofErr w:type="spellStart"/>
      <w:r w:rsidR="0031504D" w:rsidRPr="009736B7">
        <w:rPr>
          <w:i/>
          <w:lang w:val="en-GB"/>
        </w:rPr>
        <w:t>Blossfeld</w:t>
      </w:r>
      <w:proofErr w:type="spellEnd"/>
      <w:r w:rsidR="0031504D" w:rsidRPr="009736B7">
        <w:rPr>
          <w:i/>
          <w:lang w:val="en-GB"/>
        </w:rPr>
        <w:t xml:space="preserve"> et al.</w:t>
      </w:r>
      <w:r w:rsidR="00E65E3A">
        <w:rPr>
          <w:lang w:val="en-GB"/>
        </w:rPr>
        <w:t xml:space="preserve"> 2006</w:t>
      </w:r>
      <w:r w:rsidR="0031504D">
        <w:rPr>
          <w:lang w:val="en-GB"/>
        </w:rPr>
        <w:t xml:space="preserve">). As </w:t>
      </w:r>
      <w:r w:rsidR="00C0599E">
        <w:rPr>
          <w:lang w:val="en-GB"/>
        </w:rPr>
        <w:t>their</w:t>
      </w:r>
      <w:r w:rsidR="0031504D">
        <w:rPr>
          <w:lang w:val="en-GB"/>
        </w:rPr>
        <w:t xml:space="preserve"> </w:t>
      </w:r>
      <w:r w:rsidR="00C0599E">
        <w:rPr>
          <w:lang w:val="en-GB"/>
        </w:rPr>
        <w:t>resources</w:t>
      </w:r>
      <w:r w:rsidR="0031504D">
        <w:rPr>
          <w:lang w:val="en-GB"/>
        </w:rPr>
        <w:t xml:space="preserve"> leave older workers </w:t>
      </w:r>
      <w:proofErr w:type="gramStart"/>
      <w:r w:rsidR="0031504D">
        <w:rPr>
          <w:lang w:val="en-GB"/>
        </w:rPr>
        <w:t>more choice</w:t>
      </w:r>
      <w:proofErr w:type="gramEnd"/>
      <w:r w:rsidR="0031504D">
        <w:rPr>
          <w:lang w:val="en-GB"/>
        </w:rPr>
        <w:t xml:space="preserve"> in their retirement decisions, we assume that voluntary retirement will prevail among this group. In contrast, older workers with only basic educational attainment will be at a higher risk to be ‘pushed out of </w:t>
      </w:r>
      <w:r w:rsidR="0031504D">
        <w:rPr>
          <w:lang w:val="en-GB"/>
        </w:rPr>
        <w:lastRenderedPageBreak/>
        <w:t>employment’ given their increasingly outdated and less transferable qualifications; their retirement consequently will more likely be involuntary (</w:t>
      </w:r>
      <w:r w:rsidR="0031504D" w:rsidRPr="0031504D">
        <w:rPr>
          <w:u w:val="single"/>
          <w:lang w:val="en-GB"/>
        </w:rPr>
        <w:t>Hypothesis C</w:t>
      </w:r>
      <w:r w:rsidR="00C0599E">
        <w:rPr>
          <w:u w:val="single"/>
          <w:lang w:val="en-GB"/>
        </w:rPr>
        <w:t>2</w:t>
      </w:r>
      <w:r w:rsidR="0031504D">
        <w:rPr>
          <w:lang w:val="en-GB"/>
        </w:rPr>
        <w:t>)</w:t>
      </w:r>
      <w:r w:rsidR="00E65E3A">
        <w:rPr>
          <w:lang w:val="en-GB"/>
        </w:rPr>
        <w:t>.</w:t>
      </w:r>
    </w:p>
    <w:p w:rsidR="006758B8" w:rsidRDefault="00E65E3A" w:rsidP="00E65E3A">
      <w:pPr>
        <w:pStyle w:val="Listenabsatz"/>
        <w:ind w:left="0"/>
        <w:jc w:val="both"/>
        <w:rPr>
          <w:lang w:val="en-GB"/>
        </w:rPr>
      </w:pPr>
      <w:r>
        <w:rPr>
          <w:lang w:val="en-GB"/>
        </w:rPr>
        <w:t>Finally, it can be assumed that individual propensities to retire early and/or to retire voluntarily respectively involuntarily</w:t>
      </w:r>
      <w:r w:rsidR="005F5A94">
        <w:rPr>
          <w:lang w:val="en-GB"/>
        </w:rPr>
        <w:t xml:space="preserve"> will depend on concrete </w:t>
      </w:r>
      <w:r w:rsidR="008F4662" w:rsidRPr="008F4662">
        <w:rPr>
          <w:i/>
          <w:lang w:val="en-GB"/>
        </w:rPr>
        <w:t xml:space="preserve">job </w:t>
      </w:r>
      <w:r w:rsidR="005F5A94" w:rsidRPr="008F4662">
        <w:rPr>
          <w:i/>
          <w:lang w:val="en-GB"/>
        </w:rPr>
        <w:t>characteristics</w:t>
      </w:r>
      <w:r w:rsidR="005F5A94">
        <w:rPr>
          <w:lang w:val="en-GB"/>
        </w:rPr>
        <w:t>.</w:t>
      </w:r>
      <w:r w:rsidR="009736B7">
        <w:rPr>
          <w:lang w:val="en-GB"/>
        </w:rPr>
        <w:t xml:space="preserve"> </w:t>
      </w:r>
      <w:r w:rsidR="00C0599E">
        <w:rPr>
          <w:lang w:val="en-GB"/>
        </w:rPr>
        <w:t>O</w:t>
      </w:r>
      <w:r w:rsidR="009736B7">
        <w:rPr>
          <w:lang w:val="en-GB"/>
        </w:rPr>
        <w:t>lder workers who exhibit a high work commitment</w:t>
      </w:r>
      <w:r w:rsidR="0034159C">
        <w:rPr>
          <w:lang w:val="en-GB"/>
        </w:rPr>
        <w:t xml:space="preserve">, are working in self-reliant jobs or are </w:t>
      </w:r>
      <w:r w:rsidR="009736B7">
        <w:rPr>
          <w:lang w:val="en-GB"/>
        </w:rPr>
        <w:t xml:space="preserve">rather satisfied with their job will </w:t>
      </w:r>
      <w:r w:rsidR="00C0599E">
        <w:rPr>
          <w:lang w:val="en-GB"/>
        </w:rPr>
        <w:t>exhibit</w:t>
      </w:r>
      <w:r w:rsidR="009736B7">
        <w:rPr>
          <w:lang w:val="en-GB"/>
        </w:rPr>
        <w:t xml:space="preserve"> a higher likelihood to continue their employment. </w:t>
      </w:r>
      <w:r w:rsidR="008F4662">
        <w:rPr>
          <w:lang w:val="en-GB"/>
        </w:rPr>
        <w:t>I</w:t>
      </w:r>
      <w:r w:rsidR="009736B7">
        <w:rPr>
          <w:lang w:val="en-GB"/>
        </w:rPr>
        <w:t xml:space="preserve">f these workers </w:t>
      </w:r>
      <w:r w:rsidR="008F4662">
        <w:rPr>
          <w:lang w:val="en-GB"/>
        </w:rPr>
        <w:t>exit from the labour force before mandatory retirement ages, it can be assumed that they will likely do it at their own discretion, e.g. for family or private reasons (</w:t>
      </w:r>
      <w:r w:rsidR="008F4662" w:rsidRPr="008F4662">
        <w:rPr>
          <w:u w:val="single"/>
          <w:lang w:val="en-GB"/>
        </w:rPr>
        <w:t>Hy</w:t>
      </w:r>
      <w:r w:rsidR="00645380">
        <w:rPr>
          <w:u w:val="single"/>
          <w:lang w:val="en-GB"/>
        </w:rPr>
        <w:t>pothesis C3</w:t>
      </w:r>
      <w:r w:rsidR="008F4662" w:rsidRPr="008F4662">
        <w:rPr>
          <w:u w:val="single"/>
          <w:lang w:val="en-GB"/>
        </w:rPr>
        <w:t>a</w:t>
      </w:r>
      <w:r w:rsidR="008F4662">
        <w:rPr>
          <w:lang w:val="en-GB"/>
        </w:rPr>
        <w:t>).</w:t>
      </w:r>
      <w:r w:rsidR="00C0599E">
        <w:rPr>
          <w:lang w:val="en-GB"/>
        </w:rPr>
        <w:t xml:space="preserve"> </w:t>
      </w:r>
      <w:r w:rsidR="008F4662">
        <w:rPr>
          <w:lang w:val="en-GB"/>
        </w:rPr>
        <w:t xml:space="preserve">In contrast, workers </w:t>
      </w:r>
      <w:r w:rsidR="0034159C">
        <w:rPr>
          <w:lang w:val="en-GB"/>
        </w:rPr>
        <w:t xml:space="preserve">in routine activities or those in less </w:t>
      </w:r>
      <w:r w:rsidR="008F4662">
        <w:rPr>
          <w:lang w:val="en-GB"/>
        </w:rPr>
        <w:t>stable atypical employment</w:t>
      </w:r>
      <w:r w:rsidR="005F5A94">
        <w:rPr>
          <w:lang w:val="en-GB"/>
        </w:rPr>
        <w:t xml:space="preserve"> </w:t>
      </w:r>
      <w:r w:rsidR="00645380">
        <w:rPr>
          <w:lang w:val="en-GB"/>
        </w:rPr>
        <w:t>will</w:t>
      </w:r>
      <w:r w:rsidR="008F4662">
        <w:rPr>
          <w:lang w:val="en-GB"/>
        </w:rPr>
        <w:t xml:space="preserve"> be at a higher risk to exit employment early. As it will be easier for employers to shed these workers with less safe labour market anchorage, employment </w:t>
      </w:r>
      <w:r w:rsidR="00645380">
        <w:rPr>
          <w:lang w:val="en-GB"/>
        </w:rPr>
        <w:t xml:space="preserve">exits will be primarily </w:t>
      </w:r>
      <w:r w:rsidR="008F4662">
        <w:rPr>
          <w:lang w:val="en-GB"/>
        </w:rPr>
        <w:t>involuntarily</w:t>
      </w:r>
      <w:r w:rsidR="00645380">
        <w:rPr>
          <w:lang w:val="en-GB"/>
        </w:rPr>
        <w:t xml:space="preserve"> (</w:t>
      </w:r>
      <w:r w:rsidR="00645380" w:rsidRPr="008F4662">
        <w:rPr>
          <w:u w:val="single"/>
          <w:lang w:val="en-GB"/>
        </w:rPr>
        <w:t>Hy</w:t>
      </w:r>
      <w:r w:rsidR="00645380">
        <w:rPr>
          <w:u w:val="single"/>
          <w:lang w:val="en-GB"/>
        </w:rPr>
        <w:t>pothesis C3b</w:t>
      </w:r>
      <w:r w:rsidR="00645380">
        <w:rPr>
          <w:lang w:val="en-GB"/>
        </w:rPr>
        <w:t>)</w:t>
      </w:r>
      <w:r w:rsidR="008F4662">
        <w:rPr>
          <w:lang w:val="en-GB"/>
        </w:rPr>
        <w:t>.</w:t>
      </w:r>
    </w:p>
    <w:p w:rsidR="005F5A94" w:rsidRDefault="005F5A94" w:rsidP="006758B8">
      <w:pPr>
        <w:pStyle w:val="Listenabsatz"/>
        <w:ind w:left="0"/>
        <w:rPr>
          <w:lang w:val="en-GB"/>
        </w:rPr>
      </w:pPr>
    </w:p>
    <w:p w:rsidR="008D3F8F" w:rsidRDefault="008D3F8F" w:rsidP="004B3483">
      <w:pPr>
        <w:pStyle w:val="Listenabsatz"/>
        <w:numPr>
          <w:ilvl w:val="0"/>
          <w:numId w:val="5"/>
        </w:numPr>
        <w:ind w:left="709" w:hanging="709"/>
        <w:rPr>
          <w:b/>
          <w:lang w:val="en-GB"/>
        </w:rPr>
      </w:pPr>
      <w:r w:rsidRPr="00AA5756">
        <w:rPr>
          <w:b/>
          <w:lang w:val="en-GB"/>
        </w:rPr>
        <w:t>Data and Method</w:t>
      </w:r>
    </w:p>
    <w:p w:rsidR="00A71E52" w:rsidRDefault="008F4662" w:rsidP="00DF335D">
      <w:pPr>
        <w:jc w:val="both"/>
        <w:rPr>
          <w:lang w:val="en-US"/>
        </w:rPr>
      </w:pPr>
      <w:r w:rsidRPr="008F4662">
        <w:rPr>
          <w:lang w:val="en-US"/>
        </w:rPr>
        <w:t>In the following,</w:t>
      </w:r>
      <w:r>
        <w:rPr>
          <w:lang w:val="en-US"/>
        </w:rPr>
        <w:t xml:space="preserve"> </w:t>
      </w:r>
      <w:r w:rsidRPr="008F4662">
        <w:rPr>
          <w:lang w:val="en-US"/>
        </w:rPr>
        <w:t>w</w:t>
      </w:r>
      <w:r>
        <w:rPr>
          <w:lang w:val="en-US"/>
        </w:rPr>
        <w:t>e shall test the hypot</w:t>
      </w:r>
      <w:r w:rsidRPr="008F4662">
        <w:rPr>
          <w:lang w:val="en-US"/>
        </w:rPr>
        <w:t>h</w:t>
      </w:r>
      <w:r>
        <w:rPr>
          <w:lang w:val="en-US"/>
        </w:rPr>
        <w:t>e</w:t>
      </w:r>
      <w:r w:rsidRPr="008F4662">
        <w:rPr>
          <w:lang w:val="en-US"/>
        </w:rPr>
        <w:t>ses outlined</w:t>
      </w:r>
      <w:r>
        <w:rPr>
          <w:lang w:val="en-US"/>
        </w:rPr>
        <w:t xml:space="preserve"> </w:t>
      </w:r>
      <w:r w:rsidRPr="008F4662">
        <w:rPr>
          <w:lang w:val="en-US"/>
        </w:rPr>
        <w:t>above using data from the Survey of Health, Ageing and R</w:t>
      </w:r>
      <w:r w:rsidR="0057074F">
        <w:rPr>
          <w:lang w:val="en-US"/>
        </w:rPr>
        <w:t>e</w:t>
      </w:r>
      <w:r w:rsidRPr="008F4662">
        <w:rPr>
          <w:lang w:val="en-US"/>
        </w:rPr>
        <w:t>tirement in Europe (SHARE)</w:t>
      </w:r>
      <w:r>
        <w:rPr>
          <w:lang w:val="en-US"/>
        </w:rPr>
        <w:t>.</w:t>
      </w:r>
      <w:r w:rsidR="00645380">
        <w:rPr>
          <w:rStyle w:val="Funotenzeichen"/>
          <w:lang w:val="en-US"/>
        </w:rPr>
        <w:footnoteReference w:id="8"/>
      </w:r>
      <w:r>
        <w:rPr>
          <w:lang w:val="en-US"/>
        </w:rPr>
        <w:t xml:space="preserve"> The SHARE </w:t>
      </w:r>
      <w:r w:rsidR="00D01F15">
        <w:rPr>
          <w:lang w:val="en-US"/>
        </w:rPr>
        <w:t xml:space="preserve">is a cross-national comparable, longitudinal panel survey </w:t>
      </w:r>
      <w:r w:rsidR="0057074F">
        <w:rPr>
          <w:lang w:val="en-US"/>
        </w:rPr>
        <w:t>of the population aged 50 years and over in 20 European countries. As the first multi</w:t>
      </w:r>
      <w:r w:rsidR="00645380">
        <w:rPr>
          <w:lang w:val="en-US"/>
        </w:rPr>
        <w:t>-dis</w:t>
      </w:r>
      <w:r w:rsidR="0057074F">
        <w:rPr>
          <w:lang w:val="en-US"/>
        </w:rPr>
        <w:t>ciplinary survey focusing on older people, SHARE provides representative information on a number of aspects relevant to older workers’ employment decisions, including economic, social, family and health conditions.</w:t>
      </w:r>
      <w:r w:rsidR="0057074F">
        <w:rPr>
          <w:rStyle w:val="Funotenzeichen"/>
          <w:lang w:val="en-US"/>
        </w:rPr>
        <w:footnoteReference w:id="9"/>
      </w:r>
      <w:r w:rsidR="0057074F">
        <w:rPr>
          <w:lang w:val="en-US"/>
        </w:rPr>
        <w:t xml:space="preserve"> </w:t>
      </w:r>
      <w:r w:rsidR="00333BC1">
        <w:rPr>
          <w:lang w:val="en-US"/>
        </w:rPr>
        <w:t xml:space="preserve">We use data from the first baseline wave, collected in 2004/5 and the first longitudinal wave in 2006/7. Countries that were included in both waves include </w:t>
      </w:r>
      <w:r w:rsidR="00333BC1" w:rsidRPr="00244567">
        <w:rPr>
          <w:lang w:val="en-US"/>
        </w:rPr>
        <w:t>Denmark, Sweden, Switzerland, Germany, Austria, Belgium, Ne</w:t>
      </w:r>
      <w:r w:rsidR="00333BC1">
        <w:rPr>
          <w:lang w:val="en-US"/>
        </w:rPr>
        <w:t>therlands, Italy, Spain, France and</w:t>
      </w:r>
      <w:r w:rsidR="00333BC1" w:rsidRPr="00244567">
        <w:rPr>
          <w:lang w:val="en-US"/>
        </w:rPr>
        <w:t xml:space="preserve"> Greece</w:t>
      </w:r>
      <w:r w:rsidR="00333BC1">
        <w:rPr>
          <w:lang w:val="en-US"/>
        </w:rPr>
        <w:t xml:space="preserve">. For these countries, the two SHARE waves </w:t>
      </w:r>
      <w:r w:rsidR="00A74E52">
        <w:rPr>
          <w:lang w:val="en-US"/>
        </w:rPr>
        <w:t xml:space="preserve">enable </w:t>
      </w:r>
      <w:r w:rsidR="00333BC1">
        <w:rPr>
          <w:lang w:val="en-US"/>
        </w:rPr>
        <w:t xml:space="preserve">us </w:t>
      </w:r>
      <w:r w:rsidR="00645380">
        <w:rPr>
          <w:lang w:val="en-US"/>
        </w:rPr>
        <w:t xml:space="preserve">trace </w:t>
      </w:r>
      <w:proofErr w:type="spellStart"/>
      <w:r w:rsidR="00333BC1">
        <w:rPr>
          <w:lang w:val="en-US"/>
        </w:rPr>
        <w:t>labour</w:t>
      </w:r>
      <w:proofErr w:type="spellEnd"/>
      <w:r w:rsidR="00333BC1">
        <w:rPr>
          <w:lang w:val="en-US"/>
        </w:rPr>
        <w:t xml:space="preserve"> market transitions at the individual-level within a two-year time-span</w:t>
      </w:r>
      <w:r w:rsidR="00645380">
        <w:rPr>
          <w:lang w:val="en-US"/>
        </w:rPr>
        <w:t xml:space="preserve"> in which </w:t>
      </w:r>
      <w:r w:rsidR="00A74E52">
        <w:rPr>
          <w:lang w:val="en-US"/>
        </w:rPr>
        <w:t>active ageing policies</w:t>
      </w:r>
      <w:r w:rsidR="00645380">
        <w:rPr>
          <w:lang w:val="en-US"/>
        </w:rPr>
        <w:t xml:space="preserve"> already have gained considerable ground</w:t>
      </w:r>
      <w:r w:rsidR="00333BC1">
        <w:rPr>
          <w:lang w:val="en-US"/>
        </w:rPr>
        <w:t xml:space="preserve">. Our analytical interest is in </w:t>
      </w:r>
      <w:r w:rsidR="00333BC1" w:rsidRPr="00C56DB6">
        <w:rPr>
          <w:lang w:val="en-US"/>
        </w:rPr>
        <w:t>transitions out of employment</w:t>
      </w:r>
      <w:r w:rsidR="00333BC1">
        <w:rPr>
          <w:lang w:val="en-US"/>
        </w:rPr>
        <w:t xml:space="preserve">, i.e. into unemployment or different forms of inactivity. We prefer this focus on </w:t>
      </w:r>
      <w:r w:rsidR="00333BC1" w:rsidRPr="00C56DB6">
        <w:rPr>
          <w:i/>
          <w:lang w:val="en-US"/>
        </w:rPr>
        <w:t>employment exit transitions</w:t>
      </w:r>
      <w:r w:rsidR="00333BC1">
        <w:rPr>
          <w:lang w:val="en-US"/>
        </w:rPr>
        <w:t xml:space="preserve"> to a more </w:t>
      </w:r>
      <w:r w:rsidR="00C56DB6">
        <w:rPr>
          <w:lang w:val="en-US"/>
        </w:rPr>
        <w:t xml:space="preserve">narrow </w:t>
      </w:r>
      <w:r w:rsidR="00333BC1">
        <w:rPr>
          <w:lang w:val="en-US"/>
        </w:rPr>
        <w:t xml:space="preserve">perspective on transitions into retirement as employees </w:t>
      </w:r>
      <w:r w:rsidR="00C56DB6">
        <w:rPr>
          <w:lang w:val="en-US"/>
        </w:rPr>
        <w:t xml:space="preserve">often </w:t>
      </w:r>
      <w:r w:rsidR="00333BC1">
        <w:rPr>
          <w:lang w:val="en-US"/>
        </w:rPr>
        <w:t>use</w:t>
      </w:r>
      <w:r w:rsidR="00C56DB6">
        <w:rPr>
          <w:lang w:val="en-US"/>
        </w:rPr>
        <w:t xml:space="preserve"> states such as </w:t>
      </w:r>
      <w:r w:rsidR="00333BC1">
        <w:rPr>
          <w:lang w:val="en-US"/>
        </w:rPr>
        <w:t xml:space="preserve"> unemployment or sickness as  ‘bridges into retirement’ (</w:t>
      </w:r>
      <w:proofErr w:type="spellStart"/>
      <w:r w:rsidR="00333BC1" w:rsidRPr="00333BC1">
        <w:rPr>
          <w:i/>
          <w:lang w:val="en-US"/>
        </w:rPr>
        <w:t>Kohli</w:t>
      </w:r>
      <w:proofErr w:type="spellEnd"/>
      <w:r w:rsidR="00333BC1" w:rsidRPr="00333BC1">
        <w:rPr>
          <w:i/>
          <w:lang w:val="en-US"/>
        </w:rPr>
        <w:t xml:space="preserve"> et al.</w:t>
      </w:r>
      <w:r w:rsidR="00F070F4">
        <w:rPr>
          <w:lang w:val="en-US"/>
        </w:rPr>
        <w:t xml:space="preserve">, </w:t>
      </w:r>
      <w:r w:rsidR="00333BC1">
        <w:rPr>
          <w:lang w:val="en-US"/>
        </w:rPr>
        <w:t>1991) and thus effectively withdraw from employment well before formally entering the status of a pensioner. Previous evidence (</w:t>
      </w:r>
      <w:proofErr w:type="spellStart"/>
      <w:r w:rsidR="00333BC1" w:rsidRPr="00333BC1">
        <w:rPr>
          <w:i/>
          <w:lang w:val="en-US"/>
        </w:rPr>
        <w:t>Blossfeld</w:t>
      </w:r>
      <w:proofErr w:type="spellEnd"/>
      <w:r w:rsidR="00333BC1" w:rsidRPr="00333BC1">
        <w:rPr>
          <w:i/>
          <w:lang w:val="en-US"/>
        </w:rPr>
        <w:t xml:space="preserve"> et al.</w:t>
      </w:r>
      <w:r w:rsidR="00F070F4">
        <w:rPr>
          <w:lang w:val="en-US"/>
        </w:rPr>
        <w:t xml:space="preserve">, </w:t>
      </w:r>
      <w:r w:rsidR="00333BC1">
        <w:rPr>
          <w:lang w:val="en-US"/>
        </w:rPr>
        <w:t>2006) as well as exploratory analyses of SHAR</w:t>
      </w:r>
      <w:r w:rsidR="00C56DB6">
        <w:rPr>
          <w:lang w:val="en-US"/>
        </w:rPr>
        <w:t>E</w:t>
      </w:r>
      <w:r w:rsidR="00333BC1">
        <w:rPr>
          <w:lang w:val="en-US"/>
        </w:rPr>
        <w:t xml:space="preserve"> data </w:t>
      </w:r>
      <w:proofErr w:type="gramStart"/>
      <w:r w:rsidR="00333BC1">
        <w:rPr>
          <w:lang w:val="en-US"/>
        </w:rPr>
        <w:t>indicate</w:t>
      </w:r>
      <w:proofErr w:type="gramEnd"/>
      <w:r w:rsidR="00333BC1">
        <w:rPr>
          <w:lang w:val="en-US"/>
        </w:rPr>
        <w:t xml:space="preserve"> that retu</w:t>
      </w:r>
      <w:r w:rsidR="00C56DB6">
        <w:rPr>
          <w:lang w:val="en-US"/>
        </w:rPr>
        <w:t>r</w:t>
      </w:r>
      <w:r w:rsidR="00333BC1">
        <w:rPr>
          <w:lang w:val="en-US"/>
        </w:rPr>
        <w:t>n</w:t>
      </w:r>
      <w:r w:rsidR="00C56DB6">
        <w:rPr>
          <w:lang w:val="en-US"/>
        </w:rPr>
        <w:t>s</w:t>
      </w:r>
      <w:r w:rsidR="00333BC1">
        <w:rPr>
          <w:lang w:val="en-US"/>
        </w:rPr>
        <w:t xml:space="preserve"> </w:t>
      </w:r>
      <w:r w:rsidR="00645380">
        <w:rPr>
          <w:lang w:val="en-US"/>
        </w:rPr>
        <w:t xml:space="preserve">from non-employment </w:t>
      </w:r>
      <w:r w:rsidR="00C56DB6">
        <w:rPr>
          <w:lang w:val="en-US"/>
        </w:rPr>
        <w:t xml:space="preserve">to employment </w:t>
      </w:r>
      <w:r w:rsidR="00645380">
        <w:rPr>
          <w:lang w:val="en-US"/>
        </w:rPr>
        <w:t>in most European countries</w:t>
      </w:r>
      <w:r w:rsidR="00C56DB6">
        <w:rPr>
          <w:lang w:val="en-US"/>
        </w:rPr>
        <w:t xml:space="preserve"> are rare so that employment exits of older workers can justifiably be regarded as permanent exits.</w:t>
      </w:r>
      <w:r w:rsidR="0097571B">
        <w:rPr>
          <w:lang w:val="en-US"/>
        </w:rPr>
        <w:t xml:space="preserve"> For our analyses, we consider both men and women, aged between 50 and 62 years at the </w:t>
      </w:r>
      <w:r w:rsidR="00645380">
        <w:rPr>
          <w:lang w:val="en-US"/>
        </w:rPr>
        <w:t>time</w:t>
      </w:r>
      <w:r w:rsidR="0097571B">
        <w:rPr>
          <w:lang w:val="en-US"/>
        </w:rPr>
        <w:t xml:space="preserve"> of the first interview and their transitions within the following two years. This focus is guided by the fact that in some European countries and especially for women, employment withdrawal may already start in the early</w:t>
      </w:r>
      <w:r w:rsidR="00645380">
        <w:rPr>
          <w:lang w:val="en-US"/>
        </w:rPr>
        <w:t>-</w:t>
      </w:r>
      <w:r w:rsidR="0097571B">
        <w:rPr>
          <w:lang w:val="en-US"/>
        </w:rPr>
        <w:t>50s.</w:t>
      </w:r>
      <w:r w:rsidR="00DF335D">
        <w:rPr>
          <w:lang w:val="en-US"/>
        </w:rPr>
        <w:t xml:space="preserve"> </w:t>
      </w:r>
      <w:r w:rsidR="00A71E52">
        <w:rPr>
          <w:lang w:val="en-US"/>
        </w:rPr>
        <w:t xml:space="preserve">Self-employed individuals are excluded from the analyses as for them, the concept of voluntary versus involuntary retirement does not apply in the same manner, given their position as their ‘own employers’. </w:t>
      </w:r>
    </w:p>
    <w:p w:rsidR="003E2663" w:rsidRDefault="00A71E52" w:rsidP="00DF335D">
      <w:pPr>
        <w:jc w:val="both"/>
        <w:rPr>
          <w:lang w:val="en-US"/>
        </w:rPr>
      </w:pPr>
      <w:r>
        <w:rPr>
          <w:lang w:val="en-US"/>
        </w:rPr>
        <w:lastRenderedPageBreak/>
        <w:t>To reconstruct exits from employment into non-employment (i.e. unemployment or inactivity), we</w:t>
      </w:r>
      <w:r w:rsidR="003E2663">
        <w:rPr>
          <w:lang w:val="en-US"/>
        </w:rPr>
        <w:t xml:space="preserve"> rely on self-reported employment status. To differentiate between voluntary and involuntary employment exits, we combine information from various questions that retrospectively track the reasons for completed </w:t>
      </w:r>
      <w:proofErr w:type="spellStart"/>
      <w:r w:rsidR="003E2663">
        <w:rPr>
          <w:lang w:val="en-US"/>
        </w:rPr>
        <w:t>labour</w:t>
      </w:r>
      <w:proofErr w:type="spellEnd"/>
      <w:r w:rsidR="003E2663">
        <w:rPr>
          <w:lang w:val="en-US"/>
        </w:rPr>
        <w:t xml:space="preserve"> market transitions. We regard </w:t>
      </w:r>
      <w:r w:rsidR="003E2663" w:rsidRPr="001E6086">
        <w:rPr>
          <w:u w:val="single"/>
          <w:lang w:val="en-US"/>
        </w:rPr>
        <w:t>voluntary</w:t>
      </w:r>
      <w:r w:rsidR="003E2663">
        <w:rPr>
          <w:lang w:val="en-US"/>
        </w:rPr>
        <w:t xml:space="preserve"> ‘retirees’ as those,</w:t>
      </w:r>
    </w:p>
    <w:p w:rsidR="00DF335D" w:rsidRPr="001E6086" w:rsidRDefault="003E2663" w:rsidP="003E2663">
      <w:pPr>
        <w:pStyle w:val="Listenabsatz"/>
        <w:numPr>
          <w:ilvl w:val="0"/>
          <w:numId w:val="10"/>
        </w:numPr>
        <w:jc w:val="both"/>
        <w:rPr>
          <w:lang w:val="en-US"/>
        </w:rPr>
      </w:pPr>
      <w:r w:rsidRPr="001E6086">
        <w:rPr>
          <w:lang w:val="en-US"/>
        </w:rPr>
        <w:t xml:space="preserve">that have exited from employment into </w:t>
      </w:r>
      <w:r w:rsidRPr="001E6086">
        <w:rPr>
          <w:i/>
          <w:lang w:val="en-US"/>
        </w:rPr>
        <w:t>retirement</w:t>
      </w:r>
      <w:r w:rsidRPr="001E6086">
        <w:rPr>
          <w:lang w:val="en-US"/>
        </w:rPr>
        <w:t xml:space="preserve"> and </w:t>
      </w:r>
      <w:r w:rsidR="00DF335D" w:rsidRPr="001E6086">
        <w:rPr>
          <w:lang w:val="en-US"/>
        </w:rPr>
        <w:t>(</w:t>
      </w:r>
      <w:proofErr w:type="spellStart"/>
      <w:r w:rsidR="00DF335D" w:rsidRPr="001E6086">
        <w:rPr>
          <w:lang w:val="en-US"/>
        </w:rPr>
        <w:t>i</w:t>
      </w:r>
      <w:proofErr w:type="spellEnd"/>
      <w:r w:rsidR="00DF335D" w:rsidRPr="001E6086">
        <w:rPr>
          <w:lang w:val="en-US"/>
        </w:rPr>
        <w:t xml:space="preserve">) </w:t>
      </w:r>
      <w:r w:rsidRPr="001E6086">
        <w:rPr>
          <w:lang w:val="en-US"/>
        </w:rPr>
        <w:t>have  stated</w:t>
      </w:r>
      <w:r w:rsidR="00DF335D" w:rsidRPr="001E6086">
        <w:rPr>
          <w:lang w:val="en-US"/>
        </w:rPr>
        <w:t xml:space="preserve"> that they have retired </w:t>
      </w:r>
      <w:r w:rsidR="00BF2810">
        <w:rPr>
          <w:lang w:val="en-US"/>
        </w:rPr>
        <w:t xml:space="preserve">for private reasons, i.e. </w:t>
      </w:r>
      <w:r w:rsidR="00DF335D" w:rsidRPr="001E6086">
        <w:rPr>
          <w:lang w:val="en-US"/>
        </w:rPr>
        <w:t>to spend more time with their family, to enjoy life or to retire at the same time as the spouse or partner</w:t>
      </w:r>
      <w:r w:rsidR="001E6086">
        <w:rPr>
          <w:lang w:val="en-US"/>
        </w:rPr>
        <w:t xml:space="preserve">, </w:t>
      </w:r>
      <w:r w:rsidR="00DF335D" w:rsidRPr="001E6086">
        <w:rPr>
          <w:lang w:val="en-US"/>
        </w:rPr>
        <w:t>(ii) have stated that they retired when having reached an age limit for public, occupational or private pension though hav</w:t>
      </w:r>
      <w:r w:rsidR="001E6086">
        <w:rPr>
          <w:lang w:val="en-US"/>
        </w:rPr>
        <w:t>ing</w:t>
      </w:r>
      <w:r w:rsidR="00DF335D" w:rsidRPr="001E6086">
        <w:rPr>
          <w:lang w:val="en-US"/>
        </w:rPr>
        <w:t xml:space="preserve"> had the opportunity to continue working</w:t>
      </w:r>
      <w:r w:rsidR="001E6086">
        <w:rPr>
          <w:lang w:val="en-US"/>
        </w:rPr>
        <w:t xml:space="preserve"> </w:t>
      </w:r>
      <w:r w:rsidR="00086AF1">
        <w:rPr>
          <w:lang w:val="en-US"/>
        </w:rPr>
        <w:t>or</w:t>
      </w:r>
      <w:r w:rsidR="001E6086">
        <w:rPr>
          <w:lang w:val="en-US"/>
        </w:rPr>
        <w:t xml:space="preserve"> (iii) those who received and accepted and early retirement offer despite having an opportunity for work continuation</w:t>
      </w:r>
      <w:r w:rsidR="00DF335D" w:rsidRPr="001E6086">
        <w:rPr>
          <w:lang w:val="en-US"/>
        </w:rPr>
        <w:t>;</w:t>
      </w:r>
    </w:p>
    <w:p w:rsidR="003E2663" w:rsidRPr="001E6086" w:rsidRDefault="00DF335D" w:rsidP="003E2663">
      <w:pPr>
        <w:pStyle w:val="Listenabsatz"/>
        <w:numPr>
          <w:ilvl w:val="0"/>
          <w:numId w:val="10"/>
        </w:numPr>
        <w:jc w:val="both"/>
        <w:rPr>
          <w:lang w:val="en-US"/>
        </w:rPr>
      </w:pPr>
      <w:r w:rsidRPr="001E6086">
        <w:rPr>
          <w:lang w:val="en-US"/>
        </w:rPr>
        <w:t xml:space="preserve">that have exited from employment into </w:t>
      </w:r>
      <w:r w:rsidRPr="001E6086">
        <w:rPr>
          <w:i/>
          <w:lang w:val="en-US"/>
        </w:rPr>
        <w:t>unemployment</w:t>
      </w:r>
      <w:r w:rsidRPr="001E6086">
        <w:rPr>
          <w:lang w:val="en-US"/>
        </w:rPr>
        <w:t xml:space="preserve"> indicating that they resigned themselves or reached a mutual agreement with their employer </w:t>
      </w:r>
    </w:p>
    <w:p w:rsidR="001E6086" w:rsidRPr="001E6086" w:rsidRDefault="001E6086" w:rsidP="003E2663">
      <w:pPr>
        <w:pStyle w:val="Listenabsatz"/>
        <w:numPr>
          <w:ilvl w:val="0"/>
          <w:numId w:val="10"/>
        </w:numPr>
        <w:jc w:val="both"/>
        <w:rPr>
          <w:lang w:val="en-US"/>
        </w:rPr>
      </w:pPr>
      <w:r w:rsidRPr="001E6086">
        <w:rPr>
          <w:lang w:val="en-US"/>
        </w:rPr>
        <w:t xml:space="preserve">that have exited from employment into </w:t>
      </w:r>
      <w:r w:rsidRPr="001E6086">
        <w:rPr>
          <w:i/>
          <w:lang w:val="en-US"/>
        </w:rPr>
        <w:t>homemaker</w:t>
      </w:r>
      <w:r w:rsidRPr="001E6086">
        <w:rPr>
          <w:lang w:val="en-US"/>
        </w:rPr>
        <w:t xml:space="preserve"> status because perceiving employment </w:t>
      </w:r>
      <w:r>
        <w:rPr>
          <w:lang w:val="en-US"/>
        </w:rPr>
        <w:t>a</w:t>
      </w:r>
      <w:r w:rsidRPr="001E6086">
        <w:rPr>
          <w:lang w:val="en-US"/>
        </w:rPr>
        <w:t>s being t</w:t>
      </w:r>
      <w:r>
        <w:rPr>
          <w:lang w:val="en-US"/>
        </w:rPr>
        <w:t>o</w:t>
      </w:r>
      <w:r w:rsidRPr="001E6086">
        <w:rPr>
          <w:lang w:val="en-US"/>
        </w:rPr>
        <w:t>o tiring or to take care of children and grandchildren</w:t>
      </w:r>
    </w:p>
    <w:p w:rsidR="001E6086" w:rsidRDefault="001E6086" w:rsidP="001E6086">
      <w:pPr>
        <w:spacing w:after="0"/>
        <w:jc w:val="both"/>
        <w:rPr>
          <w:lang w:val="en-US"/>
        </w:rPr>
      </w:pPr>
      <w:r>
        <w:rPr>
          <w:lang w:val="en-US"/>
        </w:rPr>
        <w:t xml:space="preserve">In contrast, we regard employment exit as being </w:t>
      </w:r>
      <w:r w:rsidRPr="001E6086">
        <w:rPr>
          <w:u w:val="single"/>
          <w:lang w:val="en-US"/>
        </w:rPr>
        <w:t>involuntary</w:t>
      </w:r>
      <w:r>
        <w:rPr>
          <w:lang w:val="en-US"/>
        </w:rPr>
        <w:t xml:space="preserve"> for those,</w:t>
      </w:r>
    </w:p>
    <w:p w:rsidR="001E6086" w:rsidRPr="001E6086" w:rsidRDefault="001E6086" w:rsidP="001E6086">
      <w:pPr>
        <w:pStyle w:val="Listenabsatz"/>
        <w:numPr>
          <w:ilvl w:val="0"/>
          <w:numId w:val="11"/>
        </w:numPr>
        <w:jc w:val="both"/>
        <w:rPr>
          <w:lang w:val="en-US"/>
        </w:rPr>
      </w:pPr>
      <w:r w:rsidRPr="001E6086">
        <w:rPr>
          <w:lang w:val="en-US"/>
        </w:rPr>
        <w:t xml:space="preserve">that have exited from employment into </w:t>
      </w:r>
      <w:r w:rsidRPr="001E6086">
        <w:rPr>
          <w:i/>
          <w:lang w:val="en-US"/>
        </w:rPr>
        <w:t>retirement</w:t>
      </w:r>
      <w:r w:rsidRPr="001E6086">
        <w:rPr>
          <w:lang w:val="en-US"/>
        </w:rPr>
        <w:t xml:space="preserve"> and (</w:t>
      </w:r>
      <w:proofErr w:type="spellStart"/>
      <w:r w:rsidRPr="001E6086">
        <w:rPr>
          <w:lang w:val="en-US"/>
        </w:rPr>
        <w:t>i</w:t>
      </w:r>
      <w:proofErr w:type="spellEnd"/>
      <w:r w:rsidRPr="001E6086">
        <w:rPr>
          <w:lang w:val="en-US"/>
        </w:rPr>
        <w:t xml:space="preserve">) have  stated that they have retired </w:t>
      </w:r>
      <w:r>
        <w:rPr>
          <w:lang w:val="en-US"/>
        </w:rPr>
        <w:t xml:space="preserve">because they were made redundant by their employer, </w:t>
      </w:r>
      <w:r w:rsidRPr="001E6086">
        <w:rPr>
          <w:lang w:val="en-US"/>
        </w:rPr>
        <w:t xml:space="preserve">(ii) </w:t>
      </w:r>
      <w:r>
        <w:rPr>
          <w:lang w:val="en-US"/>
        </w:rPr>
        <w:t xml:space="preserve">that </w:t>
      </w:r>
      <w:r w:rsidRPr="001E6086">
        <w:rPr>
          <w:lang w:val="en-US"/>
        </w:rPr>
        <w:t xml:space="preserve">have stated that they retired when having reached an age limit for public, occupational or private pension </w:t>
      </w:r>
      <w:r>
        <w:rPr>
          <w:lang w:val="en-US"/>
        </w:rPr>
        <w:t>and had no</w:t>
      </w:r>
      <w:r w:rsidRPr="001E6086">
        <w:rPr>
          <w:lang w:val="en-US"/>
        </w:rPr>
        <w:t xml:space="preserve"> opportunity to con</w:t>
      </w:r>
      <w:r>
        <w:rPr>
          <w:lang w:val="en-US"/>
        </w:rPr>
        <w:t xml:space="preserve">tinue working </w:t>
      </w:r>
      <w:r w:rsidR="00086AF1">
        <w:rPr>
          <w:lang w:val="en-US"/>
        </w:rPr>
        <w:t>or</w:t>
      </w:r>
      <w:r>
        <w:rPr>
          <w:lang w:val="en-US"/>
        </w:rPr>
        <w:t xml:space="preserve"> (iii) that </w:t>
      </w:r>
      <w:r w:rsidR="00086AF1">
        <w:rPr>
          <w:lang w:val="en-US"/>
        </w:rPr>
        <w:t>accepted</w:t>
      </w:r>
      <w:r>
        <w:rPr>
          <w:lang w:val="en-US"/>
        </w:rPr>
        <w:t xml:space="preserve"> an early retirement </w:t>
      </w:r>
      <w:r w:rsidR="008B2965">
        <w:rPr>
          <w:lang w:val="en-US"/>
        </w:rPr>
        <w:t>offer</w:t>
      </w:r>
      <w:r>
        <w:rPr>
          <w:lang w:val="en-US"/>
        </w:rPr>
        <w:t xml:space="preserve"> without having h</w:t>
      </w:r>
      <w:r w:rsidR="008B2965">
        <w:rPr>
          <w:lang w:val="en-US"/>
        </w:rPr>
        <w:t>a</w:t>
      </w:r>
      <w:r>
        <w:rPr>
          <w:lang w:val="en-US"/>
        </w:rPr>
        <w:t xml:space="preserve">d the opportunity to continue working </w:t>
      </w:r>
    </w:p>
    <w:p w:rsidR="001E6086" w:rsidRPr="001E6086" w:rsidRDefault="001E6086" w:rsidP="001E6086">
      <w:pPr>
        <w:pStyle w:val="Listenabsatz"/>
        <w:numPr>
          <w:ilvl w:val="0"/>
          <w:numId w:val="11"/>
        </w:numPr>
        <w:jc w:val="both"/>
        <w:rPr>
          <w:lang w:val="en-US"/>
        </w:rPr>
      </w:pPr>
      <w:r w:rsidRPr="001E6086">
        <w:rPr>
          <w:lang w:val="en-US"/>
        </w:rPr>
        <w:t xml:space="preserve">that have exited from employment into </w:t>
      </w:r>
      <w:r w:rsidRPr="001E6086">
        <w:rPr>
          <w:i/>
          <w:lang w:val="en-US"/>
        </w:rPr>
        <w:t>unemployment</w:t>
      </w:r>
      <w:r w:rsidRPr="001E6086">
        <w:rPr>
          <w:lang w:val="en-US"/>
        </w:rPr>
        <w:t xml:space="preserve"> indicating that </w:t>
      </w:r>
      <w:r w:rsidR="008B2965">
        <w:rPr>
          <w:lang w:val="en-US"/>
        </w:rPr>
        <w:t>their place of work had closed, because they were laid off or because a temporary job had been completed</w:t>
      </w:r>
    </w:p>
    <w:p w:rsidR="001E6086" w:rsidRPr="008B2965" w:rsidRDefault="008B2965" w:rsidP="008B2965">
      <w:pPr>
        <w:pStyle w:val="Listenabsatz"/>
        <w:numPr>
          <w:ilvl w:val="0"/>
          <w:numId w:val="11"/>
        </w:numPr>
        <w:jc w:val="both"/>
        <w:rPr>
          <w:lang w:val="en-US"/>
        </w:rPr>
      </w:pPr>
      <w:proofErr w:type="gramStart"/>
      <w:r w:rsidRPr="008B2965">
        <w:rPr>
          <w:lang w:val="en-US"/>
        </w:rPr>
        <w:t>that</w:t>
      </w:r>
      <w:proofErr w:type="gramEnd"/>
      <w:r w:rsidRPr="008B2965">
        <w:rPr>
          <w:lang w:val="en-US"/>
        </w:rPr>
        <w:t xml:space="preserve"> have exited from employment into </w:t>
      </w:r>
      <w:r w:rsidRPr="008B2965">
        <w:rPr>
          <w:i/>
          <w:lang w:val="en-US"/>
        </w:rPr>
        <w:t>homemaker</w:t>
      </w:r>
      <w:r w:rsidRPr="008B2965">
        <w:rPr>
          <w:lang w:val="en-US"/>
        </w:rPr>
        <w:t xml:space="preserve"> status because they were </w:t>
      </w:r>
      <w:r w:rsidRPr="008B2965">
        <w:rPr>
          <w:sz w:val="23"/>
          <w:szCs w:val="23"/>
          <w:lang w:val="en-US"/>
        </w:rPr>
        <w:t>laid off or their workplace closed</w:t>
      </w:r>
      <w:r>
        <w:rPr>
          <w:sz w:val="23"/>
          <w:szCs w:val="23"/>
          <w:lang w:val="en-US"/>
        </w:rPr>
        <w:t xml:space="preserve">, or who found it </w:t>
      </w:r>
      <w:r w:rsidRPr="008B2965">
        <w:rPr>
          <w:sz w:val="23"/>
          <w:szCs w:val="23"/>
          <w:lang w:val="en-US"/>
        </w:rPr>
        <w:t>too expensive to hire someone to look after home or family</w:t>
      </w:r>
      <w:r>
        <w:rPr>
          <w:sz w:val="23"/>
          <w:szCs w:val="23"/>
          <w:lang w:val="en-US"/>
        </w:rPr>
        <w:t>.</w:t>
      </w:r>
    </w:p>
    <w:p w:rsidR="00DF335D" w:rsidRDefault="008B2965" w:rsidP="001E6086">
      <w:pPr>
        <w:jc w:val="both"/>
        <w:rPr>
          <w:lang w:val="en-US"/>
        </w:rPr>
      </w:pPr>
      <w:r>
        <w:rPr>
          <w:lang w:val="en-US"/>
        </w:rPr>
        <w:t>For the discussion of voluntary versus involuntary retirement, we deliberately exclude employment exit because of bad health as these transitions</w:t>
      </w:r>
      <w:r w:rsidR="00594AED">
        <w:rPr>
          <w:lang w:val="en-US"/>
        </w:rPr>
        <w:t xml:space="preserve"> are expected to leave virtuall</w:t>
      </w:r>
      <w:r>
        <w:rPr>
          <w:lang w:val="en-US"/>
        </w:rPr>
        <w:t>y no choice for making the retirement transition.</w:t>
      </w:r>
    </w:p>
    <w:p w:rsidR="00BF2810" w:rsidRDefault="008B2965" w:rsidP="001E6086">
      <w:pPr>
        <w:jc w:val="both"/>
        <w:rPr>
          <w:lang w:val="en-US"/>
        </w:rPr>
      </w:pPr>
      <w:r>
        <w:rPr>
          <w:lang w:val="en-US"/>
        </w:rPr>
        <w:t xml:space="preserve">To gain an even more detailed insight into the actual reasons for the transition from employment into retirement, </w:t>
      </w:r>
      <w:r w:rsidR="006C0A60">
        <w:rPr>
          <w:lang w:val="en-US"/>
        </w:rPr>
        <w:t xml:space="preserve">we furthermore differentiate in a separate analysis between </w:t>
      </w:r>
      <w:r w:rsidR="00594AED">
        <w:rPr>
          <w:lang w:val="en-US"/>
        </w:rPr>
        <w:t>four</w:t>
      </w:r>
      <w:r w:rsidR="006C0A60">
        <w:rPr>
          <w:lang w:val="en-US"/>
        </w:rPr>
        <w:t xml:space="preserve"> groups </w:t>
      </w:r>
      <w:r w:rsidR="006C0A60" w:rsidRPr="00BF2810">
        <w:rPr>
          <w:u w:val="single"/>
          <w:lang w:val="en-US"/>
        </w:rPr>
        <w:t>of reasons for retirement</w:t>
      </w:r>
      <w:r w:rsidR="006C0A60">
        <w:rPr>
          <w:lang w:val="en-US"/>
        </w:rPr>
        <w:t xml:space="preserve">: </w:t>
      </w:r>
    </w:p>
    <w:p w:rsidR="00BF2810" w:rsidRDefault="006C0A60" w:rsidP="00BF2810">
      <w:pPr>
        <w:pStyle w:val="Listenabsatz"/>
        <w:numPr>
          <w:ilvl w:val="0"/>
          <w:numId w:val="12"/>
        </w:numPr>
        <w:jc w:val="both"/>
        <w:rPr>
          <w:lang w:val="en-US"/>
        </w:rPr>
      </w:pPr>
      <w:r w:rsidRPr="00BF2810">
        <w:rPr>
          <w:lang w:val="en-US"/>
        </w:rPr>
        <w:t>those exiting employment because having reached an age limit</w:t>
      </w:r>
      <w:r w:rsidR="00BF2810" w:rsidRPr="00BF2810">
        <w:rPr>
          <w:lang w:val="en-US"/>
        </w:rPr>
        <w:t xml:space="preserve"> for </w:t>
      </w:r>
      <w:r w:rsidR="00BF2810">
        <w:rPr>
          <w:lang w:val="en-US"/>
        </w:rPr>
        <w:t>public pensions</w:t>
      </w:r>
      <w:r w:rsidR="00BF2810" w:rsidRPr="00BF2810">
        <w:rPr>
          <w:lang w:val="en-US"/>
        </w:rPr>
        <w:t xml:space="preserve"> (</w:t>
      </w:r>
      <w:r w:rsidR="00BF2810" w:rsidRPr="00BF2810">
        <w:rPr>
          <w:i/>
          <w:lang w:val="en-US"/>
        </w:rPr>
        <w:t>ordinary retirement</w:t>
      </w:r>
      <w:r w:rsidR="00BF2810" w:rsidRPr="00BF2810">
        <w:rPr>
          <w:lang w:val="en-US"/>
        </w:rPr>
        <w:t>),</w:t>
      </w:r>
    </w:p>
    <w:p w:rsidR="00BF2810" w:rsidRDefault="00BF2810" w:rsidP="00BF2810">
      <w:pPr>
        <w:pStyle w:val="Listenabsatz"/>
        <w:numPr>
          <w:ilvl w:val="0"/>
          <w:numId w:val="12"/>
        </w:numPr>
        <w:jc w:val="both"/>
        <w:rPr>
          <w:lang w:val="en-US"/>
        </w:rPr>
      </w:pPr>
      <w:r w:rsidRPr="00BF2810">
        <w:rPr>
          <w:lang w:val="en-US"/>
        </w:rPr>
        <w:t xml:space="preserve"> those entering into unemployment or retirement because of having being made redundant by their employers (</w:t>
      </w:r>
      <w:r w:rsidRPr="00BF2810">
        <w:rPr>
          <w:i/>
          <w:lang w:val="en-US"/>
        </w:rPr>
        <w:t>employer push</w:t>
      </w:r>
      <w:r w:rsidRPr="00BF2810">
        <w:rPr>
          <w:lang w:val="en-US"/>
        </w:rPr>
        <w:t xml:space="preserve">) </w:t>
      </w:r>
    </w:p>
    <w:p w:rsidR="00BF2810" w:rsidRDefault="00BF2810" w:rsidP="00BF2810">
      <w:pPr>
        <w:pStyle w:val="Listenabsatz"/>
        <w:numPr>
          <w:ilvl w:val="0"/>
          <w:numId w:val="12"/>
        </w:numPr>
        <w:jc w:val="both"/>
        <w:rPr>
          <w:lang w:val="en-US"/>
        </w:rPr>
      </w:pPr>
      <w:r w:rsidRPr="00BF2810">
        <w:rPr>
          <w:lang w:val="en-US"/>
        </w:rPr>
        <w:t xml:space="preserve">those </w:t>
      </w:r>
      <w:r>
        <w:rPr>
          <w:lang w:val="en-US"/>
        </w:rPr>
        <w:t>having accepted an early retirement offer by their employer or having reached eligibility for occupational pensions (</w:t>
      </w:r>
      <w:r w:rsidRPr="00BF2810">
        <w:rPr>
          <w:i/>
          <w:lang w:val="en-US"/>
        </w:rPr>
        <w:t>employer pull</w:t>
      </w:r>
      <w:r>
        <w:rPr>
          <w:lang w:val="en-US"/>
        </w:rPr>
        <w:t xml:space="preserve">),  and </w:t>
      </w:r>
    </w:p>
    <w:p w:rsidR="00BF2810" w:rsidRDefault="00BF2810" w:rsidP="00BF2810">
      <w:pPr>
        <w:pStyle w:val="Listenabsatz"/>
        <w:numPr>
          <w:ilvl w:val="0"/>
          <w:numId w:val="12"/>
        </w:numPr>
        <w:jc w:val="both"/>
        <w:rPr>
          <w:lang w:val="en-US"/>
        </w:rPr>
      </w:pPr>
      <w:r>
        <w:rPr>
          <w:lang w:val="en-US"/>
        </w:rPr>
        <w:t xml:space="preserve">those leaving employment for </w:t>
      </w:r>
      <w:r>
        <w:rPr>
          <w:i/>
          <w:lang w:val="en-US"/>
        </w:rPr>
        <w:t xml:space="preserve">private </w:t>
      </w:r>
      <w:r w:rsidRPr="00BF2810">
        <w:rPr>
          <w:i/>
          <w:lang w:val="en-US"/>
        </w:rPr>
        <w:t xml:space="preserve"> reasons</w:t>
      </w:r>
      <w:r>
        <w:rPr>
          <w:i/>
          <w:lang w:val="en-US"/>
        </w:rPr>
        <w:t xml:space="preserve"> </w:t>
      </w:r>
      <w:r w:rsidRPr="00BF2810">
        <w:rPr>
          <w:lang w:val="en-US"/>
        </w:rPr>
        <w:t>(see above)</w:t>
      </w:r>
    </w:p>
    <w:p w:rsidR="00BF2810" w:rsidRDefault="00105725" w:rsidP="00BF2810">
      <w:pPr>
        <w:jc w:val="both"/>
        <w:rPr>
          <w:lang w:val="en-US"/>
        </w:rPr>
      </w:pPr>
      <w:r>
        <w:rPr>
          <w:lang w:val="en-US"/>
        </w:rPr>
        <w:t xml:space="preserve">In order to </w:t>
      </w:r>
      <w:r w:rsidR="00BE7C59">
        <w:rPr>
          <w:lang w:val="en-US"/>
        </w:rPr>
        <w:t xml:space="preserve">identify the determinants of </w:t>
      </w:r>
      <w:r>
        <w:rPr>
          <w:lang w:val="en-US"/>
        </w:rPr>
        <w:t xml:space="preserve">early </w:t>
      </w:r>
      <w:r w:rsidR="00BE7C59">
        <w:rPr>
          <w:lang w:val="en-US"/>
        </w:rPr>
        <w:t>exit</w:t>
      </w:r>
      <w:r>
        <w:rPr>
          <w:lang w:val="en-US"/>
        </w:rPr>
        <w:t xml:space="preserve"> as well as its </w:t>
      </w:r>
      <w:r w:rsidR="00BE7C59">
        <w:rPr>
          <w:lang w:val="en-US"/>
        </w:rPr>
        <w:t xml:space="preserve">specific </w:t>
      </w:r>
      <w:r>
        <w:rPr>
          <w:lang w:val="en-US"/>
        </w:rPr>
        <w:t>reasons, we conduct three regression analys</w:t>
      </w:r>
      <w:r w:rsidR="00BE7C59">
        <w:rPr>
          <w:lang w:val="en-US"/>
        </w:rPr>
        <w:t>e</w:t>
      </w:r>
      <w:r>
        <w:rPr>
          <w:lang w:val="en-US"/>
        </w:rPr>
        <w:t>s: (</w:t>
      </w:r>
      <w:proofErr w:type="spellStart"/>
      <w:r>
        <w:rPr>
          <w:lang w:val="en-US"/>
        </w:rPr>
        <w:t>i</w:t>
      </w:r>
      <w:proofErr w:type="spellEnd"/>
      <w:r>
        <w:rPr>
          <w:lang w:val="en-US"/>
        </w:rPr>
        <w:t xml:space="preserve">) a logistic regression for exiting from employment, (ii) a multinomial logistic regression for exiting either into voluntary or involuntary retirement, and (iii) a multinomial logistic </w:t>
      </w:r>
      <w:r>
        <w:rPr>
          <w:lang w:val="en-US"/>
        </w:rPr>
        <w:lastRenderedPageBreak/>
        <w:t>regression for exiting for the more differentiated reasons as outlined above, each of them taking work continuation as reference category.</w:t>
      </w:r>
      <w:r w:rsidR="00BE7C59">
        <w:rPr>
          <w:lang w:val="en-US"/>
        </w:rPr>
        <w:t xml:space="preserve"> For </w:t>
      </w:r>
      <w:r w:rsidR="00594AED">
        <w:rPr>
          <w:lang w:val="en-US"/>
        </w:rPr>
        <w:t>all</w:t>
      </w:r>
      <w:r w:rsidR="00BE7C59">
        <w:rPr>
          <w:lang w:val="en-US"/>
        </w:rPr>
        <w:t xml:space="preserve"> regressions, we calculate nested models, subsequently </w:t>
      </w:r>
      <w:r w:rsidR="00594AED">
        <w:rPr>
          <w:lang w:val="en-US"/>
        </w:rPr>
        <w:t>introducing</w:t>
      </w:r>
      <w:r w:rsidR="00BE7C59">
        <w:rPr>
          <w:lang w:val="en-US"/>
        </w:rPr>
        <w:t xml:space="preserve"> control variables, macro-level, firm-level and individual-level determinants, </w:t>
      </w:r>
      <w:r w:rsidR="00594AED">
        <w:rPr>
          <w:lang w:val="en-US"/>
        </w:rPr>
        <w:t>(</w:t>
      </w:r>
      <w:r w:rsidR="009D299B">
        <w:rPr>
          <w:lang w:val="en-US"/>
        </w:rPr>
        <w:t>measured in Wave 1</w:t>
      </w:r>
      <w:r w:rsidR="00594AED">
        <w:rPr>
          <w:lang w:val="en-US"/>
        </w:rPr>
        <w:t>)</w:t>
      </w:r>
      <w:r w:rsidR="009D299B">
        <w:rPr>
          <w:lang w:val="en-US"/>
        </w:rPr>
        <w:t xml:space="preserve">, </w:t>
      </w:r>
      <w:r w:rsidR="00BE7C59">
        <w:rPr>
          <w:lang w:val="en-US"/>
        </w:rPr>
        <w:t xml:space="preserve">to </w:t>
      </w:r>
      <w:r w:rsidR="00594AED">
        <w:rPr>
          <w:lang w:val="en-US"/>
        </w:rPr>
        <w:t>evaluate</w:t>
      </w:r>
      <w:r w:rsidR="00BE7C59">
        <w:rPr>
          <w:lang w:val="en-US"/>
        </w:rPr>
        <w:t xml:space="preserve"> the additional explanatory power of the differential groups of determinants. </w:t>
      </w:r>
    </w:p>
    <w:p w:rsidR="00BE7C59" w:rsidRDefault="00BE7C59" w:rsidP="00BF2810">
      <w:pPr>
        <w:jc w:val="both"/>
        <w:rPr>
          <w:lang w:val="en-US"/>
        </w:rPr>
      </w:pPr>
      <w:r>
        <w:rPr>
          <w:lang w:val="en-US"/>
        </w:rPr>
        <w:t xml:space="preserve">As </w:t>
      </w:r>
      <w:r w:rsidRPr="00BE7C59">
        <w:rPr>
          <w:u w:val="single"/>
          <w:lang w:val="en-US"/>
        </w:rPr>
        <w:t>controls</w:t>
      </w:r>
      <w:r>
        <w:rPr>
          <w:lang w:val="en-US"/>
        </w:rPr>
        <w:t xml:space="preserve">, we include </w:t>
      </w:r>
      <w:r w:rsidR="000815A5">
        <w:rPr>
          <w:lang w:val="en-US"/>
        </w:rPr>
        <w:t xml:space="preserve">dummy variables for </w:t>
      </w:r>
      <w:r w:rsidR="000815A5" w:rsidRPr="00594AED">
        <w:rPr>
          <w:i/>
          <w:lang w:val="en-US"/>
        </w:rPr>
        <w:t>gender</w:t>
      </w:r>
      <w:r w:rsidR="000815A5">
        <w:rPr>
          <w:lang w:val="en-US"/>
        </w:rPr>
        <w:t xml:space="preserve">, </w:t>
      </w:r>
      <w:r w:rsidRPr="000815A5">
        <w:rPr>
          <w:i/>
          <w:lang w:val="en-US"/>
        </w:rPr>
        <w:t>categorical</w:t>
      </w:r>
      <w:r>
        <w:rPr>
          <w:lang w:val="en-US"/>
        </w:rPr>
        <w:t xml:space="preserve"> </w:t>
      </w:r>
      <w:r w:rsidRPr="00713627">
        <w:rPr>
          <w:i/>
          <w:lang w:val="en-US"/>
        </w:rPr>
        <w:t>age</w:t>
      </w:r>
      <w:r>
        <w:rPr>
          <w:lang w:val="en-US"/>
        </w:rPr>
        <w:t xml:space="preserve"> </w:t>
      </w:r>
      <w:r w:rsidR="00713627">
        <w:rPr>
          <w:lang w:val="en-US"/>
        </w:rPr>
        <w:t xml:space="preserve">(grouped into intervals of 50-52, 53-55, 56-58 and 59-62 years), </w:t>
      </w:r>
      <w:r w:rsidR="00713627" w:rsidRPr="000815A5">
        <w:rPr>
          <w:i/>
          <w:lang w:val="en-US"/>
        </w:rPr>
        <w:t>family status</w:t>
      </w:r>
      <w:r w:rsidR="00713627">
        <w:rPr>
          <w:lang w:val="en-US"/>
        </w:rPr>
        <w:t xml:space="preserve"> (differentiating between single and cohabiting individuals)</w:t>
      </w:r>
      <w:r w:rsidR="000815A5">
        <w:rPr>
          <w:lang w:val="en-US"/>
        </w:rPr>
        <w:t xml:space="preserve"> and </w:t>
      </w:r>
      <w:r w:rsidR="000815A5" w:rsidRPr="00594AED">
        <w:rPr>
          <w:i/>
          <w:lang w:val="en-US"/>
        </w:rPr>
        <w:t>health status</w:t>
      </w:r>
      <w:r w:rsidR="000815A5">
        <w:rPr>
          <w:lang w:val="en-US"/>
        </w:rPr>
        <w:t xml:space="preserve"> (differentiating between people who report to be in good health or less than good health).</w:t>
      </w:r>
    </w:p>
    <w:p w:rsidR="005C4B42" w:rsidRDefault="005C4B42" w:rsidP="00BF2810">
      <w:pPr>
        <w:jc w:val="both"/>
        <w:rPr>
          <w:lang w:val="en-US"/>
        </w:rPr>
      </w:pPr>
      <w:r>
        <w:rPr>
          <w:lang w:val="en-US"/>
        </w:rPr>
        <w:t xml:space="preserve">Two different types of indicators are included to reflect potential </w:t>
      </w:r>
      <w:r w:rsidRPr="005C4B42">
        <w:rPr>
          <w:u w:val="single"/>
          <w:lang w:val="en-US"/>
        </w:rPr>
        <w:t>macro-level determinants</w:t>
      </w:r>
      <w:r>
        <w:rPr>
          <w:lang w:val="en-US"/>
        </w:rPr>
        <w:t xml:space="preserve"> of older workers’ retirement decisions. On the one hand, following the </w:t>
      </w:r>
      <w:r w:rsidR="00594AED">
        <w:rPr>
          <w:lang w:val="en-US"/>
        </w:rPr>
        <w:t xml:space="preserve">previous </w:t>
      </w:r>
      <w:r>
        <w:rPr>
          <w:lang w:val="en-US"/>
        </w:rPr>
        <w:t xml:space="preserve">discussion, we include dummies for </w:t>
      </w:r>
      <w:r w:rsidRPr="005C4B42">
        <w:rPr>
          <w:i/>
          <w:lang w:val="en-US"/>
        </w:rPr>
        <w:t xml:space="preserve">welfare respectively </w:t>
      </w:r>
      <w:proofErr w:type="spellStart"/>
      <w:r w:rsidRPr="005C4B42">
        <w:rPr>
          <w:i/>
          <w:lang w:val="en-US"/>
        </w:rPr>
        <w:t>labour</w:t>
      </w:r>
      <w:proofErr w:type="spellEnd"/>
      <w:r w:rsidRPr="005C4B42">
        <w:rPr>
          <w:i/>
          <w:lang w:val="en-US"/>
        </w:rPr>
        <w:t xml:space="preserve"> market regimes</w:t>
      </w:r>
      <w:r>
        <w:rPr>
          <w:lang w:val="en-US"/>
        </w:rPr>
        <w:t xml:space="preserve">, differentiating between </w:t>
      </w:r>
      <w:r w:rsidRPr="005C4B42">
        <w:rPr>
          <w:i/>
          <w:lang w:val="en-US"/>
        </w:rPr>
        <w:t>conservative</w:t>
      </w:r>
      <w:r>
        <w:rPr>
          <w:lang w:val="en-US"/>
        </w:rPr>
        <w:t xml:space="preserve"> (Germany, France, Austr</w:t>
      </w:r>
      <w:r w:rsidR="00594AED">
        <w:rPr>
          <w:lang w:val="en-US"/>
        </w:rPr>
        <w:t>ia, Belgium, the Netherlands), S</w:t>
      </w:r>
      <w:r>
        <w:rPr>
          <w:lang w:val="en-US"/>
        </w:rPr>
        <w:t>outhern European (Greece, Italy, Spain), social-democratic (Denmark, Sweden) and liberal countries (Switzerland).</w:t>
      </w:r>
      <w:r>
        <w:rPr>
          <w:rStyle w:val="Funotenzeichen"/>
          <w:lang w:val="en-US"/>
        </w:rPr>
        <w:footnoteReference w:id="10"/>
      </w:r>
      <w:r>
        <w:rPr>
          <w:lang w:val="en-US"/>
        </w:rPr>
        <w:t xml:space="preserve"> While </w:t>
      </w:r>
      <w:r w:rsidR="00594AED">
        <w:rPr>
          <w:lang w:val="en-US"/>
        </w:rPr>
        <w:t>regimes</w:t>
      </w:r>
      <w:r>
        <w:rPr>
          <w:lang w:val="en-US"/>
        </w:rPr>
        <w:t xml:space="preserve"> reflect actually existing institutional configurations, we alternatively include a number of single indicators reflect</w:t>
      </w:r>
      <w:r w:rsidR="00E95335">
        <w:rPr>
          <w:lang w:val="en-US"/>
        </w:rPr>
        <w:t>ing</w:t>
      </w:r>
      <w:r>
        <w:rPr>
          <w:lang w:val="en-US"/>
        </w:rPr>
        <w:t xml:space="preserve"> the impact of push, pull and push factors to better understand the </w:t>
      </w:r>
      <w:r w:rsidR="00594AED">
        <w:rPr>
          <w:lang w:val="en-US"/>
        </w:rPr>
        <w:t>differential</w:t>
      </w:r>
      <w:r>
        <w:rPr>
          <w:lang w:val="en-US"/>
        </w:rPr>
        <w:t xml:space="preserve"> effect of specific i</w:t>
      </w:r>
      <w:r w:rsidR="00E95335">
        <w:rPr>
          <w:lang w:val="en-US"/>
        </w:rPr>
        <w:t>nstitutional features</w:t>
      </w:r>
      <w:r>
        <w:rPr>
          <w:lang w:val="en-US"/>
        </w:rPr>
        <w:t>.</w:t>
      </w:r>
      <w:r w:rsidR="00E95335">
        <w:rPr>
          <w:lang w:val="en-US"/>
        </w:rPr>
        <w:t xml:space="preserve"> Both the formal retirement age (differentiated for men and women</w:t>
      </w:r>
      <w:r w:rsidR="00761FA1">
        <w:rPr>
          <w:lang w:val="en-US"/>
        </w:rPr>
        <w:t xml:space="preserve">; see </w:t>
      </w:r>
      <w:r w:rsidR="00761FA1" w:rsidRPr="00761FA1">
        <w:rPr>
          <w:i/>
          <w:lang w:val="en-US"/>
        </w:rPr>
        <w:t>Duval</w:t>
      </w:r>
      <w:r w:rsidR="00F070F4">
        <w:rPr>
          <w:lang w:val="en-US"/>
        </w:rPr>
        <w:t xml:space="preserve">, </w:t>
      </w:r>
      <w:r w:rsidR="00761FA1">
        <w:rPr>
          <w:lang w:val="en-US"/>
        </w:rPr>
        <w:t>2003</w:t>
      </w:r>
      <w:r w:rsidR="00E95335">
        <w:rPr>
          <w:lang w:val="en-US"/>
        </w:rPr>
        <w:t>) as well as the overall generosity of pension systems (as reflected in their net wage replacement rates for an average earner; see OECD 2011b) are included to</w:t>
      </w:r>
      <w:r>
        <w:rPr>
          <w:lang w:val="en-US"/>
        </w:rPr>
        <w:t xml:space="preserve"> </w:t>
      </w:r>
      <w:r w:rsidR="00E95335">
        <w:rPr>
          <w:lang w:val="en-US"/>
        </w:rPr>
        <w:t>approximate the ‘</w:t>
      </w:r>
      <w:r w:rsidR="00E95335" w:rsidRPr="00E95335">
        <w:rPr>
          <w:i/>
          <w:lang w:val="en-US"/>
        </w:rPr>
        <w:t>pull’</w:t>
      </w:r>
      <w:r w:rsidR="00E95335">
        <w:rPr>
          <w:lang w:val="en-US"/>
        </w:rPr>
        <w:t xml:space="preserve"> incentives of the public social security system.</w:t>
      </w:r>
      <w:r w:rsidR="00E95335">
        <w:rPr>
          <w:rStyle w:val="Funotenzeichen"/>
          <w:lang w:val="en-US"/>
        </w:rPr>
        <w:footnoteReference w:id="11"/>
      </w:r>
      <w:r w:rsidR="00E95335">
        <w:rPr>
          <w:lang w:val="en-US"/>
        </w:rPr>
        <w:t xml:space="preserve"> Both the level of employment protection legislation (reflected in the OECD’s Employment Protection Legislation Index</w:t>
      </w:r>
      <w:r w:rsidR="00594AED">
        <w:rPr>
          <w:lang w:val="en-US"/>
        </w:rPr>
        <w:t>,</w:t>
      </w:r>
      <w:r w:rsidR="00E95335">
        <w:rPr>
          <w:lang w:val="en-US"/>
        </w:rPr>
        <w:t xml:space="preserve"> Version 1; see: </w:t>
      </w:r>
      <w:r w:rsidR="00E95335" w:rsidRPr="00761FA1">
        <w:rPr>
          <w:i/>
          <w:lang w:val="en-US"/>
        </w:rPr>
        <w:t>OECD</w:t>
      </w:r>
      <w:r w:rsidR="00F070F4">
        <w:rPr>
          <w:lang w:val="en-US"/>
        </w:rPr>
        <w:t xml:space="preserve">, </w:t>
      </w:r>
      <w:r w:rsidR="00E95335">
        <w:rPr>
          <w:lang w:val="en-US"/>
        </w:rPr>
        <w:t>2004, 2011) as well as the average unemployment rate in 2004 (</w:t>
      </w:r>
      <w:r w:rsidR="00E95335" w:rsidRPr="00761FA1">
        <w:rPr>
          <w:i/>
          <w:lang w:val="en-US"/>
        </w:rPr>
        <w:t>OECD</w:t>
      </w:r>
      <w:r w:rsidR="00F070F4">
        <w:rPr>
          <w:lang w:val="en-US"/>
        </w:rPr>
        <w:t xml:space="preserve">, </w:t>
      </w:r>
      <w:r w:rsidR="00E95335">
        <w:rPr>
          <w:lang w:val="en-US"/>
        </w:rPr>
        <w:t>2011a) are included to reflect factors that ‘</w:t>
      </w:r>
      <w:r w:rsidR="00E95335" w:rsidRPr="00E95335">
        <w:rPr>
          <w:i/>
          <w:lang w:val="en-US"/>
        </w:rPr>
        <w:t>push</w:t>
      </w:r>
      <w:r w:rsidR="00E95335">
        <w:rPr>
          <w:i/>
          <w:lang w:val="en-US"/>
        </w:rPr>
        <w:t>’</w:t>
      </w:r>
      <w:r w:rsidR="00E95335">
        <w:rPr>
          <w:lang w:val="en-US"/>
        </w:rPr>
        <w:t xml:space="preserve"> older workers out of employment. </w:t>
      </w:r>
      <w:r w:rsidR="003E64B8">
        <w:rPr>
          <w:lang w:val="en-US"/>
        </w:rPr>
        <w:t>Finally, the participation rate of older workers within the last 12 months (Eurostat</w:t>
      </w:r>
      <w:r w:rsidR="00F070F4">
        <w:rPr>
          <w:lang w:val="en-US"/>
        </w:rPr>
        <w:t>,</w:t>
      </w:r>
      <w:r w:rsidR="003E64B8">
        <w:rPr>
          <w:lang w:val="en-US"/>
        </w:rPr>
        <w:t xml:space="preserve"> 2011) is included to reflect a key element of contemporary ‘</w:t>
      </w:r>
      <w:r w:rsidR="003E64B8" w:rsidRPr="00594AED">
        <w:rPr>
          <w:i/>
          <w:lang w:val="en-US"/>
        </w:rPr>
        <w:t>stay’</w:t>
      </w:r>
      <w:r w:rsidR="003E64B8">
        <w:rPr>
          <w:lang w:val="en-US"/>
        </w:rPr>
        <w:t xml:space="preserve"> policies.</w:t>
      </w:r>
    </w:p>
    <w:p w:rsidR="00FC25C6" w:rsidRPr="00BF2810" w:rsidRDefault="00FC25C6" w:rsidP="00BF2810">
      <w:pPr>
        <w:jc w:val="both"/>
        <w:rPr>
          <w:lang w:val="en-US"/>
        </w:rPr>
      </w:pPr>
      <w:r>
        <w:rPr>
          <w:lang w:val="en-US"/>
        </w:rPr>
        <w:t xml:space="preserve">At the </w:t>
      </w:r>
      <w:r w:rsidRPr="00FC25C6">
        <w:rPr>
          <w:u w:val="single"/>
          <w:lang w:val="en-US"/>
        </w:rPr>
        <w:t>firm level</w:t>
      </w:r>
      <w:r>
        <w:rPr>
          <w:lang w:val="en-US"/>
        </w:rPr>
        <w:t xml:space="preserve">, we use information on the </w:t>
      </w:r>
      <w:r w:rsidRPr="00FC25C6">
        <w:rPr>
          <w:i/>
          <w:lang w:val="en-US"/>
        </w:rPr>
        <w:t>number of employees</w:t>
      </w:r>
      <w:r>
        <w:rPr>
          <w:lang w:val="en-US"/>
        </w:rPr>
        <w:t xml:space="preserve"> at the respective workplace to differentiate between small (0-24 employees), medium-sized (25-199 employees) and large companies (200 employees and more). Detailed data on the </w:t>
      </w:r>
      <w:r w:rsidRPr="00FC25C6">
        <w:rPr>
          <w:i/>
          <w:lang w:val="en-US"/>
        </w:rPr>
        <w:t>sector</w:t>
      </w:r>
      <w:r>
        <w:rPr>
          <w:lang w:val="en-US"/>
        </w:rPr>
        <w:t xml:space="preserve"> of employment provided in NACE-format do allow identifying whether the firms is located in the primary (agricultural), the secondary (industrial) or the tertiary (service) sector. Furthermore, we include a dummy variable indicating whether an individual is employed either in a </w:t>
      </w:r>
      <w:r w:rsidRPr="00FC25C6">
        <w:rPr>
          <w:i/>
          <w:lang w:val="en-US"/>
        </w:rPr>
        <w:t>public</w:t>
      </w:r>
      <w:r>
        <w:rPr>
          <w:lang w:val="en-US"/>
        </w:rPr>
        <w:t xml:space="preserve"> or a private enterprise.</w:t>
      </w:r>
    </w:p>
    <w:p w:rsidR="0034159C" w:rsidRDefault="00A71E52" w:rsidP="0034159C">
      <w:pPr>
        <w:jc w:val="both"/>
        <w:rPr>
          <w:bCs/>
          <w:lang w:val="en-US"/>
        </w:rPr>
      </w:pPr>
      <w:r w:rsidRPr="00A71E52">
        <w:rPr>
          <w:bCs/>
          <w:lang w:val="en-US"/>
        </w:rPr>
        <w:t>Finally, at the</w:t>
      </w:r>
      <w:r>
        <w:rPr>
          <w:bCs/>
          <w:u w:val="single"/>
          <w:lang w:val="en-US"/>
        </w:rPr>
        <w:t xml:space="preserve"> individual level</w:t>
      </w:r>
      <w:r w:rsidRPr="00A71E52">
        <w:rPr>
          <w:bCs/>
          <w:lang w:val="en-US"/>
        </w:rPr>
        <w:t>, we</w:t>
      </w:r>
      <w:r w:rsidR="0034720A">
        <w:rPr>
          <w:bCs/>
          <w:lang w:val="en-US"/>
        </w:rPr>
        <w:t xml:space="preserve"> use the highest</w:t>
      </w:r>
      <w:r w:rsidR="00594AED">
        <w:rPr>
          <w:bCs/>
          <w:lang w:val="en-US"/>
        </w:rPr>
        <w:t xml:space="preserve"> level of </w:t>
      </w:r>
      <w:r w:rsidR="0034720A" w:rsidRPr="0034720A">
        <w:rPr>
          <w:bCs/>
          <w:i/>
          <w:lang w:val="en-US"/>
        </w:rPr>
        <w:t xml:space="preserve">education </w:t>
      </w:r>
      <w:r w:rsidR="0034720A">
        <w:rPr>
          <w:bCs/>
          <w:lang w:val="en-US"/>
        </w:rPr>
        <w:t xml:space="preserve">as </w:t>
      </w:r>
      <w:r w:rsidR="00594AED">
        <w:rPr>
          <w:bCs/>
          <w:lang w:val="en-US"/>
        </w:rPr>
        <w:t>a</w:t>
      </w:r>
      <w:r w:rsidR="0034720A">
        <w:rPr>
          <w:bCs/>
          <w:lang w:val="en-US"/>
        </w:rPr>
        <w:t xml:space="preserve"> proxy of human capital. For our analyses, we diff</w:t>
      </w:r>
      <w:r w:rsidR="00594AED">
        <w:rPr>
          <w:bCs/>
          <w:lang w:val="en-US"/>
        </w:rPr>
        <w:t xml:space="preserve">erentiate between those with </w:t>
      </w:r>
      <w:r w:rsidR="0034720A">
        <w:rPr>
          <w:bCs/>
          <w:lang w:val="en-US"/>
        </w:rPr>
        <w:t>tertiary education (ISCED 5/6)</w:t>
      </w:r>
      <w:r w:rsidR="00594AED">
        <w:rPr>
          <w:bCs/>
          <w:lang w:val="en-US"/>
        </w:rPr>
        <w:t xml:space="preserve"> and tho</w:t>
      </w:r>
      <w:r w:rsidR="003A2F9D">
        <w:rPr>
          <w:bCs/>
          <w:lang w:val="en-US"/>
        </w:rPr>
        <w:t>s</w:t>
      </w:r>
      <w:r w:rsidR="00594AED">
        <w:rPr>
          <w:bCs/>
          <w:lang w:val="en-US"/>
        </w:rPr>
        <w:t>e with lower educational status</w:t>
      </w:r>
      <w:r w:rsidR="00594AED">
        <w:rPr>
          <w:rStyle w:val="Funotenzeichen"/>
          <w:bCs/>
          <w:lang w:val="en-US"/>
        </w:rPr>
        <w:footnoteReference w:id="12"/>
      </w:r>
      <w:r w:rsidR="0034720A">
        <w:rPr>
          <w:bCs/>
          <w:lang w:val="en-US"/>
        </w:rPr>
        <w:t xml:space="preserve">. </w:t>
      </w:r>
      <w:r w:rsidR="0034159C">
        <w:rPr>
          <w:bCs/>
          <w:lang w:val="en-US"/>
        </w:rPr>
        <w:t>In</w:t>
      </w:r>
      <w:r w:rsidR="0034720A">
        <w:rPr>
          <w:bCs/>
          <w:lang w:val="en-US"/>
        </w:rPr>
        <w:t xml:space="preserve"> order to account for individual </w:t>
      </w:r>
      <w:r w:rsidR="0034720A" w:rsidRPr="003A2F9D">
        <w:rPr>
          <w:bCs/>
          <w:i/>
          <w:lang w:val="en-US"/>
        </w:rPr>
        <w:t>job characteris</w:t>
      </w:r>
      <w:r w:rsidR="003A2F9D" w:rsidRPr="003A2F9D">
        <w:rPr>
          <w:bCs/>
          <w:i/>
          <w:lang w:val="en-US"/>
        </w:rPr>
        <w:t>tics</w:t>
      </w:r>
      <w:r w:rsidR="003A2F9D">
        <w:rPr>
          <w:bCs/>
          <w:lang w:val="en-US"/>
        </w:rPr>
        <w:t xml:space="preserve">, we use dummies indicating </w:t>
      </w:r>
      <w:r w:rsidR="0034720A">
        <w:rPr>
          <w:bCs/>
          <w:lang w:val="en-US"/>
        </w:rPr>
        <w:t xml:space="preserve">agreement </w:t>
      </w:r>
      <w:r w:rsidR="003A2F9D">
        <w:rPr>
          <w:bCs/>
          <w:lang w:val="en-US"/>
        </w:rPr>
        <w:t>with</w:t>
      </w:r>
      <w:r w:rsidR="0034720A">
        <w:rPr>
          <w:bCs/>
          <w:lang w:val="en-US"/>
        </w:rPr>
        <w:t xml:space="preserve"> a number of statements </w:t>
      </w:r>
      <w:r w:rsidR="0034159C">
        <w:rPr>
          <w:bCs/>
          <w:lang w:val="en-US"/>
        </w:rPr>
        <w:t xml:space="preserve">regarding the job. </w:t>
      </w:r>
      <w:r w:rsidR="003A2F9D">
        <w:rPr>
          <w:bCs/>
          <w:lang w:val="en-US"/>
        </w:rPr>
        <w:t xml:space="preserve">Individuals indicating </w:t>
      </w:r>
      <w:r w:rsidR="0034159C">
        <w:rPr>
          <w:bCs/>
          <w:lang w:val="en-US"/>
        </w:rPr>
        <w:t xml:space="preserve">that they are generally satisfied with their job and that the job offers the opportunity to develop new skills are </w:t>
      </w:r>
      <w:r w:rsidR="003A2F9D">
        <w:rPr>
          <w:bCs/>
          <w:lang w:val="en-US"/>
        </w:rPr>
        <w:t>considered to work in a job</w:t>
      </w:r>
      <w:r w:rsidR="0034159C">
        <w:rPr>
          <w:bCs/>
          <w:lang w:val="en-US"/>
        </w:rPr>
        <w:t xml:space="preserve"> that guarantee</w:t>
      </w:r>
      <w:r w:rsidR="003A2F9D">
        <w:rPr>
          <w:bCs/>
          <w:lang w:val="en-US"/>
        </w:rPr>
        <w:t>s</w:t>
      </w:r>
      <w:r w:rsidR="0034159C">
        <w:rPr>
          <w:bCs/>
          <w:lang w:val="en-US"/>
        </w:rPr>
        <w:t xml:space="preserve"> a certain degree of self-reliance and responsibility. In contrast, those indicating that their job security is poor or who indicate that they have little freedom </w:t>
      </w:r>
      <w:r w:rsidR="0034159C">
        <w:rPr>
          <w:bCs/>
          <w:lang w:val="en-US"/>
        </w:rPr>
        <w:lastRenderedPageBreak/>
        <w:t xml:space="preserve">to decide how to do their work are considered to be working in more insecure working places in rather routine activities. Finally, we include a dummy variable indicating that the workers is working </w:t>
      </w:r>
      <w:r w:rsidR="003A2F9D">
        <w:rPr>
          <w:bCs/>
          <w:lang w:val="en-US"/>
        </w:rPr>
        <w:t>overtime</w:t>
      </w:r>
      <w:r w:rsidR="0034159C">
        <w:rPr>
          <w:bCs/>
          <w:lang w:val="en-US"/>
        </w:rPr>
        <w:t xml:space="preserve"> (i.e. having a </w:t>
      </w:r>
      <w:r w:rsidR="003A2F9D">
        <w:rPr>
          <w:bCs/>
          <w:lang w:val="en-US"/>
        </w:rPr>
        <w:t xml:space="preserve">regular </w:t>
      </w:r>
      <w:r w:rsidR="0034159C">
        <w:rPr>
          <w:bCs/>
          <w:lang w:val="en-US"/>
        </w:rPr>
        <w:t xml:space="preserve">weekly working time of more than 40 hours) to indicate high </w:t>
      </w:r>
      <w:r w:rsidR="0034159C" w:rsidRPr="003A2F9D">
        <w:rPr>
          <w:bCs/>
          <w:i/>
          <w:lang w:val="en-US"/>
        </w:rPr>
        <w:t>employment attachment</w:t>
      </w:r>
      <w:r w:rsidR="00D9602E">
        <w:rPr>
          <w:bCs/>
          <w:lang w:val="en-US"/>
        </w:rPr>
        <w:t>.</w:t>
      </w:r>
    </w:p>
    <w:p w:rsidR="00D9602E" w:rsidRDefault="00D9602E" w:rsidP="0034159C">
      <w:pPr>
        <w:jc w:val="both"/>
        <w:rPr>
          <w:bCs/>
          <w:lang w:val="en-US"/>
        </w:rPr>
      </w:pPr>
    </w:p>
    <w:p w:rsidR="003072D7" w:rsidRPr="003072D7" w:rsidRDefault="003072D7" w:rsidP="003F2928">
      <w:pPr>
        <w:pStyle w:val="Listenabsatz"/>
        <w:numPr>
          <w:ilvl w:val="0"/>
          <w:numId w:val="5"/>
        </w:numPr>
        <w:contextualSpacing w:val="0"/>
        <w:jc w:val="both"/>
        <w:rPr>
          <w:b/>
          <w:lang w:val="en-GB"/>
        </w:rPr>
      </w:pPr>
      <w:r w:rsidRPr="003072D7">
        <w:rPr>
          <w:b/>
          <w:lang w:val="en-GB"/>
        </w:rPr>
        <w:t>Results</w:t>
      </w:r>
    </w:p>
    <w:p w:rsidR="003072D7" w:rsidRPr="003072D7" w:rsidRDefault="003072D7" w:rsidP="003072D7">
      <w:pPr>
        <w:pStyle w:val="Listenabsatz"/>
        <w:ind w:left="0"/>
        <w:jc w:val="both"/>
        <w:rPr>
          <w:lang w:val="en-GB"/>
        </w:rPr>
      </w:pPr>
      <w:r w:rsidRPr="003072D7">
        <w:rPr>
          <w:lang w:val="en-GB"/>
        </w:rPr>
        <w:t>To begin with, Table 2 presents results from nested logistic regression models to explain exit from employment to non-employment. Expectably, the likelihood to exit from employment increases with age, especially after reaching the mid-50s. Likewise, health status shows the expected effect indicating that those in ba</w:t>
      </w:r>
      <w:r w:rsidR="003A2F9D">
        <w:rPr>
          <w:lang w:val="en-GB"/>
        </w:rPr>
        <w:t>d</w:t>
      </w:r>
      <w:r w:rsidRPr="003072D7">
        <w:rPr>
          <w:lang w:val="en-GB"/>
        </w:rPr>
        <w:t xml:space="preserve"> health will be more likely to </w:t>
      </w:r>
      <w:r w:rsidR="003A2F9D">
        <w:rPr>
          <w:lang w:val="en-GB"/>
        </w:rPr>
        <w:t>retire early</w:t>
      </w:r>
      <w:r w:rsidRPr="003072D7">
        <w:rPr>
          <w:lang w:val="en-GB"/>
        </w:rPr>
        <w:t xml:space="preserve">. </w:t>
      </w:r>
      <w:r w:rsidR="003A2F9D">
        <w:rPr>
          <w:lang w:val="en-GB"/>
        </w:rPr>
        <w:t>Surprisingly</w:t>
      </w:r>
      <w:r w:rsidRPr="003072D7">
        <w:rPr>
          <w:lang w:val="en-GB"/>
        </w:rPr>
        <w:t>, there appears to be little difference in the exit behaviour of men and women</w:t>
      </w:r>
      <w:r w:rsidR="003A2F9D">
        <w:rPr>
          <w:lang w:val="en-GB"/>
        </w:rPr>
        <w:t>, possibly reflecting</w:t>
      </w:r>
      <w:r w:rsidRPr="003072D7">
        <w:rPr>
          <w:lang w:val="en-GB"/>
        </w:rPr>
        <w:t xml:space="preserve"> that women born in the 1950s </w:t>
      </w:r>
      <w:r w:rsidR="003A2F9D">
        <w:rPr>
          <w:lang w:val="en-GB"/>
        </w:rPr>
        <w:t>and</w:t>
      </w:r>
      <w:r w:rsidRPr="003072D7">
        <w:rPr>
          <w:lang w:val="en-GB"/>
        </w:rPr>
        <w:t xml:space="preserve"> (still) employed in their 50s may make up a rather selective group of female workers with above-average labour force attachment. </w:t>
      </w:r>
    </w:p>
    <w:p w:rsidR="003072D7" w:rsidRPr="003072D7" w:rsidRDefault="003072D7" w:rsidP="003072D7">
      <w:pPr>
        <w:pStyle w:val="Listenabsatz"/>
        <w:ind w:left="0"/>
        <w:jc w:val="both"/>
        <w:rPr>
          <w:lang w:val="en-GB"/>
        </w:rPr>
      </w:pPr>
      <w:r w:rsidRPr="003072D7">
        <w:rPr>
          <w:lang w:val="en-GB"/>
        </w:rPr>
        <w:t xml:space="preserve">The comparison of employment exit patterns across </w:t>
      </w:r>
      <w:r w:rsidRPr="003072D7">
        <w:rPr>
          <w:i/>
          <w:lang w:val="en-GB"/>
        </w:rPr>
        <w:t>regimes</w:t>
      </w:r>
      <w:r w:rsidRPr="003072D7">
        <w:rPr>
          <w:lang w:val="en-GB"/>
        </w:rPr>
        <w:t xml:space="preserve"> (Model M2) largely confirms the established differentiation of ‘</w:t>
      </w:r>
      <w:proofErr w:type="gramStart"/>
      <w:r w:rsidRPr="003072D7">
        <w:rPr>
          <w:lang w:val="en-GB"/>
        </w:rPr>
        <w:t>employment exit/early exit</w:t>
      </w:r>
      <w:proofErr w:type="gramEnd"/>
      <w:r w:rsidRPr="003072D7">
        <w:rPr>
          <w:lang w:val="en-GB"/>
        </w:rPr>
        <w:t>’ and ‘employment maintenance/late-exit’ regimes (</w:t>
      </w:r>
      <w:proofErr w:type="spellStart"/>
      <w:r w:rsidRPr="003072D7">
        <w:rPr>
          <w:i/>
          <w:lang w:val="en-GB"/>
        </w:rPr>
        <w:t>Blossfeld</w:t>
      </w:r>
      <w:proofErr w:type="spellEnd"/>
      <w:r w:rsidRPr="003072D7">
        <w:rPr>
          <w:i/>
          <w:lang w:val="en-GB"/>
        </w:rPr>
        <w:t xml:space="preserve"> et al.</w:t>
      </w:r>
      <w:r w:rsidR="00F070F4">
        <w:rPr>
          <w:lang w:val="en-GB"/>
        </w:rPr>
        <w:t xml:space="preserve">, </w:t>
      </w:r>
      <w:r w:rsidRPr="003072D7">
        <w:rPr>
          <w:lang w:val="en-GB"/>
        </w:rPr>
        <w:t xml:space="preserve">2006, </w:t>
      </w:r>
      <w:proofErr w:type="spellStart"/>
      <w:r w:rsidRPr="003072D7">
        <w:rPr>
          <w:i/>
          <w:lang w:val="en-GB"/>
        </w:rPr>
        <w:t>Ebbinghaus</w:t>
      </w:r>
      <w:proofErr w:type="spellEnd"/>
      <w:r w:rsidR="00F070F4">
        <w:rPr>
          <w:lang w:val="en-GB"/>
        </w:rPr>
        <w:t xml:space="preserve">, </w:t>
      </w:r>
      <w:r w:rsidRPr="003072D7">
        <w:rPr>
          <w:lang w:val="en-GB"/>
        </w:rPr>
        <w:t xml:space="preserve">2006). Employment exit before age 65 is least common in social-democratic countries, while the difference to the ‘liberal’ case of Switzerland is only modest. In contrast, both Southern European and conservative countries have a clearly higher likelihood of early exit. The more detailed consideration of </w:t>
      </w:r>
      <w:r w:rsidRPr="003072D7">
        <w:rPr>
          <w:i/>
          <w:lang w:val="en-GB"/>
        </w:rPr>
        <w:t>single institutions</w:t>
      </w:r>
      <w:r w:rsidRPr="003072D7">
        <w:rPr>
          <w:lang w:val="en-GB"/>
        </w:rPr>
        <w:t xml:space="preserve"> (Models M3-M5) confirms the expected role of pull, push and stay factors for producing this aggregate outcome. Early exit appears to be most widespread in countries where pension </w:t>
      </w:r>
      <w:r w:rsidR="003A2F9D">
        <w:rPr>
          <w:lang w:val="en-GB"/>
        </w:rPr>
        <w:t>levels</w:t>
      </w:r>
      <w:r w:rsidRPr="003072D7">
        <w:rPr>
          <w:lang w:val="en-GB"/>
        </w:rPr>
        <w:t xml:space="preserve"> are most generous. In contrast, higher mandatory retirement ages expectably promote longer work continuation. It thus comes as no surprise that early exit is highest in Central and Southern Europe where (early) retirement ages are low and material compensation tends to be highest. From a push perspective, higher unemployment rates seem to foster early exit. Employment protection, in contrast, </w:t>
      </w:r>
      <w:r w:rsidR="003A2F9D">
        <w:rPr>
          <w:lang w:val="en-GB"/>
        </w:rPr>
        <w:t>rather promotes</w:t>
      </w:r>
      <w:r w:rsidRPr="003072D7">
        <w:rPr>
          <w:lang w:val="en-GB"/>
        </w:rPr>
        <w:t xml:space="preserve"> work continuation. This partly counter-intuitive finding </w:t>
      </w:r>
      <w:r w:rsidR="003A2F9D">
        <w:rPr>
          <w:lang w:val="en-GB"/>
        </w:rPr>
        <w:t xml:space="preserve">– </w:t>
      </w:r>
      <w:r w:rsidRPr="003072D7">
        <w:rPr>
          <w:lang w:val="en-GB"/>
        </w:rPr>
        <w:t xml:space="preserve">that stands in contrast to our initial expectation and some earlier research </w:t>
      </w:r>
      <w:r w:rsidR="003A2F9D">
        <w:rPr>
          <w:lang w:val="en-GB"/>
        </w:rPr>
        <w:t xml:space="preserve">– </w:t>
      </w:r>
      <w:r w:rsidRPr="003072D7">
        <w:rPr>
          <w:lang w:val="en-GB"/>
        </w:rPr>
        <w:t xml:space="preserve">may be explained by the fact that the analyses focus entirely on those actually employed whose employment </w:t>
      </w:r>
      <w:r w:rsidR="008B3D19">
        <w:rPr>
          <w:lang w:val="en-GB"/>
        </w:rPr>
        <w:t>will benefit from</w:t>
      </w:r>
      <w:r w:rsidRPr="003072D7">
        <w:rPr>
          <w:lang w:val="en-GB"/>
        </w:rPr>
        <w:t xml:space="preserve"> more restrictive dismissal regulations. </w:t>
      </w:r>
      <w:r w:rsidR="008B3D19">
        <w:rPr>
          <w:lang w:val="en-GB"/>
        </w:rPr>
        <w:t>In contrast, t</w:t>
      </w:r>
      <w:r w:rsidRPr="003072D7">
        <w:rPr>
          <w:lang w:val="en-GB"/>
        </w:rPr>
        <w:t xml:space="preserve">hose who have fallen out of </w:t>
      </w:r>
      <w:proofErr w:type="gramStart"/>
      <w:r w:rsidRPr="003072D7">
        <w:rPr>
          <w:lang w:val="en-GB"/>
        </w:rPr>
        <w:t>employment,</w:t>
      </w:r>
      <w:proofErr w:type="gramEnd"/>
      <w:r w:rsidRPr="003072D7">
        <w:rPr>
          <w:lang w:val="en-GB"/>
        </w:rPr>
        <w:t xml:space="preserve"> may be disadvantaged by these regulations as it reinforces their position as labour market </w:t>
      </w:r>
      <w:r w:rsidR="008B3D19">
        <w:rPr>
          <w:lang w:val="en-GB"/>
        </w:rPr>
        <w:t>‘</w:t>
      </w:r>
      <w:r w:rsidRPr="003072D7">
        <w:rPr>
          <w:lang w:val="en-GB"/>
        </w:rPr>
        <w:t>outsiders</w:t>
      </w:r>
      <w:r w:rsidR="008B3D19">
        <w:rPr>
          <w:lang w:val="en-GB"/>
        </w:rPr>
        <w:t>’</w:t>
      </w:r>
      <w:r w:rsidRPr="003072D7">
        <w:rPr>
          <w:lang w:val="en-GB"/>
        </w:rPr>
        <w:t xml:space="preserve">. Finally, </w:t>
      </w:r>
      <w:r w:rsidR="008B3D19">
        <w:rPr>
          <w:lang w:val="en-GB"/>
        </w:rPr>
        <w:t xml:space="preserve">in line with our expectations, </w:t>
      </w:r>
      <w:r w:rsidRPr="003072D7">
        <w:rPr>
          <w:lang w:val="en-GB"/>
        </w:rPr>
        <w:t xml:space="preserve">training measures for older workers indeed foster </w:t>
      </w:r>
      <w:r w:rsidR="008B3D19">
        <w:rPr>
          <w:lang w:val="en-GB"/>
        </w:rPr>
        <w:t>work continuation</w:t>
      </w:r>
      <w:r w:rsidRPr="003072D7">
        <w:rPr>
          <w:lang w:val="en-GB"/>
        </w:rPr>
        <w:t xml:space="preserve">. </w:t>
      </w:r>
      <w:r w:rsidR="008B3D19">
        <w:rPr>
          <w:lang w:val="en-GB"/>
        </w:rPr>
        <w:t>In sum</w:t>
      </w:r>
      <w:r w:rsidRPr="003072D7">
        <w:rPr>
          <w:lang w:val="en-GB"/>
        </w:rPr>
        <w:t>, the increase in explanatory power when including regime characteristics is quite notable, suggesting that these most general context conditions indeed have a strong effect on individual retirement decisions.</w:t>
      </w:r>
    </w:p>
    <w:p w:rsidR="003072D7" w:rsidRPr="003072D7" w:rsidRDefault="003072D7" w:rsidP="003072D7">
      <w:pPr>
        <w:pStyle w:val="Listenabsatz"/>
        <w:ind w:left="0"/>
        <w:jc w:val="both"/>
        <w:rPr>
          <w:lang w:val="en-GB"/>
        </w:rPr>
      </w:pPr>
      <w:r w:rsidRPr="003072D7">
        <w:rPr>
          <w:lang w:val="en-GB"/>
        </w:rPr>
        <w:t>Turning from state-level to firm-level characteristics (Model 6), our results point to a significant impact of both firm size and sector on older workers’ retirement</w:t>
      </w:r>
      <w:r w:rsidR="008B3D19">
        <w:rPr>
          <w:lang w:val="en-GB"/>
        </w:rPr>
        <w:t xml:space="preserve"> behaviour</w:t>
      </w:r>
      <w:r w:rsidRPr="003072D7">
        <w:rPr>
          <w:lang w:val="en-GB"/>
        </w:rPr>
        <w:t>. In line with our hypotheses, employment exit appears to be</w:t>
      </w:r>
      <w:r w:rsidR="008B3D19">
        <w:rPr>
          <w:lang w:val="en-GB"/>
        </w:rPr>
        <w:t xml:space="preserve"> most widespread in large firms while</w:t>
      </w:r>
      <w:r w:rsidRPr="003072D7">
        <w:rPr>
          <w:lang w:val="en-GB"/>
        </w:rPr>
        <w:t xml:space="preserve"> </w:t>
      </w:r>
      <w:r w:rsidR="008B3D19">
        <w:rPr>
          <w:lang w:val="en-GB"/>
        </w:rPr>
        <w:t>b</w:t>
      </w:r>
      <w:r w:rsidRPr="003072D7">
        <w:rPr>
          <w:lang w:val="en-GB"/>
        </w:rPr>
        <w:t xml:space="preserve">eing employed in the service sector </w:t>
      </w:r>
      <w:r w:rsidR="008B3D19">
        <w:rPr>
          <w:lang w:val="en-GB"/>
        </w:rPr>
        <w:t>fosters</w:t>
      </w:r>
      <w:r w:rsidRPr="003072D7">
        <w:rPr>
          <w:lang w:val="en-GB"/>
        </w:rPr>
        <w:t xml:space="preserve"> employment</w:t>
      </w:r>
      <w:r w:rsidR="008B3D19">
        <w:rPr>
          <w:lang w:val="en-GB"/>
        </w:rPr>
        <w:t xml:space="preserve"> continuation</w:t>
      </w:r>
      <w:r w:rsidRPr="003072D7">
        <w:rPr>
          <w:lang w:val="en-GB"/>
        </w:rPr>
        <w:t>.</w:t>
      </w:r>
      <w:r w:rsidRPr="003072D7">
        <w:rPr>
          <w:rStyle w:val="Funotenzeichen"/>
          <w:lang w:val="en-GB"/>
        </w:rPr>
        <w:footnoteReference w:id="13"/>
      </w:r>
    </w:p>
    <w:p w:rsidR="003F2928" w:rsidRDefault="008C232A" w:rsidP="008C232A">
      <w:pPr>
        <w:pStyle w:val="Listenabsatz"/>
        <w:ind w:left="0"/>
        <w:jc w:val="both"/>
        <w:rPr>
          <w:lang w:val="en-GB"/>
        </w:rPr>
      </w:pPr>
      <w:r w:rsidRPr="003072D7">
        <w:rPr>
          <w:lang w:val="en-GB"/>
        </w:rPr>
        <w:t xml:space="preserve">Finally, turning to </w:t>
      </w:r>
      <w:r w:rsidRPr="003072D7">
        <w:rPr>
          <w:i/>
          <w:lang w:val="en-GB"/>
        </w:rPr>
        <w:t>individual-level</w:t>
      </w:r>
      <w:r w:rsidRPr="003072D7">
        <w:rPr>
          <w:lang w:val="en-GB"/>
        </w:rPr>
        <w:t xml:space="preserve"> factors, we find that human capital indeed </w:t>
      </w:r>
      <w:r>
        <w:rPr>
          <w:lang w:val="en-GB"/>
        </w:rPr>
        <w:t>has</w:t>
      </w:r>
      <w:r w:rsidRPr="003072D7">
        <w:rPr>
          <w:lang w:val="en-GB"/>
        </w:rPr>
        <w:t xml:space="preserve"> a sheltering effect, reflected in the lower probability of tertiary-level graduates to exit early. </w:t>
      </w:r>
    </w:p>
    <w:p w:rsidR="003F2928" w:rsidRPr="006B3A92" w:rsidRDefault="003F2928" w:rsidP="003072D7">
      <w:pPr>
        <w:pStyle w:val="Listenabsatz"/>
        <w:ind w:left="0"/>
        <w:jc w:val="both"/>
        <w:rPr>
          <w:sz w:val="20"/>
          <w:szCs w:val="20"/>
          <w:lang w:val="en-GB"/>
        </w:rPr>
        <w:sectPr w:rsidR="003F2928" w:rsidRPr="006B3A92" w:rsidSect="00572AE0">
          <w:footerReference w:type="default" r:id="rId16"/>
          <w:pgSz w:w="11906" w:h="16838"/>
          <w:pgMar w:top="1417" w:right="1417" w:bottom="1134" w:left="1417" w:header="708" w:footer="708" w:gutter="0"/>
          <w:cols w:space="708"/>
          <w:docGrid w:linePitch="360"/>
        </w:sectPr>
      </w:pPr>
    </w:p>
    <w:p w:rsidR="003072D7" w:rsidRPr="006B3A92" w:rsidRDefault="003072D7" w:rsidP="003072D7">
      <w:pPr>
        <w:pStyle w:val="Listenabsatz"/>
        <w:ind w:left="0"/>
        <w:jc w:val="both"/>
        <w:rPr>
          <w:sz w:val="20"/>
          <w:szCs w:val="20"/>
          <w:lang w:val="en-GB"/>
        </w:rPr>
      </w:pPr>
      <w:r>
        <w:rPr>
          <w:sz w:val="20"/>
          <w:szCs w:val="20"/>
          <w:lang w:val="en-GB"/>
        </w:rPr>
        <w:lastRenderedPageBreak/>
        <w:t>Table 2: Logistic regression: Exit from employment no non-employment</w:t>
      </w:r>
    </w:p>
    <w:tbl>
      <w:tblPr>
        <w:tblpPr w:leftFromText="141" w:rightFromText="141" w:vertAnchor="text" w:tblpY="1"/>
        <w:tblOverlap w:val="never"/>
        <w:tblW w:w="0" w:type="auto"/>
        <w:tblInd w:w="55" w:type="dxa"/>
        <w:tblCellMar>
          <w:left w:w="70" w:type="dxa"/>
          <w:right w:w="70" w:type="dxa"/>
        </w:tblCellMar>
        <w:tblLook w:val="04A0" w:firstRow="1" w:lastRow="0" w:firstColumn="1" w:lastColumn="0" w:noHBand="0" w:noVBand="1"/>
      </w:tblPr>
      <w:tblGrid>
        <w:gridCol w:w="2341"/>
        <w:gridCol w:w="3150"/>
        <w:gridCol w:w="657"/>
        <w:gridCol w:w="439"/>
        <w:gridCol w:w="657"/>
        <w:gridCol w:w="439"/>
        <w:gridCol w:w="657"/>
        <w:gridCol w:w="439"/>
        <w:gridCol w:w="657"/>
        <w:gridCol w:w="439"/>
        <w:gridCol w:w="657"/>
        <w:gridCol w:w="439"/>
        <w:gridCol w:w="657"/>
        <w:gridCol w:w="439"/>
        <w:gridCol w:w="657"/>
        <w:gridCol w:w="439"/>
      </w:tblGrid>
      <w:tr w:rsidR="003072D7" w:rsidRPr="0049633B" w:rsidTr="003072D7">
        <w:trPr>
          <w:trHeight w:val="300"/>
        </w:trPr>
        <w:tc>
          <w:tcPr>
            <w:tcW w:w="0" w:type="auto"/>
            <w:tcBorders>
              <w:top w:val="single" w:sz="4" w:space="0" w:color="auto"/>
              <w:left w:val="nil"/>
              <w:bottom w:val="single"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val="en-US" w:eastAsia="de-DE"/>
              </w:rPr>
            </w:pP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r w:rsidRPr="0049633B">
              <w:rPr>
                <w:rFonts w:ascii="Calibri" w:eastAsia="Times New Roman" w:hAnsi="Calibri" w:cs="Calibri"/>
                <w:color w:val="000000"/>
                <w:sz w:val="20"/>
                <w:szCs w:val="20"/>
                <w:lang w:val="en-US" w:eastAsia="de-DE"/>
              </w:rPr>
              <w:t>Model</w:t>
            </w:r>
          </w:p>
        </w:tc>
        <w:tc>
          <w:tcPr>
            <w:tcW w:w="0" w:type="auto"/>
            <w:tcBorders>
              <w:top w:val="single" w:sz="4" w:space="0" w:color="auto"/>
              <w:left w:val="single" w:sz="4" w:space="0" w:color="auto"/>
              <w:bottom w:val="single" w:sz="4" w:space="0" w:color="auto"/>
              <w:right w:val="nil"/>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r w:rsidRPr="0049633B">
              <w:rPr>
                <w:rFonts w:ascii="Calibri" w:eastAsia="Times New Roman" w:hAnsi="Calibri" w:cs="Calibri"/>
                <w:color w:val="000000"/>
                <w:sz w:val="20"/>
                <w:szCs w:val="20"/>
                <w:lang w:val="en-US" w:eastAsia="de-DE"/>
              </w:rPr>
              <w:t>M1</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r w:rsidRPr="0049633B">
              <w:rPr>
                <w:rFonts w:ascii="Calibri" w:eastAsia="Times New Roman" w:hAnsi="Calibri" w:cs="Calibri"/>
                <w:color w:val="000000"/>
                <w:sz w:val="20"/>
                <w:szCs w:val="20"/>
                <w:lang w:val="en-US" w:eastAsia="de-DE"/>
              </w:rPr>
              <w:t>M2</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r w:rsidRPr="0049633B">
              <w:rPr>
                <w:rFonts w:ascii="Calibri" w:eastAsia="Times New Roman" w:hAnsi="Calibri" w:cs="Calibri"/>
                <w:color w:val="000000"/>
                <w:sz w:val="20"/>
                <w:szCs w:val="20"/>
                <w:lang w:val="en-US" w:eastAsia="de-DE"/>
              </w:rPr>
              <w:t>M3</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r w:rsidRPr="0049633B">
              <w:rPr>
                <w:rFonts w:ascii="Calibri" w:eastAsia="Times New Roman" w:hAnsi="Calibri" w:cs="Calibri"/>
                <w:color w:val="000000"/>
                <w:sz w:val="20"/>
                <w:szCs w:val="20"/>
                <w:lang w:val="en-US" w:eastAsia="de-DE"/>
              </w:rPr>
              <w:t>M4</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r w:rsidRPr="0049633B">
              <w:rPr>
                <w:rFonts w:ascii="Calibri" w:eastAsia="Times New Roman" w:hAnsi="Calibri" w:cs="Calibri"/>
                <w:color w:val="000000"/>
                <w:sz w:val="20"/>
                <w:szCs w:val="20"/>
                <w:lang w:val="en-US" w:eastAsia="de-DE"/>
              </w:rPr>
              <w:t>M5</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r w:rsidRPr="0049633B">
              <w:rPr>
                <w:rFonts w:ascii="Calibri" w:eastAsia="Times New Roman" w:hAnsi="Calibri" w:cs="Calibri"/>
                <w:color w:val="000000"/>
                <w:sz w:val="20"/>
                <w:szCs w:val="20"/>
                <w:lang w:val="en-US" w:eastAsia="de-DE"/>
              </w:rPr>
              <w:t>M6</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r w:rsidRPr="0049633B">
              <w:rPr>
                <w:rFonts w:ascii="Calibri" w:eastAsia="Times New Roman" w:hAnsi="Calibri" w:cs="Calibri"/>
                <w:color w:val="000000"/>
                <w:sz w:val="20"/>
                <w:szCs w:val="20"/>
                <w:lang w:val="en-US" w:eastAsia="de-DE"/>
              </w:rPr>
              <w:t>M7</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p>
        </w:tc>
      </w:tr>
      <w:tr w:rsidR="003072D7" w:rsidRPr="006B3A92" w:rsidTr="003072D7">
        <w:trPr>
          <w:trHeight w:val="300"/>
        </w:trPr>
        <w:tc>
          <w:tcPr>
            <w:tcW w:w="0" w:type="auto"/>
            <w:tcBorders>
              <w:top w:val="single" w:sz="4" w:space="0" w:color="auto"/>
              <w:left w:val="nil"/>
              <w:bottom w:val="nil"/>
              <w:right w:val="nil"/>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p>
        </w:tc>
        <w:tc>
          <w:tcPr>
            <w:tcW w:w="0" w:type="auto"/>
            <w:tcBorders>
              <w:top w:val="single" w:sz="4" w:space="0" w:color="auto"/>
              <w:left w:val="nil"/>
              <w:bottom w:val="nil"/>
              <w:right w:val="single" w:sz="4" w:space="0" w:color="auto"/>
            </w:tcBorders>
            <w:shd w:val="clear" w:color="auto" w:fill="auto"/>
            <w:noWrap/>
            <w:vAlign w:val="bottom"/>
            <w:hideMark/>
          </w:tcPr>
          <w:p w:rsidR="003072D7" w:rsidRPr="0049633B" w:rsidRDefault="003072D7" w:rsidP="003072D7">
            <w:pPr>
              <w:spacing w:after="0" w:line="240" w:lineRule="auto"/>
              <w:jc w:val="both"/>
              <w:rPr>
                <w:rFonts w:ascii="Calibri" w:eastAsia="Times New Roman" w:hAnsi="Calibri" w:cs="Calibri"/>
                <w:color w:val="000000"/>
                <w:sz w:val="20"/>
                <w:szCs w:val="20"/>
                <w:lang w:val="en-US" w:eastAsia="de-DE"/>
              </w:rPr>
            </w:pPr>
            <w:r w:rsidRPr="0049633B">
              <w:rPr>
                <w:rFonts w:ascii="Calibri" w:eastAsia="Times New Roman" w:hAnsi="Calibri" w:cs="Calibri"/>
                <w:color w:val="000000"/>
                <w:sz w:val="20"/>
                <w:szCs w:val="20"/>
                <w:lang w:val="en-US" w:eastAsia="de-DE"/>
              </w:rPr>
              <w:t>N</w:t>
            </w:r>
          </w:p>
        </w:tc>
        <w:tc>
          <w:tcPr>
            <w:tcW w:w="0" w:type="auto"/>
            <w:tcBorders>
              <w:top w:val="single" w:sz="4" w:space="0" w:color="auto"/>
              <w:left w:val="single" w:sz="4" w:space="0" w:color="auto"/>
              <w:bottom w:val="nil"/>
              <w:right w:val="nil"/>
            </w:tcBorders>
            <w:shd w:val="clear" w:color="auto" w:fill="auto"/>
            <w:noWrap/>
            <w:hideMark/>
          </w:tcPr>
          <w:p w:rsidR="003072D7" w:rsidRPr="0049633B" w:rsidRDefault="003072D7" w:rsidP="003072D7">
            <w:pPr>
              <w:spacing w:after="0" w:line="240" w:lineRule="auto"/>
              <w:jc w:val="both"/>
              <w:rPr>
                <w:rFonts w:eastAsia="Times New Roman" w:cstheme="minorHAnsi"/>
                <w:color w:val="000000"/>
                <w:sz w:val="20"/>
                <w:szCs w:val="20"/>
                <w:lang w:val="en-US" w:eastAsia="de-DE"/>
              </w:rPr>
            </w:pPr>
            <w:r w:rsidRPr="0049633B">
              <w:rPr>
                <w:rFonts w:eastAsia="Times New Roman" w:cstheme="minorHAnsi"/>
                <w:color w:val="000000"/>
                <w:sz w:val="20"/>
                <w:szCs w:val="20"/>
                <w:lang w:val="en-US" w:eastAsia="de-DE"/>
              </w:rPr>
              <w:t>3211</w:t>
            </w:r>
          </w:p>
        </w:tc>
        <w:tc>
          <w:tcPr>
            <w:tcW w:w="0" w:type="auto"/>
            <w:tcBorders>
              <w:top w:val="single" w:sz="4" w:space="0" w:color="auto"/>
              <w:left w:val="nil"/>
              <w:bottom w:val="nil"/>
              <w:right w:val="nil"/>
            </w:tcBorders>
            <w:shd w:val="clear" w:color="auto" w:fill="auto"/>
            <w:noWrap/>
            <w:hideMark/>
          </w:tcPr>
          <w:p w:rsidR="003072D7" w:rsidRPr="0049633B"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single" w:sz="4" w:space="0" w:color="auto"/>
              <w:left w:val="nil"/>
              <w:bottom w:val="nil"/>
              <w:right w:val="nil"/>
            </w:tcBorders>
            <w:shd w:val="clear" w:color="auto" w:fill="auto"/>
            <w:noWrap/>
            <w:hideMark/>
          </w:tcPr>
          <w:p w:rsidR="003072D7" w:rsidRPr="0049633B" w:rsidRDefault="003072D7" w:rsidP="003072D7">
            <w:pPr>
              <w:spacing w:after="0" w:line="240" w:lineRule="auto"/>
              <w:jc w:val="both"/>
              <w:rPr>
                <w:rFonts w:eastAsia="Times New Roman" w:cstheme="minorHAnsi"/>
                <w:color w:val="000000"/>
                <w:sz w:val="20"/>
                <w:szCs w:val="20"/>
                <w:lang w:val="en-US" w:eastAsia="de-DE"/>
              </w:rPr>
            </w:pPr>
            <w:r w:rsidRPr="0049633B">
              <w:rPr>
                <w:rFonts w:eastAsia="Times New Roman" w:cstheme="minorHAnsi"/>
                <w:color w:val="000000"/>
                <w:sz w:val="20"/>
                <w:szCs w:val="20"/>
                <w:lang w:val="en-US" w:eastAsia="de-DE"/>
              </w:rPr>
              <w:t>3211</w:t>
            </w:r>
          </w:p>
        </w:tc>
        <w:tc>
          <w:tcPr>
            <w:tcW w:w="0" w:type="auto"/>
            <w:tcBorders>
              <w:top w:val="single" w:sz="4" w:space="0" w:color="auto"/>
              <w:left w:val="nil"/>
              <w:bottom w:val="nil"/>
              <w:right w:val="nil"/>
            </w:tcBorders>
            <w:shd w:val="clear" w:color="auto" w:fill="auto"/>
            <w:noWrap/>
            <w:hideMark/>
          </w:tcPr>
          <w:p w:rsidR="003072D7" w:rsidRPr="0049633B"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single"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sz w:val="20"/>
                <w:szCs w:val="20"/>
                <w:lang w:eastAsia="de-DE"/>
              </w:rPr>
            </w:pPr>
            <w:r w:rsidRPr="006B3A92">
              <w:rPr>
                <w:rFonts w:eastAsia="Times New Roman" w:cstheme="minorHAnsi"/>
                <w:sz w:val="20"/>
                <w:szCs w:val="20"/>
                <w:lang w:eastAsia="de-DE"/>
              </w:rPr>
              <w:t>3211</w:t>
            </w:r>
          </w:p>
        </w:tc>
        <w:tc>
          <w:tcPr>
            <w:tcW w:w="0" w:type="auto"/>
            <w:tcBorders>
              <w:top w:val="single"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single"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sz w:val="20"/>
                <w:szCs w:val="20"/>
                <w:lang w:eastAsia="de-DE"/>
              </w:rPr>
            </w:pPr>
            <w:r w:rsidRPr="006B3A92">
              <w:rPr>
                <w:rFonts w:eastAsia="Times New Roman" w:cstheme="minorHAnsi"/>
                <w:sz w:val="20"/>
                <w:szCs w:val="20"/>
                <w:lang w:eastAsia="de-DE"/>
              </w:rPr>
              <w:t>3211</w:t>
            </w:r>
          </w:p>
        </w:tc>
        <w:tc>
          <w:tcPr>
            <w:tcW w:w="0" w:type="auto"/>
            <w:tcBorders>
              <w:top w:val="single"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single"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3211</w:t>
            </w:r>
          </w:p>
        </w:tc>
        <w:tc>
          <w:tcPr>
            <w:tcW w:w="0" w:type="auto"/>
            <w:tcBorders>
              <w:top w:val="single"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single"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3211</w:t>
            </w:r>
          </w:p>
        </w:tc>
        <w:tc>
          <w:tcPr>
            <w:tcW w:w="0" w:type="auto"/>
            <w:tcBorders>
              <w:top w:val="single"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single"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3191</w:t>
            </w:r>
          </w:p>
        </w:tc>
        <w:tc>
          <w:tcPr>
            <w:tcW w:w="0" w:type="auto"/>
            <w:tcBorders>
              <w:top w:val="single"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r>
      <w:tr w:rsidR="003072D7" w:rsidRPr="006B3A92" w:rsidTr="003072D7">
        <w:trPr>
          <w:trHeight w:val="300"/>
        </w:trPr>
        <w:tc>
          <w:tcPr>
            <w:tcW w:w="0" w:type="auto"/>
            <w:tcBorders>
              <w:top w:val="nil"/>
              <w:left w:val="nil"/>
              <w:bottom w:val="single"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single"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R-</w:t>
            </w:r>
            <w:proofErr w:type="spellStart"/>
            <w:r w:rsidRPr="006B3A92">
              <w:rPr>
                <w:rFonts w:ascii="Calibri" w:eastAsia="Times New Roman" w:hAnsi="Calibri" w:cs="Calibri"/>
                <w:color w:val="000000"/>
                <w:sz w:val="20"/>
                <w:szCs w:val="20"/>
                <w:lang w:eastAsia="de-DE"/>
              </w:rPr>
              <w:t>square</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Nagelkerke</w:t>
            </w:r>
            <w:proofErr w:type="spellEnd"/>
            <w:r w:rsidRPr="006B3A92">
              <w:rPr>
                <w:rFonts w:ascii="Calibri" w:eastAsia="Times New Roman" w:hAnsi="Calibri" w:cs="Calibri"/>
                <w:color w:val="000000"/>
                <w:sz w:val="20"/>
                <w:szCs w:val="20"/>
                <w:lang w:eastAsia="de-DE"/>
              </w:rPr>
              <w:t>)</w:t>
            </w:r>
          </w:p>
        </w:tc>
        <w:tc>
          <w:tcPr>
            <w:tcW w:w="0" w:type="auto"/>
            <w:tcBorders>
              <w:top w:val="nil"/>
              <w:left w:val="single" w:sz="4" w:space="0" w:color="auto"/>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0,128</w:t>
            </w: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0,161</w:t>
            </w: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0,136</w:t>
            </w: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0,134</w:t>
            </w:r>
          </w:p>
        </w:tc>
        <w:tc>
          <w:tcPr>
            <w:tcW w:w="0" w:type="auto"/>
            <w:tcBorders>
              <w:top w:val="nil"/>
              <w:left w:val="nil"/>
              <w:bottom w:val="single"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0,14</w:t>
            </w:r>
          </w:p>
        </w:tc>
        <w:tc>
          <w:tcPr>
            <w:tcW w:w="0" w:type="auto"/>
            <w:tcBorders>
              <w:top w:val="nil"/>
              <w:left w:val="nil"/>
              <w:bottom w:val="single"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0,173</w:t>
            </w: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0,188</w:t>
            </w: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r>
      <w:tr w:rsidR="003072D7" w:rsidRPr="006B3A92" w:rsidTr="003072D7">
        <w:trPr>
          <w:trHeight w:val="300"/>
        </w:trPr>
        <w:tc>
          <w:tcPr>
            <w:tcW w:w="0" w:type="auto"/>
            <w:tcBorders>
              <w:top w:val="nil"/>
              <w:left w:val="nil"/>
              <w:bottom w:val="dashed"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dashed"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Constant</w:t>
            </w:r>
          </w:p>
        </w:tc>
        <w:tc>
          <w:tcPr>
            <w:tcW w:w="0" w:type="auto"/>
            <w:tcBorders>
              <w:top w:val="nil"/>
              <w:left w:val="single" w:sz="4" w:space="0" w:color="auto"/>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-3,547</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-4,435</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-0,529</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-3,618</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-3,136</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-3,941</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-3,446</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r>
      <w:tr w:rsidR="003072D7" w:rsidRPr="006B3A92" w:rsidTr="003072D7">
        <w:trPr>
          <w:trHeight w:val="300"/>
        </w:trPr>
        <w:tc>
          <w:tcPr>
            <w:tcW w:w="0" w:type="auto"/>
            <w:tcBorders>
              <w:top w:val="dashed" w:sz="4" w:space="0" w:color="auto"/>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Control</w:t>
            </w:r>
            <w:proofErr w:type="spellEnd"/>
            <w:r w:rsidRPr="006B3A92">
              <w:rPr>
                <w:rFonts w:ascii="Calibri" w:eastAsia="Times New Roman" w:hAnsi="Calibri" w:cs="Calibri"/>
                <w:color w:val="000000"/>
                <w:sz w:val="20"/>
                <w:szCs w:val="20"/>
                <w:lang w:eastAsia="de-DE"/>
              </w:rPr>
              <w:t>: Gender</w:t>
            </w:r>
          </w:p>
        </w:tc>
        <w:tc>
          <w:tcPr>
            <w:tcW w:w="0" w:type="auto"/>
            <w:tcBorders>
              <w:top w:val="dashed" w:sz="4" w:space="0" w:color="auto"/>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Male</w:t>
            </w:r>
          </w:p>
        </w:tc>
        <w:tc>
          <w:tcPr>
            <w:tcW w:w="0" w:type="auto"/>
            <w:tcBorders>
              <w:top w:val="dashed" w:sz="4" w:space="0" w:color="auto"/>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,078</w:t>
            </w: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-,019</w:t>
            </w: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,057</w:t>
            </w: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,048</w:t>
            </w: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,038</w:t>
            </w: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-,197</w:t>
            </w: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-,179</w:t>
            </w: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Control</w:t>
            </w:r>
            <w:proofErr w:type="spellEnd"/>
            <w:r w:rsidRPr="006B3A92">
              <w:rPr>
                <w:rFonts w:ascii="Calibri" w:eastAsia="Times New Roman" w:hAnsi="Calibri" w:cs="Calibri"/>
                <w:color w:val="000000"/>
                <w:sz w:val="20"/>
                <w:szCs w:val="20"/>
                <w:lang w:eastAsia="de-DE"/>
              </w:rPr>
              <w:t>: Age</w:t>
            </w: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53-55 </w:t>
            </w:r>
            <w:proofErr w:type="spellStart"/>
            <w:r w:rsidRPr="006B3A92">
              <w:rPr>
                <w:rFonts w:ascii="Calibri" w:eastAsia="Times New Roman" w:hAnsi="Calibri" w:cs="Calibri"/>
                <w:color w:val="000000"/>
                <w:sz w:val="20"/>
                <w:szCs w:val="20"/>
                <w:lang w:eastAsia="de-DE"/>
              </w:rPr>
              <w:t>years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50-52)</w:t>
            </w:r>
          </w:p>
        </w:tc>
        <w:tc>
          <w:tcPr>
            <w:tcW w:w="0" w:type="auto"/>
            <w:tcBorders>
              <w:top w:val="nil"/>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,571</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,595</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,589</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,569</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,573</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,590</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0,587</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56-58 </w:t>
            </w:r>
            <w:proofErr w:type="spellStart"/>
            <w:r w:rsidRPr="006B3A92">
              <w:rPr>
                <w:rFonts w:ascii="Calibri" w:eastAsia="Times New Roman" w:hAnsi="Calibri" w:cs="Calibri"/>
                <w:color w:val="000000"/>
                <w:sz w:val="20"/>
                <w:szCs w:val="20"/>
                <w:lang w:eastAsia="de-DE"/>
              </w:rPr>
              <w:t>years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50-52)</w:t>
            </w:r>
          </w:p>
        </w:tc>
        <w:tc>
          <w:tcPr>
            <w:tcW w:w="0" w:type="auto"/>
            <w:tcBorders>
              <w:top w:val="nil"/>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1,637</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1,753</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1,674</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1,683</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1,692</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1,755</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1,820</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59-62 </w:t>
            </w:r>
            <w:proofErr w:type="spellStart"/>
            <w:r w:rsidRPr="006B3A92">
              <w:rPr>
                <w:rFonts w:ascii="Calibri" w:eastAsia="Times New Roman" w:hAnsi="Calibri" w:cs="Calibri"/>
                <w:color w:val="000000"/>
                <w:sz w:val="20"/>
                <w:szCs w:val="20"/>
                <w:lang w:eastAsia="de-DE"/>
              </w:rPr>
              <w:t>years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50-52)</w:t>
            </w:r>
          </w:p>
        </w:tc>
        <w:tc>
          <w:tcPr>
            <w:tcW w:w="0" w:type="auto"/>
            <w:tcBorders>
              <w:top w:val="nil"/>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2,548</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2,955</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2,696</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2,604</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2,727</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3,011</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3,125</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Control</w:t>
            </w:r>
            <w:proofErr w:type="spellEnd"/>
            <w:r w:rsidRPr="006B3A92">
              <w:rPr>
                <w:rFonts w:ascii="Calibri" w:eastAsia="Times New Roman" w:hAnsi="Calibri" w:cs="Calibri"/>
                <w:color w:val="000000"/>
                <w:sz w:val="20"/>
                <w:szCs w:val="20"/>
                <w:lang w:eastAsia="de-DE"/>
              </w:rPr>
              <w:t xml:space="preserve">: Family </w:t>
            </w:r>
            <w:proofErr w:type="spellStart"/>
            <w:r w:rsidRPr="006B3A92">
              <w:rPr>
                <w:rFonts w:ascii="Calibri" w:eastAsia="Times New Roman" w:hAnsi="Calibri" w:cs="Calibri"/>
                <w:color w:val="000000"/>
                <w:sz w:val="20"/>
                <w:szCs w:val="20"/>
                <w:lang w:eastAsia="de-DE"/>
              </w:rPr>
              <w:t>status</w:t>
            </w:r>
            <w:proofErr w:type="spellEnd"/>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val="en-US" w:eastAsia="de-DE"/>
              </w:rPr>
            </w:pPr>
            <w:r w:rsidRPr="006B3A92">
              <w:rPr>
                <w:rFonts w:ascii="Calibri" w:eastAsia="Times New Roman" w:hAnsi="Calibri" w:cs="Calibri"/>
                <w:color w:val="000000"/>
                <w:sz w:val="20"/>
                <w:szCs w:val="20"/>
                <w:lang w:val="en-US" w:eastAsia="de-DE"/>
              </w:rPr>
              <w:t>No partner  (ref: married/cohabiting)</w:t>
            </w:r>
          </w:p>
        </w:tc>
        <w:tc>
          <w:tcPr>
            <w:tcW w:w="0" w:type="auto"/>
            <w:tcBorders>
              <w:top w:val="nil"/>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-,181</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-,209</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-,222</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-,178</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-,181</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-,208</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-,210</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r>
      <w:tr w:rsidR="003072D7" w:rsidRPr="006B3A92" w:rsidTr="003072D7">
        <w:trPr>
          <w:trHeight w:val="300"/>
        </w:trPr>
        <w:tc>
          <w:tcPr>
            <w:tcW w:w="0" w:type="auto"/>
            <w:tcBorders>
              <w:top w:val="nil"/>
              <w:left w:val="nil"/>
              <w:bottom w:val="dashed"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Control</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Health</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status</w:t>
            </w:r>
            <w:proofErr w:type="spellEnd"/>
          </w:p>
        </w:tc>
        <w:tc>
          <w:tcPr>
            <w:tcW w:w="0" w:type="auto"/>
            <w:tcBorders>
              <w:top w:val="nil"/>
              <w:left w:val="nil"/>
              <w:bottom w:val="dashed"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Less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than</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good</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health</w:t>
            </w:r>
            <w:proofErr w:type="spellEnd"/>
          </w:p>
        </w:tc>
        <w:tc>
          <w:tcPr>
            <w:tcW w:w="0" w:type="auto"/>
            <w:tcBorders>
              <w:top w:val="nil"/>
              <w:left w:val="single" w:sz="4" w:space="0" w:color="auto"/>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,303</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,256</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,299</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,282</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,266</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,237</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,172</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r>
      <w:tr w:rsidR="003072D7" w:rsidRPr="006B3A92" w:rsidTr="003072D7">
        <w:trPr>
          <w:trHeight w:val="300"/>
        </w:trPr>
        <w:tc>
          <w:tcPr>
            <w:tcW w:w="0" w:type="auto"/>
            <w:tcBorders>
              <w:top w:val="dashed" w:sz="4" w:space="0" w:color="auto"/>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Institutions</w:t>
            </w:r>
            <w:proofErr w:type="spellEnd"/>
            <w:r w:rsidRPr="006B3A92">
              <w:rPr>
                <w:rFonts w:ascii="Calibri" w:eastAsia="Times New Roman" w:hAnsi="Calibri" w:cs="Calibri"/>
                <w:color w:val="000000"/>
                <w:sz w:val="20"/>
                <w:szCs w:val="20"/>
                <w:lang w:eastAsia="de-DE"/>
              </w:rPr>
              <w:t>: Regime</w:t>
            </w:r>
          </w:p>
        </w:tc>
        <w:tc>
          <w:tcPr>
            <w:tcW w:w="0" w:type="auto"/>
            <w:tcBorders>
              <w:top w:val="dashed" w:sz="4" w:space="0" w:color="auto"/>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Liberal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soc</w:t>
            </w:r>
            <w:proofErr w:type="spellEnd"/>
            <w:r w:rsidRPr="006B3A92">
              <w:rPr>
                <w:rFonts w:ascii="Calibri" w:eastAsia="Times New Roman" w:hAnsi="Calibri" w:cs="Calibri"/>
                <w:color w:val="000000"/>
                <w:sz w:val="20"/>
                <w:szCs w:val="20"/>
                <w:lang w:eastAsia="de-DE"/>
              </w:rPr>
              <w:t>-dem.)</w:t>
            </w:r>
          </w:p>
        </w:tc>
        <w:tc>
          <w:tcPr>
            <w:tcW w:w="0" w:type="auto"/>
            <w:tcBorders>
              <w:top w:val="dashed" w:sz="4" w:space="0" w:color="auto"/>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,594</w:t>
            </w: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,524</w:t>
            </w: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,695</w:t>
            </w: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Conservative</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soc</w:t>
            </w:r>
            <w:proofErr w:type="spellEnd"/>
            <w:r w:rsidRPr="006B3A92">
              <w:rPr>
                <w:rFonts w:ascii="Calibri" w:eastAsia="Times New Roman" w:hAnsi="Calibri" w:cs="Calibri"/>
                <w:color w:val="000000"/>
                <w:sz w:val="20"/>
                <w:szCs w:val="20"/>
                <w:lang w:eastAsia="de-DE"/>
              </w:rPr>
              <w:t>-dem.)</w:t>
            </w:r>
          </w:p>
        </w:tc>
        <w:tc>
          <w:tcPr>
            <w:tcW w:w="0" w:type="auto"/>
            <w:tcBorders>
              <w:top w:val="nil"/>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1,268</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1,245</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1,232</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Southern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soc</w:t>
            </w:r>
            <w:proofErr w:type="spellEnd"/>
            <w:r w:rsidRPr="006B3A92">
              <w:rPr>
                <w:rFonts w:ascii="Calibri" w:eastAsia="Times New Roman" w:hAnsi="Calibri" w:cs="Calibri"/>
                <w:color w:val="000000"/>
                <w:sz w:val="20"/>
                <w:szCs w:val="20"/>
                <w:lang w:eastAsia="de-DE"/>
              </w:rPr>
              <w:t>-dem.)</w:t>
            </w:r>
          </w:p>
        </w:tc>
        <w:tc>
          <w:tcPr>
            <w:tcW w:w="0" w:type="auto"/>
            <w:tcBorders>
              <w:top w:val="nil"/>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1,114</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1,136</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1,058</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Institutions:Pull</w:t>
            </w:r>
            <w:proofErr w:type="spellEnd"/>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Retirement</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age</w:t>
            </w:r>
            <w:proofErr w:type="spellEnd"/>
          </w:p>
        </w:tc>
        <w:tc>
          <w:tcPr>
            <w:tcW w:w="0" w:type="auto"/>
            <w:tcBorders>
              <w:top w:val="nil"/>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-,061</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Net </w:t>
            </w:r>
            <w:proofErr w:type="spellStart"/>
            <w:r w:rsidRPr="006B3A92">
              <w:rPr>
                <w:rFonts w:ascii="Calibri" w:eastAsia="Times New Roman" w:hAnsi="Calibri" w:cs="Calibri"/>
                <w:color w:val="000000"/>
                <w:sz w:val="20"/>
                <w:szCs w:val="20"/>
                <w:lang w:eastAsia="de-DE"/>
              </w:rPr>
              <w:t>Replacement</w:t>
            </w:r>
            <w:proofErr w:type="spellEnd"/>
            <w:r w:rsidRPr="006B3A92">
              <w:rPr>
                <w:rFonts w:ascii="Calibri" w:eastAsia="Times New Roman" w:hAnsi="Calibri" w:cs="Calibri"/>
                <w:color w:val="000000"/>
                <w:sz w:val="20"/>
                <w:szCs w:val="20"/>
                <w:lang w:eastAsia="de-DE"/>
              </w:rPr>
              <w:t xml:space="preserve"> Rate </w:t>
            </w:r>
          </w:p>
        </w:tc>
        <w:tc>
          <w:tcPr>
            <w:tcW w:w="0" w:type="auto"/>
            <w:tcBorders>
              <w:top w:val="nil"/>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1,071</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Institutions</w:t>
            </w:r>
            <w:proofErr w:type="spellEnd"/>
            <w:r w:rsidRPr="006B3A92">
              <w:rPr>
                <w:rFonts w:ascii="Calibri" w:eastAsia="Times New Roman" w:hAnsi="Calibri" w:cs="Calibri"/>
                <w:color w:val="000000"/>
                <w:sz w:val="20"/>
                <w:szCs w:val="20"/>
                <w:lang w:eastAsia="de-DE"/>
              </w:rPr>
              <w:t>: Push</w:t>
            </w: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Unemployment</w:t>
            </w:r>
            <w:proofErr w:type="spellEnd"/>
            <w:r w:rsidRPr="006B3A92">
              <w:rPr>
                <w:rFonts w:ascii="Calibri" w:eastAsia="Times New Roman" w:hAnsi="Calibri" w:cs="Calibri"/>
                <w:color w:val="000000"/>
                <w:sz w:val="20"/>
                <w:szCs w:val="20"/>
                <w:lang w:eastAsia="de-DE"/>
              </w:rPr>
              <w:t xml:space="preserve"> rate</w:t>
            </w:r>
          </w:p>
        </w:tc>
        <w:tc>
          <w:tcPr>
            <w:tcW w:w="0" w:type="auto"/>
            <w:tcBorders>
              <w:top w:val="nil"/>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,133</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Employment</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Protection</w:t>
            </w:r>
            <w:proofErr w:type="spellEnd"/>
            <w:r w:rsidRPr="006B3A92">
              <w:rPr>
                <w:rFonts w:ascii="Calibri" w:eastAsia="Times New Roman" w:hAnsi="Calibri" w:cs="Calibri"/>
                <w:color w:val="000000"/>
                <w:sz w:val="20"/>
                <w:szCs w:val="20"/>
                <w:lang w:eastAsia="de-DE"/>
              </w:rPr>
              <w:t xml:space="preserve"> Index</w:t>
            </w:r>
          </w:p>
        </w:tc>
        <w:tc>
          <w:tcPr>
            <w:tcW w:w="0" w:type="auto"/>
            <w:tcBorders>
              <w:top w:val="nil"/>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-,388</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r>
      <w:tr w:rsidR="003072D7" w:rsidRPr="006B3A92" w:rsidTr="003072D7">
        <w:trPr>
          <w:trHeight w:val="300"/>
        </w:trPr>
        <w:tc>
          <w:tcPr>
            <w:tcW w:w="0" w:type="auto"/>
            <w:tcBorders>
              <w:top w:val="nil"/>
              <w:left w:val="nil"/>
              <w:bottom w:val="dashed"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Institutions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Stay</w:t>
            </w:r>
            <w:proofErr w:type="spellEnd"/>
          </w:p>
        </w:tc>
        <w:tc>
          <w:tcPr>
            <w:tcW w:w="0" w:type="auto"/>
            <w:tcBorders>
              <w:top w:val="nil"/>
              <w:left w:val="nil"/>
              <w:bottom w:val="dashed"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Lifelong</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learning</w:t>
            </w:r>
            <w:proofErr w:type="spellEnd"/>
            <w:r w:rsidRPr="006B3A92">
              <w:rPr>
                <w:rFonts w:ascii="Calibri" w:eastAsia="Times New Roman" w:hAnsi="Calibri" w:cs="Calibri"/>
                <w:color w:val="000000"/>
                <w:sz w:val="20"/>
                <w:szCs w:val="20"/>
                <w:lang w:eastAsia="de-DE"/>
              </w:rPr>
              <w:t xml:space="preserve"> rate</w:t>
            </w:r>
          </w:p>
        </w:tc>
        <w:tc>
          <w:tcPr>
            <w:tcW w:w="0" w:type="auto"/>
            <w:tcBorders>
              <w:top w:val="nil"/>
              <w:left w:val="single" w:sz="4" w:space="0" w:color="auto"/>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-,057</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r>
      <w:tr w:rsidR="003072D7" w:rsidRPr="006B3A92" w:rsidTr="003072D7">
        <w:trPr>
          <w:trHeight w:val="300"/>
        </w:trPr>
        <w:tc>
          <w:tcPr>
            <w:tcW w:w="0" w:type="auto"/>
            <w:tcBorders>
              <w:top w:val="dashed" w:sz="4" w:space="0" w:color="auto"/>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Firm </w:t>
            </w:r>
            <w:proofErr w:type="spellStart"/>
            <w:r w:rsidRPr="006B3A92">
              <w:rPr>
                <w:rFonts w:ascii="Calibri" w:eastAsia="Times New Roman" w:hAnsi="Calibri" w:cs="Calibri"/>
                <w:color w:val="000000"/>
                <w:sz w:val="20"/>
                <w:szCs w:val="20"/>
                <w:lang w:eastAsia="de-DE"/>
              </w:rPr>
              <w:t>characteristics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Sector</w:t>
            </w:r>
            <w:proofErr w:type="spellEnd"/>
          </w:p>
        </w:tc>
        <w:tc>
          <w:tcPr>
            <w:tcW w:w="0" w:type="auto"/>
            <w:tcBorders>
              <w:top w:val="dashed" w:sz="4" w:space="0" w:color="auto"/>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Tertiary</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non-</w:t>
            </w:r>
            <w:proofErr w:type="spellStart"/>
            <w:r w:rsidRPr="006B3A92">
              <w:rPr>
                <w:rFonts w:ascii="Calibri" w:eastAsia="Times New Roman" w:hAnsi="Calibri" w:cs="Calibri"/>
                <w:color w:val="000000"/>
                <w:sz w:val="20"/>
                <w:szCs w:val="20"/>
                <w:lang w:eastAsia="de-DE"/>
              </w:rPr>
              <w:t>tertiary</w:t>
            </w:r>
            <w:proofErr w:type="spellEnd"/>
            <w:r w:rsidRPr="006B3A92">
              <w:rPr>
                <w:rFonts w:ascii="Calibri" w:eastAsia="Times New Roman" w:hAnsi="Calibri" w:cs="Calibri"/>
                <w:color w:val="000000"/>
                <w:sz w:val="20"/>
                <w:szCs w:val="20"/>
                <w:lang w:eastAsia="de-DE"/>
              </w:rPr>
              <w:t>)</w:t>
            </w:r>
          </w:p>
        </w:tc>
        <w:tc>
          <w:tcPr>
            <w:tcW w:w="0" w:type="auto"/>
            <w:tcBorders>
              <w:top w:val="dashed" w:sz="4" w:space="0" w:color="auto"/>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-,556</w:t>
            </w: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-,487</w:t>
            </w: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Public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private)</w:t>
            </w:r>
          </w:p>
        </w:tc>
        <w:tc>
          <w:tcPr>
            <w:tcW w:w="0" w:type="auto"/>
            <w:tcBorders>
              <w:top w:val="nil"/>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-,105</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-,030</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Firm </w:t>
            </w:r>
            <w:proofErr w:type="spellStart"/>
            <w:r w:rsidRPr="006B3A92">
              <w:rPr>
                <w:rFonts w:ascii="Calibri" w:eastAsia="Times New Roman" w:hAnsi="Calibri" w:cs="Calibri"/>
                <w:color w:val="000000"/>
                <w:sz w:val="20"/>
                <w:szCs w:val="20"/>
                <w:lang w:eastAsia="de-DE"/>
              </w:rPr>
              <w:t>characteristics</w:t>
            </w:r>
            <w:proofErr w:type="spellEnd"/>
            <w:r w:rsidRPr="006B3A92">
              <w:rPr>
                <w:rFonts w:ascii="Calibri" w:eastAsia="Times New Roman" w:hAnsi="Calibri" w:cs="Calibri"/>
                <w:color w:val="000000"/>
                <w:sz w:val="20"/>
                <w:szCs w:val="20"/>
                <w:lang w:eastAsia="de-DE"/>
              </w:rPr>
              <w:t>: Size</w:t>
            </w: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Small: 1-24 </w:t>
            </w:r>
            <w:proofErr w:type="spellStart"/>
            <w:r w:rsidRPr="006B3A92">
              <w:rPr>
                <w:rFonts w:ascii="Calibri" w:eastAsia="Times New Roman" w:hAnsi="Calibri" w:cs="Calibri"/>
                <w:color w:val="000000"/>
                <w:sz w:val="20"/>
                <w:szCs w:val="20"/>
                <w:lang w:eastAsia="de-DE"/>
              </w:rPr>
              <w:t>employees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25-199)</w:t>
            </w:r>
          </w:p>
        </w:tc>
        <w:tc>
          <w:tcPr>
            <w:tcW w:w="0" w:type="auto"/>
            <w:tcBorders>
              <w:top w:val="nil"/>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,075</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,044</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r>
      <w:tr w:rsidR="003072D7" w:rsidRPr="006B3A92" w:rsidTr="003072D7">
        <w:trPr>
          <w:trHeight w:val="300"/>
        </w:trPr>
        <w:tc>
          <w:tcPr>
            <w:tcW w:w="0" w:type="auto"/>
            <w:tcBorders>
              <w:top w:val="nil"/>
              <w:left w:val="nil"/>
              <w:bottom w:val="dashed"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dashed"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Large: &gt;200 </w:t>
            </w:r>
            <w:proofErr w:type="spellStart"/>
            <w:r w:rsidRPr="006B3A92">
              <w:rPr>
                <w:rFonts w:ascii="Calibri" w:eastAsia="Times New Roman" w:hAnsi="Calibri" w:cs="Calibri"/>
                <w:color w:val="000000"/>
                <w:sz w:val="20"/>
                <w:szCs w:val="20"/>
                <w:lang w:eastAsia="de-DE"/>
              </w:rPr>
              <w:t>employees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25-199)</w:t>
            </w:r>
          </w:p>
        </w:tc>
        <w:tc>
          <w:tcPr>
            <w:tcW w:w="0" w:type="auto"/>
            <w:tcBorders>
              <w:top w:val="nil"/>
              <w:left w:val="single" w:sz="4" w:space="0" w:color="auto"/>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,413</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c>
          <w:tcPr>
            <w:tcW w:w="0" w:type="auto"/>
            <w:tcBorders>
              <w:top w:val="nil"/>
              <w:left w:val="nil"/>
              <w:bottom w:val="dashed"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,391</w:t>
            </w:r>
          </w:p>
        </w:tc>
        <w:tc>
          <w:tcPr>
            <w:tcW w:w="0" w:type="auto"/>
            <w:tcBorders>
              <w:top w:val="nil"/>
              <w:left w:val="nil"/>
              <w:bottom w:val="dashed"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r>
      <w:tr w:rsidR="003072D7" w:rsidRPr="00744677" w:rsidTr="003072D7">
        <w:trPr>
          <w:trHeight w:val="300"/>
        </w:trPr>
        <w:tc>
          <w:tcPr>
            <w:tcW w:w="0" w:type="auto"/>
            <w:tcBorders>
              <w:top w:val="dashed" w:sz="4" w:space="0" w:color="auto"/>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Human Capital: Education</w:t>
            </w:r>
          </w:p>
        </w:tc>
        <w:tc>
          <w:tcPr>
            <w:tcW w:w="0" w:type="auto"/>
            <w:tcBorders>
              <w:top w:val="dashed" w:sz="4" w:space="0" w:color="auto"/>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val="en-US" w:eastAsia="de-DE"/>
              </w:rPr>
            </w:pPr>
            <w:r w:rsidRPr="006B3A92">
              <w:rPr>
                <w:rFonts w:ascii="Calibri" w:eastAsia="Times New Roman" w:hAnsi="Calibri" w:cs="Calibri"/>
                <w:color w:val="000000"/>
                <w:sz w:val="20"/>
                <w:szCs w:val="20"/>
                <w:lang w:val="en-US" w:eastAsia="de-DE"/>
              </w:rPr>
              <w:t>Tertiary (Ref.: lower than tertiary)</w:t>
            </w:r>
          </w:p>
        </w:tc>
        <w:tc>
          <w:tcPr>
            <w:tcW w:w="0" w:type="auto"/>
            <w:tcBorders>
              <w:top w:val="dashed" w:sz="4" w:space="0" w:color="auto"/>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dashed" w:sz="4" w:space="0" w:color="auto"/>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dashed" w:sz="4" w:space="0" w:color="auto"/>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Job </w:t>
            </w:r>
            <w:proofErr w:type="spellStart"/>
            <w:r w:rsidRPr="006B3A92">
              <w:rPr>
                <w:rFonts w:ascii="Calibri" w:eastAsia="Times New Roman" w:hAnsi="Calibri" w:cs="Calibri"/>
                <w:color w:val="000000"/>
                <w:sz w:val="20"/>
                <w:szCs w:val="20"/>
                <w:lang w:eastAsia="de-DE"/>
              </w:rPr>
              <w:t>characteristics</w:t>
            </w:r>
            <w:proofErr w:type="spellEnd"/>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High </w:t>
            </w:r>
            <w:proofErr w:type="spellStart"/>
            <w:r w:rsidRPr="006B3A92">
              <w:rPr>
                <w:rFonts w:ascii="Calibri" w:eastAsia="Times New Roman" w:hAnsi="Calibri" w:cs="Calibri"/>
                <w:color w:val="000000"/>
                <w:sz w:val="20"/>
                <w:szCs w:val="20"/>
                <w:lang w:eastAsia="de-DE"/>
              </w:rPr>
              <w:t>job</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satisfcation</w:t>
            </w:r>
            <w:proofErr w:type="spellEnd"/>
          </w:p>
        </w:tc>
        <w:tc>
          <w:tcPr>
            <w:tcW w:w="0" w:type="auto"/>
            <w:tcBorders>
              <w:top w:val="nil"/>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-0,58</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Poor </w:t>
            </w:r>
            <w:proofErr w:type="spellStart"/>
            <w:r w:rsidRPr="006B3A92">
              <w:rPr>
                <w:rFonts w:ascii="Calibri" w:eastAsia="Times New Roman" w:hAnsi="Calibri" w:cs="Calibri"/>
                <w:color w:val="000000"/>
                <w:sz w:val="20"/>
                <w:szCs w:val="20"/>
                <w:lang w:eastAsia="de-DE"/>
              </w:rPr>
              <w:t>job</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security</w:t>
            </w:r>
            <w:proofErr w:type="spellEnd"/>
          </w:p>
        </w:tc>
        <w:tc>
          <w:tcPr>
            <w:tcW w:w="0" w:type="auto"/>
            <w:tcBorders>
              <w:top w:val="nil"/>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0,434</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Little </w:t>
            </w:r>
            <w:proofErr w:type="spellStart"/>
            <w:r w:rsidRPr="006B3A92">
              <w:rPr>
                <w:rFonts w:ascii="Calibri" w:eastAsia="Times New Roman" w:hAnsi="Calibri" w:cs="Calibri"/>
                <w:color w:val="000000"/>
                <w:sz w:val="20"/>
                <w:szCs w:val="20"/>
                <w:lang w:eastAsia="de-DE"/>
              </w:rPr>
              <w:t>freedom</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of</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choice</w:t>
            </w:r>
            <w:proofErr w:type="spellEnd"/>
          </w:p>
        </w:tc>
        <w:tc>
          <w:tcPr>
            <w:tcW w:w="0" w:type="auto"/>
            <w:tcBorders>
              <w:top w:val="nil"/>
              <w:left w:val="single" w:sz="4" w:space="0" w:color="auto"/>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p>
        </w:tc>
        <w:tc>
          <w:tcPr>
            <w:tcW w:w="0" w:type="auto"/>
            <w:tcBorders>
              <w:top w:val="nil"/>
              <w:left w:val="nil"/>
              <w:bottom w:val="nil"/>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0,216</w:t>
            </w:r>
          </w:p>
        </w:tc>
        <w:tc>
          <w:tcPr>
            <w:tcW w:w="0" w:type="auto"/>
            <w:tcBorders>
              <w:top w:val="nil"/>
              <w:left w:val="nil"/>
              <w:bottom w:val="nil"/>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r>
      <w:tr w:rsidR="003072D7" w:rsidRPr="006B3A92" w:rsidTr="003072D7">
        <w:trPr>
          <w:trHeight w:val="300"/>
        </w:trPr>
        <w:tc>
          <w:tcPr>
            <w:tcW w:w="0" w:type="auto"/>
            <w:tcBorders>
              <w:top w:val="nil"/>
              <w:left w:val="nil"/>
              <w:bottom w:val="single"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single"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val="en-US" w:eastAsia="de-DE"/>
              </w:rPr>
            </w:pPr>
            <w:r w:rsidRPr="006B3A92">
              <w:rPr>
                <w:rFonts w:ascii="Calibri" w:eastAsia="Times New Roman" w:hAnsi="Calibri" w:cs="Calibri"/>
                <w:color w:val="000000"/>
                <w:sz w:val="20"/>
                <w:szCs w:val="20"/>
                <w:lang w:val="en-US" w:eastAsia="de-DE"/>
              </w:rPr>
              <w:t>Work time: 40 hours and more (ref)</w:t>
            </w:r>
          </w:p>
        </w:tc>
        <w:tc>
          <w:tcPr>
            <w:tcW w:w="0" w:type="auto"/>
            <w:tcBorders>
              <w:top w:val="nil"/>
              <w:left w:val="single" w:sz="4" w:space="0" w:color="auto"/>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nil"/>
              <w:left w:val="nil"/>
              <w:bottom w:val="single"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val="en-US" w:eastAsia="de-DE"/>
              </w:rPr>
            </w:pPr>
          </w:p>
        </w:tc>
        <w:tc>
          <w:tcPr>
            <w:tcW w:w="0" w:type="auto"/>
            <w:tcBorders>
              <w:top w:val="nil"/>
              <w:left w:val="nil"/>
              <w:bottom w:val="single" w:sz="4" w:space="0" w:color="auto"/>
              <w:right w:val="nil"/>
            </w:tcBorders>
            <w:shd w:val="clear" w:color="auto" w:fill="auto"/>
            <w:noWrap/>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-0,43</w:t>
            </w:r>
          </w:p>
        </w:tc>
        <w:tc>
          <w:tcPr>
            <w:tcW w:w="0" w:type="auto"/>
            <w:tcBorders>
              <w:top w:val="nil"/>
              <w:left w:val="nil"/>
              <w:bottom w:val="single" w:sz="4" w:space="0" w:color="auto"/>
              <w:right w:val="nil"/>
            </w:tcBorders>
            <w:shd w:val="clear" w:color="auto" w:fill="auto"/>
            <w:noWrap/>
            <w:vAlign w:val="center"/>
            <w:hideMark/>
          </w:tcPr>
          <w:p w:rsidR="003072D7" w:rsidRPr="006B3A92" w:rsidRDefault="003072D7" w:rsidP="003072D7">
            <w:pPr>
              <w:spacing w:after="0" w:line="240" w:lineRule="auto"/>
              <w:jc w:val="both"/>
              <w:rPr>
                <w:rFonts w:eastAsia="Times New Roman" w:cstheme="minorHAnsi"/>
                <w:color w:val="000000"/>
                <w:sz w:val="20"/>
                <w:szCs w:val="20"/>
                <w:lang w:eastAsia="de-DE"/>
              </w:rPr>
            </w:pPr>
            <w:r w:rsidRPr="006B3A92">
              <w:rPr>
                <w:rFonts w:eastAsia="Times New Roman" w:cstheme="minorHAnsi"/>
                <w:color w:val="000000"/>
                <w:sz w:val="20"/>
                <w:szCs w:val="20"/>
                <w:lang w:eastAsia="de-DE"/>
              </w:rPr>
              <w:t>+</w:t>
            </w:r>
          </w:p>
        </w:tc>
      </w:tr>
    </w:tbl>
    <w:p w:rsidR="003072D7" w:rsidRDefault="003072D7" w:rsidP="003072D7">
      <w:pPr>
        <w:pStyle w:val="Listenabsatz"/>
        <w:ind w:left="0"/>
        <w:jc w:val="both"/>
        <w:rPr>
          <w:rFonts w:cstheme="minorHAnsi"/>
          <w:sz w:val="20"/>
          <w:szCs w:val="20"/>
          <w:lang w:val="en-GB"/>
        </w:rPr>
      </w:pPr>
      <w:r>
        <w:rPr>
          <w:sz w:val="20"/>
          <w:szCs w:val="20"/>
          <w:lang w:val="en-GB"/>
        </w:rPr>
        <w:br w:type="textWrapping" w:clear="all"/>
        <w:t xml:space="preserve">Source: SHARE: Wave 1 &amp; 2, Own calculations, *** </w:t>
      </w:r>
      <w:r>
        <w:rPr>
          <w:rFonts w:cstheme="minorHAnsi"/>
          <w:sz w:val="20"/>
          <w:szCs w:val="20"/>
          <w:lang w:val="en-GB"/>
        </w:rPr>
        <w:t xml:space="preserve">α ≤ 0,001, </w:t>
      </w:r>
      <w:r>
        <w:rPr>
          <w:sz w:val="20"/>
          <w:szCs w:val="20"/>
          <w:lang w:val="en-GB"/>
        </w:rPr>
        <w:t xml:space="preserve">** </w:t>
      </w:r>
      <w:r>
        <w:rPr>
          <w:rFonts w:cstheme="minorHAnsi"/>
          <w:sz w:val="20"/>
          <w:szCs w:val="20"/>
          <w:lang w:val="en-GB"/>
        </w:rPr>
        <w:t>α ≤ 0</w:t>
      </w:r>
      <w:proofErr w:type="gramStart"/>
      <w:r>
        <w:rPr>
          <w:rFonts w:cstheme="minorHAnsi"/>
          <w:sz w:val="20"/>
          <w:szCs w:val="20"/>
          <w:lang w:val="en-GB"/>
        </w:rPr>
        <w:t>,01</w:t>
      </w:r>
      <w:proofErr w:type="gramEnd"/>
      <w:r>
        <w:rPr>
          <w:rFonts w:cstheme="minorHAnsi"/>
          <w:sz w:val="20"/>
          <w:szCs w:val="20"/>
          <w:lang w:val="en-GB"/>
        </w:rPr>
        <w:t xml:space="preserve">, </w:t>
      </w:r>
      <w:r>
        <w:rPr>
          <w:sz w:val="20"/>
          <w:szCs w:val="20"/>
          <w:lang w:val="en-GB"/>
        </w:rPr>
        <w:t xml:space="preserve">* </w:t>
      </w:r>
      <w:r>
        <w:rPr>
          <w:rFonts w:cstheme="minorHAnsi"/>
          <w:sz w:val="20"/>
          <w:szCs w:val="20"/>
          <w:lang w:val="en-GB"/>
        </w:rPr>
        <w:t xml:space="preserve">α ≤ 0,05, </w:t>
      </w:r>
      <w:r>
        <w:rPr>
          <w:sz w:val="20"/>
          <w:szCs w:val="20"/>
          <w:lang w:val="en-GB"/>
        </w:rPr>
        <w:t xml:space="preserve">+ </w:t>
      </w:r>
      <w:r>
        <w:rPr>
          <w:rFonts w:cstheme="minorHAnsi"/>
          <w:sz w:val="20"/>
          <w:szCs w:val="20"/>
          <w:lang w:val="en-GB"/>
        </w:rPr>
        <w:t>α ≤ 0,1</w:t>
      </w:r>
    </w:p>
    <w:p w:rsidR="003072D7" w:rsidRDefault="003072D7" w:rsidP="003072D7">
      <w:pPr>
        <w:pStyle w:val="Listenabsatz"/>
        <w:ind w:left="0"/>
        <w:jc w:val="both"/>
        <w:rPr>
          <w:sz w:val="20"/>
          <w:szCs w:val="20"/>
          <w:lang w:val="en-GB"/>
        </w:rPr>
        <w:sectPr w:rsidR="003072D7" w:rsidSect="003072D7">
          <w:pgSz w:w="16838" w:h="11906" w:orient="landscape"/>
          <w:pgMar w:top="1418" w:right="1418" w:bottom="1418" w:left="1134" w:header="709" w:footer="709" w:gutter="0"/>
          <w:cols w:space="708"/>
          <w:docGrid w:linePitch="360"/>
        </w:sectPr>
      </w:pPr>
    </w:p>
    <w:p w:rsidR="008C232A" w:rsidRDefault="008C232A" w:rsidP="008C232A">
      <w:pPr>
        <w:pStyle w:val="Listenabsatz"/>
        <w:ind w:left="0"/>
        <w:jc w:val="both"/>
        <w:rPr>
          <w:lang w:val="en-GB"/>
        </w:rPr>
      </w:pPr>
      <w:r w:rsidRPr="003072D7">
        <w:rPr>
          <w:lang w:val="en-GB"/>
        </w:rPr>
        <w:lastRenderedPageBreak/>
        <w:t xml:space="preserve">The same appears to be true for those workers with a high job satisfaction and – though somewhat less pronounced – for those showing a high </w:t>
      </w:r>
      <w:r>
        <w:rPr>
          <w:lang w:val="en-GB"/>
        </w:rPr>
        <w:t>employment</w:t>
      </w:r>
      <w:r w:rsidRPr="003072D7">
        <w:rPr>
          <w:lang w:val="en-GB"/>
        </w:rPr>
        <w:t xml:space="preserve"> commitment</w:t>
      </w:r>
      <w:r>
        <w:rPr>
          <w:lang w:val="en-GB"/>
        </w:rPr>
        <w:t xml:space="preserve">. </w:t>
      </w:r>
      <w:r w:rsidRPr="003072D7">
        <w:rPr>
          <w:lang w:val="en-GB"/>
        </w:rPr>
        <w:t xml:space="preserve">In contrast, those </w:t>
      </w:r>
      <w:r>
        <w:rPr>
          <w:lang w:val="en-GB"/>
        </w:rPr>
        <w:t>who</w:t>
      </w:r>
      <w:r w:rsidRPr="003072D7">
        <w:rPr>
          <w:lang w:val="en-GB"/>
        </w:rPr>
        <w:t xml:space="preserve"> perceive their own job to be unstable or that report to have little choice in their daily work seem to be more likely to make use of early exit options.</w:t>
      </w:r>
    </w:p>
    <w:p w:rsidR="008C232A" w:rsidRDefault="008C232A" w:rsidP="008C232A">
      <w:pPr>
        <w:pStyle w:val="Listenabsatz"/>
        <w:ind w:left="0"/>
        <w:jc w:val="both"/>
        <w:rPr>
          <w:lang w:val="en-GB"/>
        </w:rPr>
      </w:pPr>
      <w:r w:rsidRPr="003072D7">
        <w:rPr>
          <w:lang w:val="en-GB"/>
        </w:rPr>
        <w:t>Both individual and firm-level predictors further increase the explanatory power of the logistic regression model. The results reported in Table 2 thus indicate that institutional, firm-level and individual characteristics indeed interact to influence the employment and retirement behaviour of older European workers.</w:t>
      </w:r>
    </w:p>
    <w:p w:rsidR="003072D7" w:rsidRPr="003072D7" w:rsidRDefault="003072D7" w:rsidP="00D9602E">
      <w:pPr>
        <w:pStyle w:val="Listenabsatz"/>
        <w:ind w:left="0"/>
        <w:jc w:val="both"/>
        <w:rPr>
          <w:lang w:val="en-GB"/>
        </w:rPr>
      </w:pPr>
      <w:r w:rsidRPr="003072D7">
        <w:rPr>
          <w:lang w:val="en-GB"/>
        </w:rPr>
        <w:t xml:space="preserve">However, </w:t>
      </w:r>
      <w:r w:rsidRPr="008B3D19">
        <w:rPr>
          <w:i/>
          <w:lang w:val="en-GB"/>
        </w:rPr>
        <w:t>per se</w:t>
      </w:r>
      <w:r w:rsidRPr="003072D7">
        <w:rPr>
          <w:lang w:val="en-GB"/>
        </w:rPr>
        <w:t xml:space="preserve"> the results say little about whether those older workers that have left employment have done so </w:t>
      </w:r>
      <w:r w:rsidR="008B3D19">
        <w:rPr>
          <w:lang w:val="en-GB"/>
        </w:rPr>
        <w:t>at</w:t>
      </w:r>
      <w:r w:rsidRPr="003072D7">
        <w:rPr>
          <w:lang w:val="en-GB"/>
        </w:rPr>
        <w:t xml:space="preserve"> their own discretion or</w:t>
      </w:r>
      <w:r w:rsidR="008B3D19">
        <w:rPr>
          <w:lang w:val="en-GB"/>
        </w:rPr>
        <w:t xml:space="preserve"> whether they</w:t>
      </w:r>
      <w:r w:rsidRPr="003072D7">
        <w:rPr>
          <w:lang w:val="en-GB"/>
        </w:rPr>
        <w:t xml:space="preserve"> were pushed out of employment, </w:t>
      </w:r>
      <w:r w:rsidR="008B3D19">
        <w:rPr>
          <w:lang w:val="en-GB"/>
        </w:rPr>
        <w:t>respectively</w:t>
      </w:r>
      <w:r w:rsidRPr="003072D7">
        <w:rPr>
          <w:lang w:val="en-GB"/>
        </w:rPr>
        <w:t xml:space="preserve"> which predictors are decisive for one or the other exit alternative.</w:t>
      </w:r>
    </w:p>
    <w:p w:rsidR="003072D7" w:rsidRPr="003072D7" w:rsidRDefault="003072D7" w:rsidP="003072D7">
      <w:pPr>
        <w:pStyle w:val="Listenabsatz"/>
        <w:ind w:left="0"/>
        <w:jc w:val="both"/>
        <w:rPr>
          <w:lang w:val="en-GB"/>
        </w:rPr>
      </w:pPr>
      <w:r w:rsidRPr="003072D7">
        <w:rPr>
          <w:lang w:val="en-GB"/>
        </w:rPr>
        <w:t xml:space="preserve">To investigate </w:t>
      </w:r>
      <w:r w:rsidR="008B3D19">
        <w:rPr>
          <w:lang w:val="en-GB"/>
        </w:rPr>
        <w:t>this aspect</w:t>
      </w:r>
      <w:r w:rsidRPr="003072D7">
        <w:rPr>
          <w:lang w:val="en-GB"/>
        </w:rPr>
        <w:t xml:space="preserve"> in more detail, Tables 3a and 3b break down the regression model into voluntary and involuntary employment exits, using the dichotomous classification outlined in section 3.  Effects for the control variables indicate that involuntary exits appear to be most frequent among men, while women more often seem to leave the labour force voluntarily. Notably, involuntary early exits </w:t>
      </w:r>
      <w:r w:rsidR="008B3D19">
        <w:rPr>
          <w:lang w:val="en-GB"/>
        </w:rPr>
        <w:t xml:space="preserve">are </w:t>
      </w:r>
      <w:r w:rsidRPr="003072D7">
        <w:rPr>
          <w:lang w:val="en-GB"/>
        </w:rPr>
        <w:t xml:space="preserve">more likely among those with lower health. This is surprising </w:t>
      </w:r>
      <w:r w:rsidR="008B3D19">
        <w:rPr>
          <w:lang w:val="en-GB"/>
        </w:rPr>
        <w:t>given that</w:t>
      </w:r>
      <w:r w:rsidRPr="003072D7">
        <w:rPr>
          <w:lang w:val="en-GB"/>
        </w:rPr>
        <w:t xml:space="preserve"> those who actually claim to have left employment </w:t>
      </w:r>
      <w:r w:rsidR="008B3D19">
        <w:rPr>
          <w:lang w:val="en-GB"/>
        </w:rPr>
        <w:t xml:space="preserve">explicitly </w:t>
      </w:r>
      <w:r w:rsidRPr="003072D7">
        <w:rPr>
          <w:lang w:val="en-GB"/>
        </w:rPr>
        <w:t xml:space="preserve">for health reason </w:t>
      </w:r>
      <w:r w:rsidR="008B3D19">
        <w:rPr>
          <w:lang w:val="en-GB"/>
        </w:rPr>
        <w:t>had</w:t>
      </w:r>
      <w:r w:rsidRPr="003072D7">
        <w:rPr>
          <w:lang w:val="en-GB"/>
        </w:rPr>
        <w:t xml:space="preserve"> been removed from the analysis of voluntary vs. involuntary exit (see section 3). It thus seems that those older workers with health problems who cannot use institutionalised pathways to exit from employment are at a higher risk to leave employment involuntarily, likely using more precarious </w:t>
      </w:r>
      <w:r w:rsidR="008B3D19">
        <w:rPr>
          <w:lang w:val="en-GB"/>
        </w:rPr>
        <w:t xml:space="preserve">exit </w:t>
      </w:r>
      <w:r w:rsidRPr="003072D7">
        <w:rPr>
          <w:lang w:val="en-GB"/>
        </w:rPr>
        <w:t>pathways.</w:t>
      </w:r>
    </w:p>
    <w:p w:rsidR="003072D7" w:rsidRPr="003072D7" w:rsidRDefault="003072D7" w:rsidP="003072D7">
      <w:pPr>
        <w:pStyle w:val="Listenabsatz"/>
        <w:ind w:left="0"/>
        <w:jc w:val="both"/>
        <w:rPr>
          <w:lang w:val="en-GB"/>
        </w:rPr>
      </w:pPr>
      <w:r w:rsidRPr="003072D7">
        <w:rPr>
          <w:lang w:val="en-GB"/>
        </w:rPr>
        <w:t xml:space="preserve">In line with the previous findings, Tables 3a and 3b confirm that </w:t>
      </w:r>
      <w:r w:rsidR="008B3D19">
        <w:rPr>
          <w:lang w:val="en-GB"/>
        </w:rPr>
        <w:t xml:space="preserve">when controlling for basic socio-demographic characteristics, </w:t>
      </w:r>
      <w:r w:rsidRPr="003072D7">
        <w:rPr>
          <w:lang w:val="en-GB"/>
        </w:rPr>
        <w:t>employees in social-democratic and – to a lesser extent – liberal countries are less likely to exit either into volu</w:t>
      </w:r>
      <w:r w:rsidR="008B3D19">
        <w:rPr>
          <w:lang w:val="en-GB"/>
        </w:rPr>
        <w:t>ntary or involuntary early exit;</w:t>
      </w:r>
      <w:r w:rsidRPr="003072D7">
        <w:rPr>
          <w:lang w:val="en-GB"/>
        </w:rPr>
        <w:t xml:space="preserve"> likely </w:t>
      </w:r>
      <w:r w:rsidR="008B3D19">
        <w:rPr>
          <w:lang w:val="en-GB"/>
        </w:rPr>
        <w:t>reflecting</w:t>
      </w:r>
      <w:r w:rsidRPr="003072D7">
        <w:rPr>
          <w:lang w:val="en-GB"/>
        </w:rPr>
        <w:t xml:space="preserve"> </w:t>
      </w:r>
      <w:r w:rsidR="008B3D19">
        <w:rPr>
          <w:lang w:val="en-GB"/>
        </w:rPr>
        <w:t>the significance of</w:t>
      </w:r>
      <w:r w:rsidRPr="003072D7">
        <w:rPr>
          <w:lang w:val="en-GB"/>
        </w:rPr>
        <w:t xml:space="preserve"> training policies and low levels of unemployment at the time of the interview. </w:t>
      </w:r>
      <w:proofErr w:type="gramStart"/>
      <w:r w:rsidRPr="003072D7">
        <w:rPr>
          <w:lang w:val="en-GB"/>
        </w:rPr>
        <w:t>Among  early</w:t>
      </w:r>
      <w:proofErr w:type="gramEnd"/>
      <w:r w:rsidRPr="003072D7">
        <w:rPr>
          <w:lang w:val="en-GB"/>
        </w:rPr>
        <w:t xml:space="preserve"> exit countries, however, results point to notable differences in the quality of employment withdrawal. While older workers in Southern European countries exit more often voluntar</w:t>
      </w:r>
      <w:r w:rsidR="009A41F0">
        <w:rPr>
          <w:lang w:val="en-GB"/>
        </w:rPr>
        <w:t>il</w:t>
      </w:r>
      <w:r w:rsidRPr="003072D7">
        <w:rPr>
          <w:lang w:val="en-GB"/>
        </w:rPr>
        <w:t xml:space="preserve">y, involuntary </w:t>
      </w:r>
      <w:proofErr w:type="gramStart"/>
      <w:r w:rsidRPr="003072D7">
        <w:rPr>
          <w:lang w:val="en-GB"/>
        </w:rPr>
        <w:t>transition loom</w:t>
      </w:r>
      <w:proofErr w:type="gramEnd"/>
      <w:r w:rsidRPr="003072D7">
        <w:rPr>
          <w:lang w:val="en-GB"/>
        </w:rPr>
        <w:t xml:space="preserve"> large among older workers in conservative countries. More differentiated effects for single institutional factors suggest that this pattern may be due to the higher level of pension generosity and the low retirement ages in </w:t>
      </w:r>
      <w:r w:rsidR="009A41F0">
        <w:rPr>
          <w:lang w:val="en-GB"/>
        </w:rPr>
        <w:t>Southern Europe</w:t>
      </w:r>
      <w:r w:rsidRPr="003072D7">
        <w:rPr>
          <w:lang w:val="en-GB"/>
        </w:rPr>
        <w:t xml:space="preserve"> which </w:t>
      </w:r>
      <w:proofErr w:type="gramStart"/>
      <w:r w:rsidRPr="003072D7">
        <w:rPr>
          <w:lang w:val="en-GB"/>
        </w:rPr>
        <w:t>provide</w:t>
      </w:r>
      <w:proofErr w:type="gramEnd"/>
      <w:r w:rsidRPr="003072D7">
        <w:rPr>
          <w:lang w:val="en-GB"/>
        </w:rPr>
        <w:t xml:space="preserve"> considerable incentives for early retirement. Effects for employment protection confirm </w:t>
      </w:r>
      <w:r w:rsidR="009A41F0">
        <w:rPr>
          <w:lang w:val="en-GB"/>
        </w:rPr>
        <w:t xml:space="preserve">its </w:t>
      </w:r>
      <w:r w:rsidRPr="003072D7">
        <w:rPr>
          <w:lang w:val="en-GB"/>
        </w:rPr>
        <w:t xml:space="preserve">sheltering </w:t>
      </w:r>
      <w:r w:rsidR="009A41F0">
        <w:rPr>
          <w:lang w:val="en-GB"/>
        </w:rPr>
        <w:t>effect</w:t>
      </w:r>
      <w:r w:rsidRPr="003072D7">
        <w:rPr>
          <w:lang w:val="en-GB"/>
        </w:rPr>
        <w:t xml:space="preserve"> for employment.</w:t>
      </w:r>
    </w:p>
    <w:p w:rsidR="003072D7" w:rsidRPr="003072D7" w:rsidRDefault="003072D7" w:rsidP="003072D7">
      <w:pPr>
        <w:pStyle w:val="Listenabsatz"/>
        <w:ind w:left="0"/>
        <w:jc w:val="both"/>
        <w:rPr>
          <w:lang w:val="en-GB"/>
        </w:rPr>
      </w:pPr>
      <w:r w:rsidRPr="003072D7">
        <w:rPr>
          <w:lang w:val="en-GB"/>
        </w:rPr>
        <w:t xml:space="preserve">At the firm-level, tertiary sector employment tends to protect against both voluntary and involuntary employment withdrawal. </w:t>
      </w:r>
      <w:r w:rsidR="009A41F0">
        <w:rPr>
          <w:lang w:val="en-GB"/>
        </w:rPr>
        <w:t xml:space="preserve">Furthermore, </w:t>
      </w:r>
      <w:r w:rsidRPr="003072D7">
        <w:rPr>
          <w:lang w:val="en-GB"/>
        </w:rPr>
        <w:t xml:space="preserve">older workers in large firms are at a higher risk to be ‘pushed’ into early exit against their will. </w:t>
      </w:r>
    </w:p>
    <w:p w:rsidR="003072D7" w:rsidRPr="003072D7" w:rsidRDefault="003072D7" w:rsidP="003072D7">
      <w:pPr>
        <w:pStyle w:val="Listenabsatz"/>
        <w:ind w:left="0"/>
        <w:jc w:val="both"/>
        <w:rPr>
          <w:lang w:val="en-GB"/>
        </w:rPr>
      </w:pPr>
      <w:r w:rsidRPr="003072D7">
        <w:rPr>
          <w:lang w:val="en-GB"/>
        </w:rPr>
        <w:t xml:space="preserve">At the individual level, those with higher education appear to be most effective in avoiding involuntary early exit. Those with a high job satisfaction exit less likely into any type of early exit, </w:t>
      </w:r>
      <w:proofErr w:type="gramStart"/>
      <w:r w:rsidRPr="003072D7">
        <w:rPr>
          <w:lang w:val="en-GB"/>
        </w:rPr>
        <w:t>be</w:t>
      </w:r>
      <w:proofErr w:type="gramEnd"/>
      <w:r w:rsidRPr="003072D7">
        <w:rPr>
          <w:lang w:val="en-GB"/>
        </w:rPr>
        <w:t xml:space="preserve"> it voluntary or involuntary. The opposite is true for those with a lower job security which are less likely to continue working. Those </w:t>
      </w:r>
      <w:proofErr w:type="gramStart"/>
      <w:r w:rsidRPr="003072D7">
        <w:rPr>
          <w:lang w:val="en-GB"/>
        </w:rPr>
        <w:t>workers,</w:t>
      </w:r>
      <w:proofErr w:type="gramEnd"/>
      <w:r w:rsidRPr="003072D7">
        <w:rPr>
          <w:lang w:val="en-GB"/>
        </w:rPr>
        <w:t xml:space="preserve"> and especially those with little freedom in their daily work </w:t>
      </w:r>
      <w:r w:rsidR="009A41F0">
        <w:rPr>
          <w:lang w:val="en-GB"/>
        </w:rPr>
        <w:t>form a</w:t>
      </w:r>
      <w:r w:rsidRPr="003072D7">
        <w:rPr>
          <w:lang w:val="en-GB"/>
        </w:rPr>
        <w:t xml:space="preserve"> vulnerable group of workers that run a high risk to exit employment against their preferences.   </w:t>
      </w:r>
    </w:p>
    <w:p w:rsidR="003072D7" w:rsidRPr="003072D7" w:rsidRDefault="009A41F0" w:rsidP="008C232A">
      <w:pPr>
        <w:pStyle w:val="Listenabsatz"/>
        <w:ind w:left="0"/>
        <w:jc w:val="both"/>
        <w:rPr>
          <w:lang w:val="en-GB"/>
        </w:rPr>
      </w:pPr>
      <w:r w:rsidRPr="003072D7">
        <w:rPr>
          <w:lang w:val="en-GB"/>
        </w:rPr>
        <w:t xml:space="preserve">Results from Table 3a and 3b thus suggest that there may be rather differential effects of macro-, firm and individual-level predictors on the actual quality of early withdrawal from employment. </w:t>
      </w:r>
    </w:p>
    <w:p w:rsidR="003072D7" w:rsidRDefault="003072D7" w:rsidP="003072D7">
      <w:pPr>
        <w:pStyle w:val="Listenabsatz"/>
        <w:ind w:left="0"/>
        <w:jc w:val="both"/>
        <w:rPr>
          <w:sz w:val="20"/>
          <w:szCs w:val="20"/>
          <w:lang w:val="en-GB"/>
        </w:rPr>
        <w:sectPr w:rsidR="003072D7" w:rsidSect="003072D7">
          <w:pgSz w:w="11906" w:h="16838"/>
          <w:pgMar w:top="1418" w:right="1418" w:bottom="1134" w:left="1418" w:header="709" w:footer="709" w:gutter="0"/>
          <w:cols w:space="708"/>
          <w:docGrid w:linePitch="360"/>
        </w:sectPr>
      </w:pPr>
    </w:p>
    <w:p w:rsidR="003072D7" w:rsidRPr="006B3A92" w:rsidRDefault="003072D7" w:rsidP="003072D7">
      <w:pPr>
        <w:pStyle w:val="Listenabsatz"/>
        <w:ind w:left="0"/>
        <w:jc w:val="both"/>
        <w:rPr>
          <w:sz w:val="20"/>
          <w:szCs w:val="20"/>
          <w:lang w:val="en-GB"/>
        </w:rPr>
      </w:pPr>
      <w:r>
        <w:rPr>
          <w:sz w:val="20"/>
          <w:szCs w:val="20"/>
          <w:lang w:val="en-GB"/>
        </w:rPr>
        <w:lastRenderedPageBreak/>
        <w:t>Table 3a: Multinomial logistic regression: Voluntary Exit from employment no non-employment</w:t>
      </w:r>
    </w:p>
    <w:tbl>
      <w:tblPr>
        <w:tblpPr w:leftFromText="141" w:rightFromText="141" w:vertAnchor="text" w:tblpY="1"/>
        <w:tblOverlap w:val="never"/>
        <w:tblW w:w="0" w:type="auto"/>
        <w:tblInd w:w="55" w:type="dxa"/>
        <w:tblCellMar>
          <w:left w:w="70" w:type="dxa"/>
          <w:right w:w="70" w:type="dxa"/>
        </w:tblCellMar>
        <w:tblLook w:val="04A0" w:firstRow="1" w:lastRow="0" w:firstColumn="1" w:lastColumn="0" w:noHBand="0" w:noVBand="1"/>
      </w:tblPr>
      <w:tblGrid>
        <w:gridCol w:w="2341"/>
        <w:gridCol w:w="3150"/>
        <w:gridCol w:w="596"/>
        <w:gridCol w:w="439"/>
        <w:gridCol w:w="657"/>
        <w:gridCol w:w="439"/>
        <w:gridCol w:w="596"/>
        <w:gridCol w:w="439"/>
        <w:gridCol w:w="657"/>
        <w:gridCol w:w="439"/>
        <w:gridCol w:w="596"/>
        <w:gridCol w:w="439"/>
        <w:gridCol w:w="657"/>
        <w:gridCol w:w="439"/>
        <w:gridCol w:w="657"/>
        <w:gridCol w:w="439"/>
      </w:tblGrid>
      <w:tr w:rsidR="003072D7" w:rsidRPr="006B3A92" w:rsidTr="003072D7">
        <w:trPr>
          <w:trHeight w:val="300"/>
        </w:trPr>
        <w:tc>
          <w:tcPr>
            <w:tcW w:w="0" w:type="auto"/>
            <w:tcBorders>
              <w:top w:val="single" w:sz="4" w:space="0" w:color="auto"/>
              <w:left w:val="nil"/>
              <w:bottom w:val="single"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val="en-US" w:eastAsia="de-DE"/>
              </w:rPr>
            </w:pP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Model</w:t>
            </w:r>
          </w:p>
        </w:tc>
        <w:tc>
          <w:tcPr>
            <w:tcW w:w="0" w:type="auto"/>
            <w:tcBorders>
              <w:top w:val="single" w:sz="4" w:space="0" w:color="auto"/>
              <w:left w:val="single" w:sz="4" w:space="0" w:color="auto"/>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M1</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M2</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M3</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M4</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M5</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M6</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M7</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single" w:sz="4" w:space="0" w:color="auto"/>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single" w:sz="4" w:space="0" w:color="auto"/>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N</w:t>
            </w:r>
          </w:p>
        </w:tc>
        <w:tc>
          <w:tcPr>
            <w:tcW w:w="0" w:type="auto"/>
            <w:tcBorders>
              <w:top w:val="single" w:sz="4" w:space="0" w:color="auto"/>
              <w:left w:val="single" w:sz="4" w:space="0" w:color="auto"/>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3211</w:t>
            </w:r>
          </w:p>
        </w:tc>
        <w:tc>
          <w:tcPr>
            <w:tcW w:w="0" w:type="auto"/>
            <w:tcBorders>
              <w:top w:val="single"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3211</w:t>
            </w:r>
          </w:p>
        </w:tc>
        <w:tc>
          <w:tcPr>
            <w:tcW w:w="0" w:type="auto"/>
            <w:tcBorders>
              <w:top w:val="single"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sz w:val="20"/>
                <w:szCs w:val="20"/>
              </w:rPr>
            </w:pPr>
            <w:r w:rsidRPr="00AF54CC">
              <w:rPr>
                <w:rFonts w:cstheme="minorHAnsi"/>
                <w:sz w:val="20"/>
                <w:szCs w:val="20"/>
              </w:rPr>
              <w:t>3211</w:t>
            </w:r>
          </w:p>
        </w:tc>
        <w:tc>
          <w:tcPr>
            <w:tcW w:w="0" w:type="auto"/>
            <w:tcBorders>
              <w:top w:val="single"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sz w:val="20"/>
                <w:szCs w:val="20"/>
              </w:rPr>
            </w:pPr>
            <w:r w:rsidRPr="00AF54CC">
              <w:rPr>
                <w:rFonts w:cstheme="minorHAnsi"/>
                <w:sz w:val="20"/>
                <w:szCs w:val="20"/>
              </w:rPr>
              <w:t>3211</w:t>
            </w:r>
          </w:p>
        </w:tc>
        <w:tc>
          <w:tcPr>
            <w:tcW w:w="0" w:type="auto"/>
            <w:tcBorders>
              <w:top w:val="single"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3211</w:t>
            </w:r>
          </w:p>
        </w:tc>
        <w:tc>
          <w:tcPr>
            <w:tcW w:w="0" w:type="auto"/>
            <w:tcBorders>
              <w:top w:val="single"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3211</w:t>
            </w:r>
          </w:p>
        </w:tc>
        <w:tc>
          <w:tcPr>
            <w:tcW w:w="0" w:type="auto"/>
            <w:tcBorders>
              <w:top w:val="single"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3191</w:t>
            </w:r>
          </w:p>
        </w:tc>
        <w:tc>
          <w:tcPr>
            <w:tcW w:w="0" w:type="auto"/>
            <w:tcBorders>
              <w:top w:val="single"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single"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single"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R-</w:t>
            </w:r>
            <w:proofErr w:type="spellStart"/>
            <w:r w:rsidRPr="006B3A92">
              <w:rPr>
                <w:rFonts w:ascii="Calibri" w:eastAsia="Times New Roman" w:hAnsi="Calibri" w:cs="Calibri"/>
                <w:color w:val="000000"/>
                <w:sz w:val="20"/>
                <w:szCs w:val="20"/>
                <w:lang w:eastAsia="de-DE"/>
              </w:rPr>
              <w:t>square</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Nagelkerke</w:t>
            </w:r>
            <w:proofErr w:type="spellEnd"/>
            <w:r w:rsidRPr="006B3A92">
              <w:rPr>
                <w:rFonts w:ascii="Calibri" w:eastAsia="Times New Roman" w:hAnsi="Calibri" w:cs="Calibri"/>
                <w:color w:val="000000"/>
                <w:sz w:val="20"/>
                <w:szCs w:val="20"/>
                <w:lang w:eastAsia="de-DE"/>
              </w:rPr>
              <w:t>)</w:t>
            </w:r>
          </w:p>
        </w:tc>
        <w:tc>
          <w:tcPr>
            <w:tcW w:w="0" w:type="auto"/>
            <w:tcBorders>
              <w:top w:val="nil"/>
              <w:left w:val="single" w:sz="4" w:space="0" w:color="auto"/>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0,109</w:t>
            </w:r>
          </w:p>
        </w:tc>
        <w:tc>
          <w:tcPr>
            <w:tcW w:w="0" w:type="auto"/>
            <w:tcBorders>
              <w:top w:val="nil"/>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0,139</w:t>
            </w:r>
          </w:p>
        </w:tc>
        <w:tc>
          <w:tcPr>
            <w:tcW w:w="0" w:type="auto"/>
            <w:tcBorders>
              <w:top w:val="nil"/>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0,117</w:t>
            </w:r>
          </w:p>
        </w:tc>
        <w:tc>
          <w:tcPr>
            <w:tcW w:w="0" w:type="auto"/>
            <w:tcBorders>
              <w:top w:val="nil"/>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0,115</w:t>
            </w:r>
          </w:p>
        </w:tc>
        <w:tc>
          <w:tcPr>
            <w:tcW w:w="0" w:type="auto"/>
            <w:tcBorders>
              <w:top w:val="nil"/>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0,12</w:t>
            </w:r>
          </w:p>
        </w:tc>
        <w:tc>
          <w:tcPr>
            <w:tcW w:w="0" w:type="auto"/>
            <w:tcBorders>
              <w:top w:val="nil"/>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0,151</w:t>
            </w:r>
          </w:p>
        </w:tc>
        <w:tc>
          <w:tcPr>
            <w:tcW w:w="0" w:type="auto"/>
            <w:tcBorders>
              <w:top w:val="nil"/>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0,167</w:t>
            </w:r>
          </w:p>
        </w:tc>
        <w:tc>
          <w:tcPr>
            <w:tcW w:w="0" w:type="auto"/>
            <w:tcBorders>
              <w:top w:val="nil"/>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dashed"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dashed"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Constant</w:t>
            </w:r>
          </w:p>
        </w:tc>
        <w:tc>
          <w:tcPr>
            <w:tcW w:w="0" w:type="auto"/>
            <w:tcBorders>
              <w:top w:val="nil"/>
              <w:left w:val="single" w:sz="4" w:space="0" w:color="auto"/>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-4,08</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-4,839</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1,175</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-4,193</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3,731</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-4,253</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-3,699</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dashed" w:sz="4" w:space="0" w:color="auto"/>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Control</w:t>
            </w:r>
            <w:proofErr w:type="spellEnd"/>
            <w:r w:rsidRPr="006B3A92">
              <w:rPr>
                <w:rFonts w:ascii="Calibri" w:eastAsia="Times New Roman" w:hAnsi="Calibri" w:cs="Calibri"/>
                <w:color w:val="000000"/>
                <w:sz w:val="20"/>
                <w:szCs w:val="20"/>
                <w:lang w:eastAsia="de-DE"/>
              </w:rPr>
              <w:t>: Gender</w:t>
            </w:r>
          </w:p>
        </w:tc>
        <w:tc>
          <w:tcPr>
            <w:tcW w:w="0" w:type="auto"/>
            <w:tcBorders>
              <w:top w:val="dashed" w:sz="4" w:space="0" w:color="auto"/>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Male</w:t>
            </w:r>
          </w:p>
        </w:tc>
        <w:tc>
          <w:tcPr>
            <w:tcW w:w="0" w:type="auto"/>
            <w:tcBorders>
              <w:top w:val="dashed" w:sz="4" w:space="0" w:color="auto"/>
              <w:left w:val="single" w:sz="4" w:space="0" w:color="auto"/>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-,173</w:t>
            </w: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-,295</w:t>
            </w: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dashed" w:sz="4" w:space="0" w:color="auto"/>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-,198</w:t>
            </w: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-,218</w:t>
            </w: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-,207</w:t>
            </w: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-,446</w:t>
            </w: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dashed" w:sz="4" w:space="0" w:color="auto"/>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-,442</w:t>
            </w: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Control</w:t>
            </w:r>
            <w:proofErr w:type="spellEnd"/>
            <w:r w:rsidRPr="006B3A92">
              <w:rPr>
                <w:rFonts w:ascii="Calibri" w:eastAsia="Times New Roman" w:hAnsi="Calibri" w:cs="Calibri"/>
                <w:color w:val="000000"/>
                <w:sz w:val="20"/>
                <w:szCs w:val="20"/>
                <w:lang w:eastAsia="de-DE"/>
              </w:rPr>
              <w:t>: Age</w:t>
            </w: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53-55 </w:t>
            </w:r>
            <w:proofErr w:type="spellStart"/>
            <w:r w:rsidRPr="006B3A92">
              <w:rPr>
                <w:rFonts w:ascii="Calibri" w:eastAsia="Times New Roman" w:hAnsi="Calibri" w:cs="Calibri"/>
                <w:color w:val="000000"/>
                <w:sz w:val="20"/>
                <w:szCs w:val="20"/>
                <w:lang w:eastAsia="de-DE"/>
              </w:rPr>
              <w:t>years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50-52)</w:t>
            </w:r>
          </w:p>
        </w:tc>
        <w:tc>
          <w:tcPr>
            <w:tcW w:w="0" w:type="auto"/>
            <w:tcBorders>
              <w:top w:val="nil"/>
              <w:left w:val="single" w:sz="4" w:space="0" w:color="auto"/>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,607</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,634</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,633</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,607</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,615</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,631</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0,645</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56-58 </w:t>
            </w:r>
            <w:proofErr w:type="spellStart"/>
            <w:r w:rsidRPr="006B3A92">
              <w:rPr>
                <w:rFonts w:ascii="Calibri" w:eastAsia="Times New Roman" w:hAnsi="Calibri" w:cs="Calibri"/>
                <w:color w:val="000000"/>
                <w:sz w:val="20"/>
                <w:szCs w:val="20"/>
                <w:lang w:eastAsia="de-DE"/>
              </w:rPr>
              <w:t>years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50-52)</w:t>
            </w:r>
          </w:p>
        </w:tc>
        <w:tc>
          <w:tcPr>
            <w:tcW w:w="0" w:type="auto"/>
            <w:tcBorders>
              <w:top w:val="nil"/>
              <w:left w:val="single" w:sz="4" w:space="0" w:color="auto"/>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1,759</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1,869</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1,808</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1,824</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1,809</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1,863</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1,899</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59-62 </w:t>
            </w:r>
            <w:proofErr w:type="spellStart"/>
            <w:r w:rsidRPr="006B3A92">
              <w:rPr>
                <w:rFonts w:ascii="Calibri" w:eastAsia="Times New Roman" w:hAnsi="Calibri" w:cs="Calibri"/>
                <w:color w:val="000000"/>
                <w:sz w:val="20"/>
                <w:szCs w:val="20"/>
                <w:lang w:eastAsia="de-DE"/>
              </w:rPr>
              <w:t>years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50-52)</w:t>
            </w:r>
          </w:p>
        </w:tc>
        <w:tc>
          <w:tcPr>
            <w:tcW w:w="0" w:type="auto"/>
            <w:tcBorders>
              <w:top w:val="nil"/>
              <w:left w:val="single" w:sz="4" w:space="0" w:color="auto"/>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2,889</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3,252</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3,109</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2,970</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3,042</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3,283</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3,339</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Control</w:t>
            </w:r>
            <w:proofErr w:type="spellEnd"/>
            <w:r w:rsidRPr="006B3A92">
              <w:rPr>
                <w:rFonts w:ascii="Calibri" w:eastAsia="Times New Roman" w:hAnsi="Calibri" w:cs="Calibri"/>
                <w:color w:val="000000"/>
                <w:sz w:val="20"/>
                <w:szCs w:val="20"/>
                <w:lang w:eastAsia="de-DE"/>
              </w:rPr>
              <w:t xml:space="preserve">: Family </w:t>
            </w:r>
            <w:proofErr w:type="spellStart"/>
            <w:r w:rsidRPr="006B3A92">
              <w:rPr>
                <w:rFonts w:ascii="Calibri" w:eastAsia="Times New Roman" w:hAnsi="Calibri" w:cs="Calibri"/>
                <w:color w:val="000000"/>
                <w:sz w:val="20"/>
                <w:szCs w:val="20"/>
                <w:lang w:eastAsia="de-DE"/>
              </w:rPr>
              <w:t>status</w:t>
            </w:r>
            <w:proofErr w:type="spellEnd"/>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val="en-US" w:eastAsia="de-DE"/>
              </w:rPr>
            </w:pPr>
            <w:r w:rsidRPr="006B3A92">
              <w:rPr>
                <w:rFonts w:ascii="Calibri" w:eastAsia="Times New Roman" w:hAnsi="Calibri" w:cs="Calibri"/>
                <w:color w:val="000000"/>
                <w:sz w:val="20"/>
                <w:szCs w:val="20"/>
                <w:lang w:val="en-US" w:eastAsia="de-DE"/>
              </w:rPr>
              <w:t>No partner  (ref: married/cohabiting)</w:t>
            </w:r>
          </w:p>
        </w:tc>
        <w:tc>
          <w:tcPr>
            <w:tcW w:w="0" w:type="auto"/>
            <w:tcBorders>
              <w:top w:val="nil"/>
              <w:left w:val="single" w:sz="4" w:space="0" w:color="auto"/>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-,507</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-,579</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-,587</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-,513</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-,509</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-,563</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-,567</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r>
      <w:tr w:rsidR="003072D7" w:rsidRPr="006B3A92" w:rsidTr="003072D7">
        <w:trPr>
          <w:trHeight w:val="300"/>
        </w:trPr>
        <w:tc>
          <w:tcPr>
            <w:tcW w:w="0" w:type="auto"/>
            <w:tcBorders>
              <w:top w:val="nil"/>
              <w:left w:val="nil"/>
              <w:bottom w:val="dashed"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Control</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Health</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status</w:t>
            </w:r>
            <w:proofErr w:type="spellEnd"/>
          </w:p>
        </w:tc>
        <w:tc>
          <w:tcPr>
            <w:tcW w:w="0" w:type="auto"/>
            <w:tcBorders>
              <w:top w:val="nil"/>
              <w:left w:val="nil"/>
              <w:bottom w:val="dashed"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Less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than</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good</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health</w:t>
            </w:r>
            <w:proofErr w:type="spellEnd"/>
          </w:p>
        </w:tc>
        <w:tc>
          <w:tcPr>
            <w:tcW w:w="0" w:type="auto"/>
            <w:tcBorders>
              <w:top w:val="nil"/>
              <w:left w:val="single" w:sz="4" w:space="0" w:color="auto"/>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,202</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,156</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,192</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,170</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,168</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,135</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,095</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dashed" w:sz="4" w:space="0" w:color="auto"/>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Institutions</w:t>
            </w:r>
            <w:proofErr w:type="spellEnd"/>
            <w:r w:rsidRPr="006B3A92">
              <w:rPr>
                <w:rFonts w:ascii="Calibri" w:eastAsia="Times New Roman" w:hAnsi="Calibri" w:cs="Calibri"/>
                <w:color w:val="000000"/>
                <w:sz w:val="20"/>
                <w:szCs w:val="20"/>
                <w:lang w:eastAsia="de-DE"/>
              </w:rPr>
              <w:t>: Regime</w:t>
            </w:r>
          </w:p>
        </w:tc>
        <w:tc>
          <w:tcPr>
            <w:tcW w:w="0" w:type="auto"/>
            <w:tcBorders>
              <w:top w:val="dashed" w:sz="4" w:space="0" w:color="auto"/>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Liberal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soc</w:t>
            </w:r>
            <w:proofErr w:type="spellEnd"/>
            <w:r w:rsidRPr="006B3A92">
              <w:rPr>
                <w:rFonts w:ascii="Calibri" w:eastAsia="Times New Roman" w:hAnsi="Calibri" w:cs="Calibri"/>
                <w:color w:val="000000"/>
                <w:sz w:val="20"/>
                <w:szCs w:val="20"/>
                <w:lang w:eastAsia="de-DE"/>
              </w:rPr>
              <w:t>-dem.)</w:t>
            </w:r>
          </w:p>
        </w:tc>
        <w:tc>
          <w:tcPr>
            <w:tcW w:w="0" w:type="auto"/>
            <w:tcBorders>
              <w:top w:val="dashed" w:sz="4" w:space="0" w:color="auto"/>
              <w:left w:val="single" w:sz="4" w:space="0" w:color="auto"/>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,750</w:t>
            </w: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dashed" w:sz="4" w:space="0" w:color="auto"/>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,659</w:t>
            </w: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dashed" w:sz="4" w:space="0" w:color="auto"/>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,748</w:t>
            </w: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Conservative</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soc</w:t>
            </w:r>
            <w:proofErr w:type="spellEnd"/>
            <w:r w:rsidRPr="006B3A92">
              <w:rPr>
                <w:rFonts w:ascii="Calibri" w:eastAsia="Times New Roman" w:hAnsi="Calibri" w:cs="Calibri"/>
                <w:color w:val="000000"/>
                <w:sz w:val="20"/>
                <w:szCs w:val="20"/>
                <w:lang w:eastAsia="de-DE"/>
              </w:rPr>
              <w:t>-dem.)</w:t>
            </w:r>
          </w:p>
        </w:tc>
        <w:tc>
          <w:tcPr>
            <w:tcW w:w="0" w:type="auto"/>
            <w:tcBorders>
              <w:top w:val="nil"/>
              <w:left w:val="single" w:sz="4" w:space="0" w:color="auto"/>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1,035</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1,011</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1,000</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Southern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soc</w:t>
            </w:r>
            <w:proofErr w:type="spellEnd"/>
            <w:r w:rsidRPr="006B3A92">
              <w:rPr>
                <w:rFonts w:ascii="Calibri" w:eastAsia="Times New Roman" w:hAnsi="Calibri" w:cs="Calibri"/>
                <w:color w:val="000000"/>
                <w:sz w:val="20"/>
                <w:szCs w:val="20"/>
                <w:lang w:eastAsia="de-DE"/>
              </w:rPr>
              <w:t>-dem.)</w:t>
            </w:r>
          </w:p>
        </w:tc>
        <w:tc>
          <w:tcPr>
            <w:tcW w:w="0" w:type="auto"/>
            <w:tcBorders>
              <w:top w:val="nil"/>
              <w:left w:val="single" w:sz="4" w:space="0" w:color="auto"/>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1,221</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1,222</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1,183</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Institutions:Pull</w:t>
            </w:r>
            <w:proofErr w:type="spellEnd"/>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Retirement</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age</w:t>
            </w:r>
            <w:proofErr w:type="spellEnd"/>
          </w:p>
        </w:tc>
        <w:tc>
          <w:tcPr>
            <w:tcW w:w="0" w:type="auto"/>
            <w:tcBorders>
              <w:top w:val="nil"/>
              <w:left w:val="single" w:sz="4" w:space="0" w:color="auto"/>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-,101</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Net </w:t>
            </w:r>
            <w:proofErr w:type="spellStart"/>
            <w:r w:rsidRPr="006B3A92">
              <w:rPr>
                <w:rFonts w:ascii="Calibri" w:eastAsia="Times New Roman" w:hAnsi="Calibri" w:cs="Calibri"/>
                <w:color w:val="000000"/>
                <w:sz w:val="20"/>
                <w:szCs w:val="20"/>
                <w:lang w:eastAsia="de-DE"/>
              </w:rPr>
              <w:t>Replacement</w:t>
            </w:r>
            <w:proofErr w:type="spellEnd"/>
            <w:r w:rsidRPr="006B3A92">
              <w:rPr>
                <w:rFonts w:ascii="Calibri" w:eastAsia="Times New Roman" w:hAnsi="Calibri" w:cs="Calibri"/>
                <w:color w:val="000000"/>
                <w:sz w:val="20"/>
                <w:szCs w:val="20"/>
                <w:lang w:eastAsia="de-DE"/>
              </w:rPr>
              <w:t xml:space="preserve"> Rate </w:t>
            </w:r>
          </w:p>
        </w:tc>
        <w:tc>
          <w:tcPr>
            <w:tcW w:w="0" w:type="auto"/>
            <w:tcBorders>
              <w:top w:val="nil"/>
              <w:left w:val="single" w:sz="4" w:space="0" w:color="auto"/>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1,438</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Institutions</w:t>
            </w:r>
            <w:proofErr w:type="spellEnd"/>
            <w:r w:rsidRPr="006B3A92">
              <w:rPr>
                <w:rFonts w:ascii="Calibri" w:eastAsia="Times New Roman" w:hAnsi="Calibri" w:cs="Calibri"/>
                <w:color w:val="000000"/>
                <w:sz w:val="20"/>
                <w:szCs w:val="20"/>
                <w:lang w:eastAsia="de-DE"/>
              </w:rPr>
              <w:t>: Push</w:t>
            </w: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Unemployment</w:t>
            </w:r>
            <w:proofErr w:type="spellEnd"/>
            <w:r w:rsidRPr="006B3A92">
              <w:rPr>
                <w:rFonts w:ascii="Calibri" w:eastAsia="Times New Roman" w:hAnsi="Calibri" w:cs="Calibri"/>
                <w:color w:val="000000"/>
                <w:sz w:val="20"/>
                <w:szCs w:val="20"/>
                <w:lang w:eastAsia="de-DE"/>
              </w:rPr>
              <w:t xml:space="preserve"> rate</w:t>
            </w:r>
          </w:p>
        </w:tc>
        <w:tc>
          <w:tcPr>
            <w:tcW w:w="0" w:type="auto"/>
            <w:tcBorders>
              <w:top w:val="nil"/>
              <w:left w:val="single" w:sz="4" w:space="0" w:color="auto"/>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 xml:space="preserve"> </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-,492</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Employment</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Protection</w:t>
            </w:r>
            <w:proofErr w:type="spellEnd"/>
            <w:r w:rsidRPr="006B3A92">
              <w:rPr>
                <w:rFonts w:ascii="Calibri" w:eastAsia="Times New Roman" w:hAnsi="Calibri" w:cs="Calibri"/>
                <w:color w:val="000000"/>
                <w:sz w:val="20"/>
                <w:szCs w:val="20"/>
                <w:lang w:eastAsia="de-DE"/>
              </w:rPr>
              <w:t xml:space="preserve"> Index</w:t>
            </w:r>
          </w:p>
        </w:tc>
        <w:tc>
          <w:tcPr>
            <w:tcW w:w="0" w:type="auto"/>
            <w:tcBorders>
              <w:top w:val="nil"/>
              <w:left w:val="single" w:sz="4" w:space="0" w:color="auto"/>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,172</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dashed"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Institutions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Stay</w:t>
            </w:r>
            <w:proofErr w:type="spellEnd"/>
          </w:p>
        </w:tc>
        <w:tc>
          <w:tcPr>
            <w:tcW w:w="0" w:type="auto"/>
            <w:tcBorders>
              <w:top w:val="nil"/>
              <w:left w:val="nil"/>
              <w:bottom w:val="dashed"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Lifelong</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learning</w:t>
            </w:r>
            <w:proofErr w:type="spellEnd"/>
            <w:r w:rsidRPr="006B3A92">
              <w:rPr>
                <w:rFonts w:ascii="Calibri" w:eastAsia="Times New Roman" w:hAnsi="Calibri" w:cs="Calibri"/>
                <w:color w:val="000000"/>
                <w:sz w:val="20"/>
                <w:szCs w:val="20"/>
                <w:lang w:eastAsia="de-DE"/>
              </w:rPr>
              <w:t xml:space="preserve"> rate</w:t>
            </w:r>
          </w:p>
        </w:tc>
        <w:tc>
          <w:tcPr>
            <w:tcW w:w="0" w:type="auto"/>
            <w:tcBorders>
              <w:top w:val="nil"/>
              <w:left w:val="single" w:sz="4" w:space="0" w:color="auto"/>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-,047</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dashed" w:sz="4" w:space="0" w:color="auto"/>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Firm </w:t>
            </w:r>
            <w:proofErr w:type="spellStart"/>
            <w:r w:rsidRPr="006B3A92">
              <w:rPr>
                <w:rFonts w:ascii="Calibri" w:eastAsia="Times New Roman" w:hAnsi="Calibri" w:cs="Calibri"/>
                <w:color w:val="000000"/>
                <w:sz w:val="20"/>
                <w:szCs w:val="20"/>
                <w:lang w:eastAsia="de-DE"/>
              </w:rPr>
              <w:t>characteristics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Sector</w:t>
            </w:r>
            <w:proofErr w:type="spellEnd"/>
          </w:p>
        </w:tc>
        <w:tc>
          <w:tcPr>
            <w:tcW w:w="0" w:type="auto"/>
            <w:tcBorders>
              <w:top w:val="dashed" w:sz="4" w:space="0" w:color="auto"/>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Tertiary</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non-</w:t>
            </w:r>
            <w:proofErr w:type="spellStart"/>
            <w:r w:rsidRPr="006B3A92">
              <w:rPr>
                <w:rFonts w:ascii="Calibri" w:eastAsia="Times New Roman" w:hAnsi="Calibri" w:cs="Calibri"/>
                <w:color w:val="000000"/>
                <w:sz w:val="20"/>
                <w:szCs w:val="20"/>
                <w:lang w:eastAsia="de-DE"/>
              </w:rPr>
              <w:t>tertiary</w:t>
            </w:r>
            <w:proofErr w:type="spellEnd"/>
            <w:r w:rsidRPr="006B3A92">
              <w:rPr>
                <w:rFonts w:ascii="Calibri" w:eastAsia="Times New Roman" w:hAnsi="Calibri" w:cs="Calibri"/>
                <w:color w:val="000000"/>
                <w:sz w:val="20"/>
                <w:szCs w:val="20"/>
                <w:lang w:eastAsia="de-DE"/>
              </w:rPr>
              <w:t>)</w:t>
            </w:r>
          </w:p>
        </w:tc>
        <w:tc>
          <w:tcPr>
            <w:tcW w:w="0" w:type="auto"/>
            <w:tcBorders>
              <w:top w:val="dashed" w:sz="4" w:space="0" w:color="auto"/>
              <w:left w:val="single" w:sz="4" w:space="0" w:color="auto"/>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-,441</w:t>
            </w: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c>
          <w:tcPr>
            <w:tcW w:w="0" w:type="auto"/>
            <w:tcBorders>
              <w:top w:val="dashed" w:sz="4" w:space="0" w:color="auto"/>
              <w:left w:val="nil"/>
              <w:bottom w:val="nil"/>
              <w:right w:val="nil"/>
            </w:tcBorders>
            <w:shd w:val="clear" w:color="auto" w:fill="auto"/>
            <w:noWrap/>
            <w:hideMark/>
          </w:tcPr>
          <w:p w:rsidR="003072D7" w:rsidRPr="00AF54CC" w:rsidRDefault="003072D7" w:rsidP="00F27289">
            <w:pPr>
              <w:spacing w:after="0" w:line="240" w:lineRule="auto"/>
              <w:jc w:val="right"/>
              <w:rPr>
                <w:rFonts w:cstheme="minorHAnsi"/>
                <w:color w:val="000000"/>
                <w:sz w:val="20"/>
                <w:szCs w:val="20"/>
              </w:rPr>
            </w:pPr>
            <w:r w:rsidRPr="00AF54CC">
              <w:rPr>
                <w:rFonts w:cstheme="minorHAnsi"/>
                <w:color w:val="000000"/>
                <w:sz w:val="20"/>
                <w:szCs w:val="20"/>
              </w:rPr>
              <w:t>-,417</w:t>
            </w: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Public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private)</w:t>
            </w:r>
          </w:p>
        </w:tc>
        <w:tc>
          <w:tcPr>
            <w:tcW w:w="0" w:type="auto"/>
            <w:tcBorders>
              <w:top w:val="nil"/>
              <w:left w:val="single" w:sz="4" w:space="0" w:color="auto"/>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-,234</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F27289">
            <w:pPr>
              <w:spacing w:after="0" w:line="240" w:lineRule="auto"/>
              <w:jc w:val="right"/>
              <w:rPr>
                <w:rFonts w:cstheme="minorHAnsi"/>
                <w:color w:val="000000"/>
                <w:sz w:val="20"/>
                <w:szCs w:val="20"/>
              </w:rPr>
            </w:pPr>
            <w:r w:rsidRPr="00AF54CC">
              <w:rPr>
                <w:rFonts w:cstheme="minorHAnsi"/>
                <w:color w:val="000000"/>
                <w:sz w:val="20"/>
                <w:szCs w:val="20"/>
              </w:rPr>
              <w:t>-,176</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Firm </w:t>
            </w:r>
            <w:proofErr w:type="spellStart"/>
            <w:r w:rsidRPr="006B3A92">
              <w:rPr>
                <w:rFonts w:ascii="Calibri" w:eastAsia="Times New Roman" w:hAnsi="Calibri" w:cs="Calibri"/>
                <w:color w:val="000000"/>
                <w:sz w:val="20"/>
                <w:szCs w:val="20"/>
                <w:lang w:eastAsia="de-DE"/>
              </w:rPr>
              <w:t>characteristics</w:t>
            </w:r>
            <w:proofErr w:type="spellEnd"/>
            <w:r w:rsidRPr="006B3A92">
              <w:rPr>
                <w:rFonts w:ascii="Calibri" w:eastAsia="Times New Roman" w:hAnsi="Calibri" w:cs="Calibri"/>
                <w:color w:val="000000"/>
                <w:sz w:val="20"/>
                <w:szCs w:val="20"/>
                <w:lang w:eastAsia="de-DE"/>
              </w:rPr>
              <w:t>: Size</w:t>
            </w: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Small: 1-24 </w:t>
            </w:r>
            <w:proofErr w:type="spellStart"/>
            <w:r w:rsidRPr="006B3A92">
              <w:rPr>
                <w:rFonts w:ascii="Calibri" w:eastAsia="Times New Roman" w:hAnsi="Calibri" w:cs="Calibri"/>
                <w:color w:val="000000"/>
                <w:sz w:val="20"/>
                <w:szCs w:val="20"/>
                <w:lang w:eastAsia="de-DE"/>
              </w:rPr>
              <w:t>employees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25-199)</w:t>
            </w:r>
          </w:p>
        </w:tc>
        <w:tc>
          <w:tcPr>
            <w:tcW w:w="0" w:type="auto"/>
            <w:tcBorders>
              <w:top w:val="nil"/>
              <w:left w:val="single" w:sz="4" w:space="0" w:color="auto"/>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-,044</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F27289">
            <w:pPr>
              <w:spacing w:after="0" w:line="240" w:lineRule="auto"/>
              <w:jc w:val="right"/>
              <w:rPr>
                <w:rFonts w:cstheme="minorHAnsi"/>
                <w:color w:val="000000"/>
                <w:sz w:val="20"/>
                <w:szCs w:val="20"/>
              </w:rPr>
            </w:pPr>
            <w:r w:rsidRPr="00AF54CC">
              <w:rPr>
                <w:rFonts w:cstheme="minorHAnsi"/>
                <w:color w:val="000000"/>
                <w:sz w:val="20"/>
                <w:szCs w:val="20"/>
              </w:rPr>
              <w:t>-,069</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dashed"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dashed"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Large: &gt;200 </w:t>
            </w:r>
            <w:proofErr w:type="spellStart"/>
            <w:r w:rsidRPr="006B3A92">
              <w:rPr>
                <w:rFonts w:ascii="Calibri" w:eastAsia="Times New Roman" w:hAnsi="Calibri" w:cs="Calibri"/>
                <w:color w:val="000000"/>
                <w:sz w:val="20"/>
                <w:szCs w:val="20"/>
                <w:lang w:eastAsia="de-DE"/>
              </w:rPr>
              <w:t>employees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25-199)</w:t>
            </w:r>
          </w:p>
        </w:tc>
        <w:tc>
          <w:tcPr>
            <w:tcW w:w="0" w:type="auto"/>
            <w:tcBorders>
              <w:top w:val="nil"/>
              <w:left w:val="single" w:sz="4" w:space="0" w:color="auto"/>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-,047</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hideMark/>
          </w:tcPr>
          <w:p w:rsidR="003072D7" w:rsidRPr="00AF54CC" w:rsidRDefault="003072D7" w:rsidP="00F27289">
            <w:pPr>
              <w:spacing w:after="0" w:line="240" w:lineRule="auto"/>
              <w:jc w:val="right"/>
              <w:rPr>
                <w:rFonts w:cstheme="minorHAnsi"/>
                <w:color w:val="000000"/>
                <w:sz w:val="20"/>
                <w:szCs w:val="20"/>
              </w:rPr>
            </w:pPr>
            <w:r w:rsidRPr="00AF54CC">
              <w:rPr>
                <w:rFonts w:cstheme="minorHAnsi"/>
                <w:color w:val="000000"/>
                <w:sz w:val="20"/>
                <w:szCs w:val="20"/>
              </w:rPr>
              <w:t>-,075</w:t>
            </w:r>
          </w:p>
        </w:tc>
        <w:tc>
          <w:tcPr>
            <w:tcW w:w="0" w:type="auto"/>
            <w:tcBorders>
              <w:top w:val="nil"/>
              <w:left w:val="nil"/>
              <w:bottom w:val="dashed"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dashed" w:sz="4" w:space="0" w:color="auto"/>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Human Capital: Education</w:t>
            </w:r>
          </w:p>
        </w:tc>
        <w:tc>
          <w:tcPr>
            <w:tcW w:w="0" w:type="auto"/>
            <w:tcBorders>
              <w:top w:val="dashed" w:sz="4" w:space="0" w:color="auto"/>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val="en-US" w:eastAsia="de-DE"/>
              </w:rPr>
            </w:pPr>
            <w:r w:rsidRPr="006B3A92">
              <w:rPr>
                <w:rFonts w:ascii="Calibri" w:eastAsia="Times New Roman" w:hAnsi="Calibri" w:cs="Calibri"/>
                <w:color w:val="000000"/>
                <w:sz w:val="20"/>
                <w:szCs w:val="20"/>
                <w:lang w:val="en-US" w:eastAsia="de-DE"/>
              </w:rPr>
              <w:t>Tertiary (Ref.: lower than tertiary)</w:t>
            </w:r>
          </w:p>
        </w:tc>
        <w:tc>
          <w:tcPr>
            <w:tcW w:w="0" w:type="auto"/>
            <w:tcBorders>
              <w:top w:val="dashed" w:sz="4" w:space="0" w:color="auto"/>
              <w:left w:val="single" w:sz="4" w:space="0" w:color="auto"/>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hideMark/>
          </w:tcPr>
          <w:p w:rsidR="003072D7" w:rsidRPr="00AF54CC" w:rsidRDefault="003072D7" w:rsidP="00F27289">
            <w:pPr>
              <w:spacing w:after="0" w:line="240" w:lineRule="auto"/>
              <w:jc w:val="right"/>
              <w:rPr>
                <w:rFonts w:cstheme="minorHAnsi"/>
                <w:color w:val="000000"/>
                <w:sz w:val="20"/>
                <w:szCs w:val="20"/>
              </w:rPr>
            </w:pPr>
            <w:r w:rsidRPr="00AF54CC">
              <w:rPr>
                <w:rFonts w:cstheme="minorHAnsi"/>
                <w:color w:val="000000"/>
                <w:sz w:val="20"/>
                <w:szCs w:val="20"/>
              </w:rPr>
              <w:t>-,159</w:t>
            </w:r>
          </w:p>
        </w:tc>
        <w:tc>
          <w:tcPr>
            <w:tcW w:w="0" w:type="auto"/>
            <w:tcBorders>
              <w:top w:val="dashed" w:sz="4" w:space="0" w:color="auto"/>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Job </w:t>
            </w:r>
            <w:proofErr w:type="spellStart"/>
            <w:r w:rsidRPr="006B3A92">
              <w:rPr>
                <w:rFonts w:ascii="Calibri" w:eastAsia="Times New Roman" w:hAnsi="Calibri" w:cs="Calibri"/>
                <w:color w:val="000000"/>
                <w:sz w:val="20"/>
                <w:szCs w:val="20"/>
                <w:lang w:eastAsia="de-DE"/>
              </w:rPr>
              <w:t>characteristics</w:t>
            </w:r>
            <w:proofErr w:type="spellEnd"/>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High </w:t>
            </w:r>
            <w:proofErr w:type="spellStart"/>
            <w:r w:rsidRPr="006B3A92">
              <w:rPr>
                <w:rFonts w:ascii="Calibri" w:eastAsia="Times New Roman" w:hAnsi="Calibri" w:cs="Calibri"/>
                <w:color w:val="000000"/>
                <w:sz w:val="20"/>
                <w:szCs w:val="20"/>
                <w:lang w:eastAsia="de-DE"/>
              </w:rPr>
              <w:t>job</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satisfcation</w:t>
            </w:r>
            <w:proofErr w:type="spellEnd"/>
          </w:p>
        </w:tc>
        <w:tc>
          <w:tcPr>
            <w:tcW w:w="0" w:type="auto"/>
            <w:tcBorders>
              <w:top w:val="nil"/>
              <w:left w:val="single" w:sz="4" w:space="0" w:color="auto"/>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F27289">
            <w:pPr>
              <w:spacing w:after="0" w:line="240" w:lineRule="auto"/>
              <w:jc w:val="right"/>
              <w:rPr>
                <w:rFonts w:cstheme="minorHAnsi"/>
                <w:color w:val="000000"/>
                <w:sz w:val="20"/>
                <w:szCs w:val="20"/>
              </w:rPr>
            </w:pPr>
            <w:r w:rsidRPr="00AF54CC">
              <w:rPr>
                <w:rFonts w:cstheme="minorHAnsi"/>
                <w:color w:val="000000"/>
                <w:sz w:val="20"/>
                <w:szCs w:val="20"/>
              </w:rPr>
              <w:t>-0,556</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Poor </w:t>
            </w:r>
            <w:proofErr w:type="spellStart"/>
            <w:r w:rsidRPr="006B3A92">
              <w:rPr>
                <w:rFonts w:ascii="Calibri" w:eastAsia="Times New Roman" w:hAnsi="Calibri" w:cs="Calibri"/>
                <w:color w:val="000000"/>
                <w:sz w:val="20"/>
                <w:szCs w:val="20"/>
                <w:lang w:eastAsia="de-DE"/>
              </w:rPr>
              <w:t>job</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security</w:t>
            </w:r>
            <w:proofErr w:type="spellEnd"/>
          </w:p>
        </w:tc>
        <w:tc>
          <w:tcPr>
            <w:tcW w:w="0" w:type="auto"/>
            <w:tcBorders>
              <w:top w:val="nil"/>
              <w:left w:val="single" w:sz="4" w:space="0" w:color="auto"/>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F27289">
            <w:pPr>
              <w:spacing w:after="0" w:line="240" w:lineRule="auto"/>
              <w:jc w:val="right"/>
              <w:rPr>
                <w:rFonts w:cstheme="minorHAnsi"/>
                <w:color w:val="000000"/>
                <w:sz w:val="20"/>
                <w:szCs w:val="20"/>
              </w:rPr>
            </w:pPr>
            <w:r w:rsidRPr="00AF54CC">
              <w:rPr>
                <w:rFonts w:cstheme="minorHAnsi"/>
                <w:color w:val="000000"/>
                <w:sz w:val="20"/>
                <w:szCs w:val="20"/>
              </w:rPr>
              <w:t>0,403</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r w:rsidRPr="00AF54CC">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Little </w:t>
            </w:r>
            <w:proofErr w:type="spellStart"/>
            <w:r w:rsidRPr="006B3A92">
              <w:rPr>
                <w:rFonts w:ascii="Calibri" w:eastAsia="Times New Roman" w:hAnsi="Calibri" w:cs="Calibri"/>
                <w:color w:val="000000"/>
                <w:sz w:val="20"/>
                <w:szCs w:val="20"/>
                <w:lang w:eastAsia="de-DE"/>
              </w:rPr>
              <w:t>freedom</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of</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choice</w:t>
            </w:r>
            <w:proofErr w:type="spellEnd"/>
          </w:p>
        </w:tc>
        <w:tc>
          <w:tcPr>
            <w:tcW w:w="0" w:type="auto"/>
            <w:tcBorders>
              <w:top w:val="nil"/>
              <w:left w:val="single" w:sz="4" w:space="0" w:color="auto"/>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AF54CC" w:rsidRDefault="003072D7" w:rsidP="00F27289">
            <w:pPr>
              <w:spacing w:after="0" w:line="240" w:lineRule="auto"/>
              <w:jc w:val="right"/>
              <w:rPr>
                <w:rFonts w:cstheme="minorHAnsi"/>
                <w:color w:val="000000"/>
                <w:sz w:val="20"/>
                <w:szCs w:val="20"/>
              </w:rPr>
            </w:pPr>
            <w:r w:rsidRPr="00AF54CC">
              <w:rPr>
                <w:rFonts w:cstheme="minorHAnsi"/>
                <w:color w:val="000000"/>
                <w:sz w:val="20"/>
                <w:szCs w:val="20"/>
              </w:rPr>
              <w:t>-0,158</w:t>
            </w:r>
          </w:p>
        </w:tc>
        <w:tc>
          <w:tcPr>
            <w:tcW w:w="0" w:type="auto"/>
            <w:tcBorders>
              <w:top w:val="nil"/>
              <w:left w:val="nil"/>
              <w:bottom w:val="nil"/>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single"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single"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val="en-US" w:eastAsia="de-DE"/>
              </w:rPr>
            </w:pPr>
            <w:r w:rsidRPr="006B3A92">
              <w:rPr>
                <w:rFonts w:ascii="Calibri" w:eastAsia="Times New Roman" w:hAnsi="Calibri" w:cs="Calibri"/>
                <w:color w:val="000000"/>
                <w:sz w:val="20"/>
                <w:szCs w:val="20"/>
                <w:lang w:val="en-US" w:eastAsia="de-DE"/>
              </w:rPr>
              <w:t>Work time: 40 hours and more (ref)</w:t>
            </w:r>
          </w:p>
        </w:tc>
        <w:tc>
          <w:tcPr>
            <w:tcW w:w="0" w:type="auto"/>
            <w:tcBorders>
              <w:top w:val="nil"/>
              <w:left w:val="single" w:sz="4" w:space="0" w:color="auto"/>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AF54CC" w:rsidRDefault="003072D7" w:rsidP="00F27289">
            <w:pPr>
              <w:spacing w:after="0" w:line="240" w:lineRule="auto"/>
              <w:jc w:val="right"/>
              <w:rPr>
                <w:rFonts w:cstheme="minorHAnsi"/>
                <w:color w:val="000000"/>
                <w:sz w:val="20"/>
                <w:szCs w:val="20"/>
              </w:rPr>
            </w:pPr>
            <w:r w:rsidRPr="00AF54CC">
              <w:rPr>
                <w:rFonts w:cstheme="minorHAnsi"/>
                <w:color w:val="000000"/>
                <w:sz w:val="20"/>
                <w:szCs w:val="20"/>
              </w:rPr>
              <w:t>-0,179</w:t>
            </w:r>
          </w:p>
        </w:tc>
        <w:tc>
          <w:tcPr>
            <w:tcW w:w="0" w:type="auto"/>
            <w:tcBorders>
              <w:top w:val="nil"/>
              <w:left w:val="nil"/>
              <w:bottom w:val="single" w:sz="4" w:space="0" w:color="auto"/>
              <w:right w:val="nil"/>
            </w:tcBorders>
            <w:shd w:val="clear" w:color="auto" w:fill="auto"/>
            <w:noWrap/>
            <w:vAlign w:val="bottom"/>
            <w:hideMark/>
          </w:tcPr>
          <w:p w:rsidR="003072D7" w:rsidRPr="00AF54CC" w:rsidRDefault="003072D7" w:rsidP="003072D7">
            <w:pPr>
              <w:spacing w:after="0" w:line="240" w:lineRule="auto"/>
              <w:jc w:val="both"/>
              <w:rPr>
                <w:rFonts w:cstheme="minorHAnsi"/>
                <w:color w:val="000000"/>
                <w:sz w:val="20"/>
                <w:szCs w:val="20"/>
              </w:rPr>
            </w:pPr>
          </w:p>
        </w:tc>
      </w:tr>
    </w:tbl>
    <w:p w:rsidR="003072D7" w:rsidRPr="006B3A92" w:rsidRDefault="003072D7" w:rsidP="003072D7">
      <w:pPr>
        <w:pStyle w:val="Listenabsatz"/>
        <w:ind w:left="0"/>
        <w:jc w:val="both"/>
        <w:rPr>
          <w:sz w:val="20"/>
          <w:szCs w:val="20"/>
          <w:lang w:val="en-GB"/>
        </w:rPr>
      </w:pPr>
      <w:r>
        <w:rPr>
          <w:sz w:val="20"/>
          <w:szCs w:val="20"/>
          <w:lang w:val="en-GB"/>
        </w:rPr>
        <w:br w:type="textWrapping" w:clear="all"/>
        <w:t xml:space="preserve">Source: SHARE: Wave 1 &amp; 2, Own calculations, *** </w:t>
      </w:r>
      <w:r>
        <w:rPr>
          <w:rFonts w:cstheme="minorHAnsi"/>
          <w:sz w:val="20"/>
          <w:szCs w:val="20"/>
          <w:lang w:val="en-GB"/>
        </w:rPr>
        <w:t xml:space="preserve">α ≤ 0,001, </w:t>
      </w:r>
      <w:r>
        <w:rPr>
          <w:sz w:val="20"/>
          <w:szCs w:val="20"/>
          <w:lang w:val="en-GB"/>
        </w:rPr>
        <w:t xml:space="preserve">** </w:t>
      </w:r>
      <w:r>
        <w:rPr>
          <w:rFonts w:cstheme="minorHAnsi"/>
          <w:sz w:val="20"/>
          <w:szCs w:val="20"/>
          <w:lang w:val="en-GB"/>
        </w:rPr>
        <w:t>α ≤ 0</w:t>
      </w:r>
      <w:proofErr w:type="gramStart"/>
      <w:r>
        <w:rPr>
          <w:rFonts w:cstheme="minorHAnsi"/>
          <w:sz w:val="20"/>
          <w:szCs w:val="20"/>
          <w:lang w:val="en-GB"/>
        </w:rPr>
        <w:t>,01</w:t>
      </w:r>
      <w:proofErr w:type="gramEnd"/>
      <w:r>
        <w:rPr>
          <w:rFonts w:cstheme="minorHAnsi"/>
          <w:sz w:val="20"/>
          <w:szCs w:val="20"/>
          <w:lang w:val="en-GB"/>
        </w:rPr>
        <w:t xml:space="preserve">, </w:t>
      </w:r>
      <w:r>
        <w:rPr>
          <w:sz w:val="20"/>
          <w:szCs w:val="20"/>
          <w:lang w:val="en-GB"/>
        </w:rPr>
        <w:t xml:space="preserve">* </w:t>
      </w:r>
      <w:r>
        <w:rPr>
          <w:rFonts w:cstheme="minorHAnsi"/>
          <w:sz w:val="20"/>
          <w:szCs w:val="20"/>
          <w:lang w:val="en-GB"/>
        </w:rPr>
        <w:t xml:space="preserve">α ≤ 0,05, </w:t>
      </w:r>
      <w:r>
        <w:rPr>
          <w:sz w:val="20"/>
          <w:szCs w:val="20"/>
          <w:lang w:val="en-GB"/>
        </w:rPr>
        <w:t xml:space="preserve">+ </w:t>
      </w:r>
      <w:r>
        <w:rPr>
          <w:rFonts w:cstheme="minorHAnsi"/>
          <w:sz w:val="20"/>
          <w:szCs w:val="20"/>
          <w:lang w:val="en-GB"/>
        </w:rPr>
        <w:t>α ≤ 0,1</w:t>
      </w:r>
    </w:p>
    <w:p w:rsidR="003072D7" w:rsidRPr="006B3A92" w:rsidRDefault="003072D7" w:rsidP="003072D7">
      <w:pPr>
        <w:pStyle w:val="Listenabsatz"/>
        <w:ind w:left="0"/>
        <w:jc w:val="both"/>
        <w:rPr>
          <w:sz w:val="20"/>
          <w:szCs w:val="20"/>
          <w:lang w:val="en-GB"/>
        </w:rPr>
      </w:pPr>
      <w:r>
        <w:rPr>
          <w:sz w:val="20"/>
          <w:szCs w:val="20"/>
          <w:lang w:val="en-GB"/>
        </w:rPr>
        <w:lastRenderedPageBreak/>
        <w:t xml:space="preserve">Table 3b: </w:t>
      </w:r>
      <w:proofErr w:type="spellStart"/>
      <w:r>
        <w:rPr>
          <w:sz w:val="20"/>
          <w:szCs w:val="20"/>
          <w:lang w:val="en-GB"/>
        </w:rPr>
        <w:t>Multinmial</w:t>
      </w:r>
      <w:proofErr w:type="spellEnd"/>
      <w:r>
        <w:rPr>
          <w:sz w:val="20"/>
          <w:szCs w:val="20"/>
          <w:lang w:val="en-GB"/>
        </w:rPr>
        <w:t xml:space="preserve"> logistic regression: Involuntary Exit from employment no non-employment</w:t>
      </w:r>
    </w:p>
    <w:tbl>
      <w:tblPr>
        <w:tblpPr w:leftFromText="141" w:rightFromText="141" w:vertAnchor="text" w:tblpY="1"/>
        <w:tblOverlap w:val="never"/>
        <w:tblW w:w="0" w:type="auto"/>
        <w:tblInd w:w="55" w:type="dxa"/>
        <w:tblCellMar>
          <w:left w:w="70" w:type="dxa"/>
          <w:right w:w="70" w:type="dxa"/>
        </w:tblCellMar>
        <w:tblLook w:val="04A0" w:firstRow="1" w:lastRow="0" w:firstColumn="1" w:lastColumn="0" w:noHBand="0" w:noVBand="1"/>
      </w:tblPr>
      <w:tblGrid>
        <w:gridCol w:w="2341"/>
        <w:gridCol w:w="3150"/>
        <w:gridCol w:w="657"/>
        <w:gridCol w:w="439"/>
        <w:gridCol w:w="657"/>
        <w:gridCol w:w="439"/>
        <w:gridCol w:w="657"/>
        <w:gridCol w:w="439"/>
        <w:gridCol w:w="596"/>
        <w:gridCol w:w="439"/>
        <w:gridCol w:w="657"/>
        <w:gridCol w:w="439"/>
        <w:gridCol w:w="657"/>
        <w:gridCol w:w="439"/>
        <w:gridCol w:w="657"/>
        <w:gridCol w:w="439"/>
      </w:tblGrid>
      <w:tr w:rsidR="003072D7" w:rsidRPr="006B3A92" w:rsidTr="003072D7">
        <w:trPr>
          <w:trHeight w:val="300"/>
        </w:trPr>
        <w:tc>
          <w:tcPr>
            <w:tcW w:w="0" w:type="auto"/>
            <w:tcBorders>
              <w:top w:val="single" w:sz="4" w:space="0" w:color="auto"/>
              <w:left w:val="nil"/>
              <w:bottom w:val="single"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val="en-US" w:eastAsia="de-DE"/>
              </w:rPr>
            </w:pP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Model</w:t>
            </w:r>
          </w:p>
        </w:tc>
        <w:tc>
          <w:tcPr>
            <w:tcW w:w="0" w:type="auto"/>
            <w:tcBorders>
              <w:top w:val="single" w:sz="4" w:space="0" w:color="auto"/>
              <w:left w:val="single" w:sz="4" w:space="0" w:color="auto"/>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M1</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M2</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M3</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M4</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M5</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M6</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M7</w:t>
            </w:r>
          </w:p>
        </w:tc>
        <w:tc>
          <w:tcPr>
            <w:tcW w:w="0" w:type="auto"/>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single" w:sz="4" w:space="0" w:color="auto"/>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single" w:sz="4" w:space="0" w:color="auto"/>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N</w:t>
            </w:r>
          </w:p>
        </w:tc>
        <w:tc>
          <w:tcPr>
            <w:tcW w:w="0" w:type="auto"/>
            <w:tcBorders>
              <w:top w:val="single" w:sz="4" w:space="0" w:color="auto"/>
              <w:left w:val="single" w:sz="4" w:space="0" w:color="auto"/>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3211</w:t>
            </w:r>
          </w:p>
        </w:tc>
        <w:tc>
          <w:tcPr>
            <w:tcW w:w="0" w:type="auto"/>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3211</w:t>
            </w:r>
          </w:p>
        </w:tc>
        <w:tc>
          <w:tcPr>
            <w:tcW w:w="0" w:type="auto"/>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sz w:val="20"/>
                <w:szCs w:val="20"/>
              </w:rPr>
            </w:pPr>
            <w:r w:rsidRPr="0081371A">
              <w:rPr>
                <w:rFonts w:cstheme="minorHAnsi"/>
                <w:sz w:val="20"/>
                <w:szCs w:val="20"/>
              </w:rPr>
              <w:t>3211</w:t>
            </w:r>
          </w:p>
        </w:tc>
        <w:tc>
          <w:tcPr>
            <w:tcW w:w="0" w:type="auto"/>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sz w:val="20"/>
                <w:szCs w:val="20"/>
              </w:rPr>
            </w:pPr>
            <w:r w:rsidRPr="0081371A">
              <w:rPr>
                <w:rFonts w:cstheme="minorHAnsi"/>
                <w:sz w:val="20"/>
                <w:szCs w:val="20"/>
              </w:rPr>
              <w:t>3211</w:t>
            </w:r>
          </w:p>
        </w:tc>
        <w:tc>
          <w:tcPr>
            <w:tcW w:w="0" w:type="auto"/>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3211</w:t>
            </w:r>
          </w:p>
        </w:tc>
        <w:tc>
          <w:tcPr>
            <w:tcW w:w="0" w:type="auto"/>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3211</w:t>
            </w:r>
          </w:p>
        </w:tc>
        <w:tc>
          <w:tcPr>
            <w:tcW w:w="0" w:type="auto"/>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3191</w:t>
            </w:r>
          </w:p>
        </w:tc>
        <w:tc>
          <w:tcPr>
            <w:tcW w:w="0" w:type="auto"/>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single"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single"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R-</w:t>
            </w:r>
            <w:proofErr w:type="spellStart"/>
            <w:r w:rsidRPr="006B3A92">
              <w:rPr>
                <w:rFonts w:ascii="Calibri" w:eastAsia="Times New Roman" w:hAnsi="Calibri" w:cs="Calibri"/>
                <w:color w:val="000000"/>
                <w:sz w:val="20"/>
                <w:szCs w:val="20"/>
                <w:lang w:eastAsia="de-DE"/>
              </w:rPr>
              <w:t>square</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Nagelkerke</w:t>
            </w:r>
            <w:proofErr w:type="spellEnd"/>
            <w:r w:rsidRPr="006B3A92">
              <w:rPr>
                <w:rFonts w:ascii="Calibri" w:eastAsia="Times New Roman" w:hAnsi="Calibri" w:cs="Calibri"/>
                <w:color w:val="000000"/>
                <w:sz w:val="20"/>
                <w:szCs w:val="20"/>
                <w:lang w:eastAsia="de-DE"/>
              </w:rPr>
              <w:t>)</w:t>
            </w:r>
          </w:p>
        </w:tc>
        <w:tc>
          <w:tcPr>
            <w:tcW w:w="0" w:type="auto"/>
            <w:tcBorders>
              <w:top w:val="nil"/>
              <w:left w:val="single" w:sz="4" w:space="0" w:color="auto"/>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0,109</w:t>
            </w:r>
          </w:p>
        </w:tc>
        <w:tc>
          <w:tcPr>
            <w:tcW w:w="0" w:type="auto"/>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0,139</w:t>
            </w:r>
          </w:p>
        </w:tc>
        <w:tc>
          <w:tcPr>
            <w:tcW w:w="0" w:type="auto"/>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0,117</w:t>
            </w:r>
          </w:p>
        </w:tc>
        <w:tc>
          <w:tcPr>
            <w:tcW w:w="0" w:type="auto"/>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0,115</w:t>
            </w:r>
          </w:p>
        </w:tc>
        <w:tc>
          <w:tcPr>
            <w:tcW w:w="0" w:type="auto"/>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0,12</w:t>
            </w:r>
          </w:p>
        </w:tc>
        <w:tc>
          <w:tcPr>
            <w:tcW w:w="0" w:type="auto"/>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0,151</w:t>
            </w:r>
          </w:p>
        </w:tc>
        <w:tc>
          <w:tcPr>
            <w:tcW w:w="0" w:type="auto"/>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0,167</w:t>
            </w:r>
          </w:p>
        </w:tc>
        <w:tc>
          <w:tcPr>
            <w:tcW w:w="0" w:type="auto"/>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dashed"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dashed"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Constant</w:t>
            </w:r>
          </w:p>
        </w:tc>
        <w:tc>
          <w:tcPr>
            <w:tcW w:w="0" w:type="auto"/>
            <w:tcBorders>
              <w:top w:val="nil"/>
              <w:left w:val="single" w:sz="4" w:space="0" w:color="auto"/>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-4,419</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-5,467</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-3,853</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-4,45</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-3,951</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-5,075</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-4,678</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r>
      <w:tr w:rsidR="003072D7" w:rsidRPr="006B3A92" w:rsidTr="003072D7">
        <w:trPr>
          <w:trHeight w:val="300"/>
        </w:trPr>
        <w:tc>
          <w:tcPr>
            <w:tcW w:w="0" w:type="auto"/>
            <w:tcBorders>
              <w:top w:val="dashed" w:sz="4" w:space="0" w:color="auto"/>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Control</w:t>
            </w:r>
            <w:proofErr w:type="spellEnd"/>
            <w:r w:rsidRPr="006B3A92">
              <w:rPr>
                <w:rFonts w:ascii="Calibri" w:eastAsia="Times New Roman" w:hAnsi="Calibri" w:cs="Calibri"/>
                <w:color w:val="000000"/>
                <w:sz w:val="20"/>
                <w:szCs w:val="20"/>
                <w:lang w:eastAsia="de-DE"/>
              </w:rPr>
              <w:t>: Gender</w:t>
            </w:r>
          </w:p>
        </w:tc>
        <w:tc>
          <w:tcPr>
            <w:tcW w:w="0" w:type="auto"/>
            <w:tcBorders>
              <w:top w:val="dashed" w:sz="4" w:space="0" w:color="auto"/>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Male</w:t>
            </w:r>
          </w:p>
        </w:tc>
        <w:tc>
          <w:tcPr>
            <w:tcW w:w="0" w:type="auto"/>
            <w:tcBorders>
              <w:top w:val="dashed" w:sz="4" w:space="0" w:color="auto"/>
              <w:left w:val="single" w:sz="4" w:space="0" w:color="auto"/>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,311</w:t>
            </w: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dashed" w:sz="4" w:space="0" w:color="auto"/>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,233</w:t>
            </w: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,291</w:t>
            </w: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0,291</w:t>
            </w: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dashed" w:sz="4" w:space="0" w:color="auto"/>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,267</w:t>
            </w: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dashed" w:sz="4" w:space="0" w:color="auto"/>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,035</w:t>
            </w: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,075</w:t>
            </w: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Control</w:t>
            </w:r>
            <w:proofErr w:type="spellEnd"/>
            <w:r w:rsidRPr="006B3A92">
              <w:rPr>
                <w:rFonts w:ascii="Calibri" w:eastAsia="Times New Roman" w:hAnsi="Calibri" w:cs="Calibri"/>
                <w:color w:val="000000"/>
                <w:sz w:val="20"/>
                <w:szCs w:val="20"/>
                <w:lang w:eastAsia="de-DE"/>
              </w:rPr>
              <w:t>: Age</w:t>
            </w: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53-55 </w:t>
            </w:r>
            <w:proofErr w:type="spellStart"/>
            <w:r w:rsidRPr="006B3A92">
              <w:rPr>
                <w:rFonts w:ascii="Calibri" w:eastAsia="Times New Roman" w:hAnsi="Calibri" w:cs="Calibri"/>
                <w:color w:val="000000"/>
                <w:sz w:val="20"/>
                <w:szCs w:val="20"/>
                <w:lang w:eastAsia="de-DE"/>
              </w:rPr>
              <w:t>years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50-52)</w:t>
            </w:r>
          </w:p>
        </w:tc>
        <w:tc>
          <w:tcPr>
            <w:tcW w:w="0" w:type="auto"/>
            <w:tcBorders>
              <w:top w:val="nil"/>
              <w:left w:val="single" w:sz="4" w:space="0" w:color="auto"/>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,542</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,561</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,555</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,540</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,538</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,555</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,539</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56-58 </w:t>
            </w:r>
            <w:proofErr w:type="spellStart"/>
            <w:r w:rsidRPr="006B3A92">
              <w:rPr>
                <w:rFonts w:ascii="Calibri" w:eastAsia="Times New Roman" w:hAnsi="Calibri" w:cs="Calibri"/>
                <w:color w:val="000000"/>
                <w:sz w:val="20"/>
                <w:szCs w:val="20"/>
                <w:lang w:eastAsia="de-DE"/>
              </w:rPr>
              <w:t>years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50-52)</w:t>
            </w:r>
          </w:p>
        </w:tc>
        <w:tc>
          <w:tcPr>
            <w:tcW w:w="0" w:type="auto"/>
            <w:tcBorders>
              <w:top w:val="nil"/>
              <w:left w:val="single" w:sz="4" w:space="0" w:color="auto"/>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1,542</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1,670</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1,567</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1,575</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1,604</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1,678</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1,772</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59-62 </w:t>
            </w:r>
            <w:proofErr w:type="spellStart"/>
            <w:r w:rsidRPr="006B3A92">
              <w:rPr>
                <w:rFonts w:ascii="Calibri" w:eastAsia="Times New Roman" w:hAnsi="Calibri" w:cs="Calibri"/>
                <w:color w:val="000000"/>
                <w:sz w:val="20"/>
                <w:szCs w:val="20"/>
                <w:lang w:eastAsia="de-DE"/>
              </w:rPr>
              <w:t>years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50-52)</w:t>
            </w:r>
          </w:p>
        </w:tc>
        <w:tc>
          <w:tcPr>
            <w:tcW w:w="0" w:type="auto"/>
            <w:tcBorders>
              <w:top w:val="nil"/>
              <w:left w:val="single" w:sz="4" w:space="0" w:color="auto"/>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2,220</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2,668</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2,312</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2,259</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2,420</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2,744</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2,915</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Control</w:t>
            </w:r>
            <w:proofErr w:type="spellEnd"/>
            <w:r w:rsidRPr="006B3A92">
              <w:rPr>
                <w:rFonts w:ascii="Calibri" w:eastAsia="Times New Roman" w:hAnsi="Calibri" w:cs="Calibri"/>
                <w:color w:val="000000"/>
                <w:sz w:val="20"/>
                <w:szCs w:val="20"/>
                <w:lang w:eastAsia="de-DE"/>
              </w:rPr>
              <w:t xml:space="preserve">: Family </w:t>
            </w:r>
            <w:proofErr w:type="spellStart"/>
            <w:r w:rsidRPr="006B3A92">
              <w:rPr>
                <w:rFonts w:ascii="Calibri" w:eastAsia="Times New Roman" w:hAnsi="Calibri" w:cs="Calibri"/>
                <w:color w:val="000000"/>
                <w:sz w:val="20"/>
                <w:szCs w:val="20"/>
                <w:lang w:eastAsia="de-DE"/>
              </w:rPr>
              <w:t>status</w:t>
            </w:r>
            <w:proofErr w:type="spellEnd"/>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val="en-US" w:eastAsia="de-DE"/>
              </w:rPr>
            </w:pPr>
            <w:r w:rsidRPr="006B3A92">
              <w:rPr>
                <w:rFonts w:ascii="Calibri" w:eastAsia="Times New Roman" w:hAnsi="Calibri" w:cs="Calibri"/>
                <w:color w:val="000000"/>
                <w:sz w:val="20"/>
                <w:szCs w:val="20"/>
                <w:lang w:val="en-US" w:eastAsia="de-DE"/>
              </w:rPr>
              <w:t>No partner  (ref: married/cohabiting)</w:t>
            </w:r>
          </w:p>
        </w:tc>
        <w:tc>
          <w:tcPr>
            <w:tcW w:w="0" w:type="auto"/>
            <w:tcBorders>
              <w:top w:val="nil"/>
              <w:left w:val="single" w:sz="4" w:space="0" w:color="auto"/>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,079</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,062</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,060</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,085</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,085</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,084</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,082</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dashed"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Control</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Health</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status</w:t>
            </w:r>
            <w:proofErr w:type="spellEnd"/>
          </w:p>
        </w:tc>
        <w:tc>
          <w:tcPr>
            <w:tcW w:w="0" w:type="auto"/>
            <w:tcBorders>
              <w:top w:val="nil"/>
              <w:left w:val="nil"/>
              <w:bottom w:val="dashed"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Less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than</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good</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health</w:t>
            </w:r>
            <w:proofErr w:type="spellEnd"/>
          </w:p>
        </w:tc>
        <w:tc>
          <w:tcPr>
            <w:tcW w:w="0" w:type="auto"/>
            <w:tcBorders>
              <w:top w:val="nil"/>
              <w:left w:val="single" w:sz="4" w:space="0" w:color="auto"/>
              <w:bottom w:val="dashed" w:sz="4" w:space="0" w:color="auto"/>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,392</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,334</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,390</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,378</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,353</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,327</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,242</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r>
      <w:tr w:rsidR="003072D7" w:rsidRPr="006B3A92" w:rsidTr="003072D7">
        <w:trPr>
          <w:trHeight w:val="300"/>
        </w:trPr>
        <w:tc>
          <w:tcPr>
            <w:tcW w:w="0" w:type="auto"/>
            <w:tcBorders>
              <w:top w:val="dashed" w:sz="4" w:space="0" w:color="auto"/>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Institutions</w:t>
            </w:r>
            <w:proofErr w:type="spellEnd"/>
            <w:r w:rsidRPr="006B3A92">
              <w:rPr>
                <w:rFonts w:ascii="Calibri" w:eastAsia="Times New Roman" w:hAnsi="Calibri" w:cs="Calibri"/>
                <w:color w:val="000000"/>
                <w:sz w:val="20"/>
                <w:szCs w:val="20"/>
                <w:lang w:eastAsia="de-DE"/>
              </w:rPr>
              <w:t>: Regime</w:t>
            </w:r>
          </w:p>
        </w:tc>
        <w:tc>
          <w:tcPr>
            <w:tcW w:w="0" w:type="auto"/>
            <w:tcBorders>
              <w:top w:val="dashed" w:sz="4" w:space="0" w:color="auto"/>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Liberal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soc</w:t>
            </w:r>
            <w:proofErr w:type="spellEnd"/>
            <w:r w:rsidRPr="006B3A92">
              <w:rPr>
                <w:rFonts w:ascii="Calibri" w:eastAsia="Times New Roman" w:hAnsi="Calibri" w:cs="Calibri"/>
                <w:color w:val="000000"/>
                <w:sz w:val="20"/>
                <w:szCs w:val="20"/>
                <w:lang w:eastAsia="de-DE"/>
              </w:rPr>
              <w:t>-dem.)</w:t>
            </w:r>
          </w:p>
        </w:tc>
        <w:tc>
          <w:tcPr>
            <w:tcW w:w="0" w:type="auto"/>
            <w:tcBorders>
              <w:top w:val="dashed" w:sz="4" w:space="0" w:color="auto"/>
              <w:left w:val="single" w:sz="4" w:space="0" w:color="auto"/>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,393</w:t>
            </w: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,342</w:t>
            </w: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,632</w:t>
            </w: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Conservative</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soc</w:t>
            </w:r>
            <w:proofErr w:type="spellEnd"/>
            <w:r w:rsidRPr="006B3A92">
              <w:rPr>
                <w:rFonts w:ascii="Calibri" w:eastAsia="Times New Roman" w:hAnsi="Calibri" w:cs="Calibri"/>
                <w:color w:val="000000"/>
                <w:sz w:val="20"/>
                <w:szCs w:val="20"/>
                <w:lang w:eastAsia="de-DE"/>
              </w:rPr>
              <w:t>-dem.)</w:t>
            </w:r>
          </w:p>
        </w:tc>
        <w:tc>
          <w:tcPr>
            <w:tcW w:w="0" w:type="auto"/>
            <w:tcBorders>
              <w:top w:val="nil"/>
              <w:left w:val="single" w:sz="4" w:space="0" w:color="auto"/>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1,506</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1,487</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1,486</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Southern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soc</w:t>
            </w:r>
            <w:proofErr w:type="spellEnd"/>
            <w:r w:rsidRPr="006B3A92">
              <w:rPr>
                <w:rFonts w:ascii="Calibri" w:eastAsia="Times New Roman" w:hAnsi="Calibri" w:cs="Calibri"/>
                <w:color w:val="000000"/>
                <w:sz w:val="20"/>
                <w:szCs w:val="20"/>
                <w:lang w:eastAsia="de-DE"/>
              </w:rPr>
              <w:t>-dem.)</w:t>
            </w:r>
          </w:p>
        </w:tc>
        <w:tc>
          <w:tcPr>
            <w:tcW w:w="0" w:type="auto"/>
            <w:tcBorders>
              <w:top w:val="nil"/>
              <w:left w:val="single" w:sz="4" w:space="0" w:color="auto"/>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1,048</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1,087</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,978</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Institutions:Pull</w:t>
            </w:r>
            <w:proofErr w:type="spellEnd"/>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Retirement</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age</w:t>
            </w:r>
            <w:proofErr w:type="spellEnd"/>
          </w:p>
        </w:tc>
        <w:tc>
          <w:tcPr>
            <w:tcW w:w="0" w:type="auto"/>
            <w:tcBorders>
              <w:top w:val="nil"/>
              <w:left w:val="single" w:sz="4" w:space="0" w:color="auto"/>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-,018</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Net </w:t>
            </w:r>
            <w:proofErr w:type="spellStart"/>
            <w:r w:rsidRPr="006B3A92">
              <w:rPr>
                <w:rFonts w:ascii="Calibri" w:eastAsia="Times New Roman" w:hAnsi="Calibri" w:cs="Calibri"/>
                <w:color w:val="000000"/>
                <w:sz w:val="20"/>
                <w:szCs w:val="20"/>
                <w:lang w:eastAsia="de-DE"/>
              </w:rPr>
              <w:t>Replacement</w:t>
            </w:r>
            <w:proofErr w:type="spellEnd"/>
            <w:r w:rsidRPr="006B3A92">
              <w:rPr>
                <w:rFonts w:ascii="Calibri" w:eastAsia="Times New Roman" w:hAnsi="Calibri" w:cs="Calibri"/>
                <w:color w:val="000000"/>
                <w:sz w:val="20"/>
                <w:szCs w:val="20"/>
                <w:lang w:eastAsia="de-DE"/>
              </w:rPr>
              <w:t xml:space="preserve"> Rate </w:t>
            </w:r>
          </w:p>
        </w:tc>
        <w:tc>
          <w:tcPr>
            <w:tcW w:w="0" w:type="auto"/>
            <w:tcBorders>
              <w:top w:val="nil"/>
              <w:left w:val="single" w:sz="4" w:space="0" w:color="auto"/>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,768</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Institutions</w:t>
            </w:r>
            <w:proofErr w:type="spellEnd"/>
            <w:r w:rsidRPr="006B3A92">
              <w:rPr>
                <w:rFonts w:ascii="Calibri" w:eastAsia="Times New Roman" w:hAnsi="Calibri" w:cs="Calibri"/>
                <w:color w:val="000000"/>
                <w:sz w:val="20"/>
                <w:szCs w:val="20"/>
                <w:lang w:eastAsia="de-DE"/>
              </w:rPr>
              <w:t>: Push</w:t>
            </w: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Unemployment</w:t>
            </w:r>
            <w:proofErr w:type="spellEnd"/>
            <w:r w:rsidRPr="006B3A92">
              <w:rPr>
                <w:rFonts w:ascii="Calibri" w:eastAsia="Times New Roman" w:hAnsi="Calibri" w:cs="Calibri"/>
                <w:color w:val="000000"/>
                <w:sz w:val="20"/>
                <w:szCs w:val="20"/>
                <w:lang w:eastAsia="de-DE"/>
              </w:rPr>
              <w:t xml:space="preserve"> rate</w:t>
            </w:r>
          </w:p>
        </w:tc>
        <w:tc>
          <w:tcPr>
            <w:tcW w:w="0" w:type="auto"/>
            <w:tcBorders>
              <w:top w:val="nil"/>
              <w:left w:val="single" w:sz="4" w:space="0" w:color="auto"/>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,100</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Employment</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Protection</w:t>
            </w:r>
            <w:proofErr w:type="spellEnd"/>
            <w:r w:rsidRPr="006B3A92">
              <w:rPr>
                <w:rFonts w:ascii="Calibri" w:eastAsia="Times New Roman" w:hAnsi="Calibri" w:cs="Calibri"/>
                <w:color w:val="000000"/>
                <w:sz w:val="20"/>
                <w:szCs w:val="20"/>
                <w:lang w:eastAsia="de-DE"/>
              </w:rPr>
              <w:t xml:space="preserve"> Index</w:t>
            </w:r>
          </w:p>
        </w:tc>
        <w:tc>
          <w:tcPr>
            <w:tcW w:w="0" w:type="auto"/>
            <w:tcBorders>
              <w:top w:val="nil"/>
              <w:left w:val="single" w:sz="4" w:space="0" w:color="auto"/>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-,302</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dashed"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Institutions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Stay</w:t>
            </w:r>
            <w:proofErr w:type="spellEnd"/>
          </w:p>
        </w:tc>
        <w:tc>
          <w:tcPr>
            <w:tcW w:w="0" w:type="auto"/>
            <w:tcBorders>
              <w:top w:val="nil"/>
              <w:left w:val="nil"/>
              <w:bottom w:val="dashed"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Lifelong</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learning</w:t>
            </w:r>
            <w:proofErr w:type="spellEnd"/>
            <w:r w:rsidRPr="006B3A92">
              <w:rPr>
                <w:rFonts w:ascii="Calibri" w:eastAsia="Times New Roman" w:hAnsi="Calibri" w:cs="Calibri"/>
                <w:color w:val="000000"/>
                <w:sz w:val="20"/>
                <w:szCs w:val="20"/>
                <w:lang w:eastAsia="de-DE"/>
              </w:rPr>
              <w:t xml:space="preserve"> rate</w:t>
            </w:r>
          </w:p>
        </w:tc>
        <w:tc>
          <w:tcPr>
            <w:tcW w:w="0" w:type="auto"/>
            <w:tcBorders>
              <w:top w:val="nil"/>
              <w:left w:val="single" w:sz="4" w:space="0" w:color="auto"/>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-,067</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dashed" w:sz="4" w:space="0" w:color="auto"/>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Firm </w:t>
            </w:r>
            <w:proofErr w:type="spellStart"/>
            <w:r w:rsidRPr="006B3A92">
              <w:rPr>
                <w:rFonts w:ascii="Calibri" w:eastAsia="Times New Roman" w:hAnsi="Calibri" w:cs="Calibri"/>
                <w:color w:val="000000"/>
                <w:sz w:val="20"/>
                <w:szCs w:val="20"/>
                <w:lang w:eastAsia="de-DE"/>
              </w:rPr>
              <w:t>characteristics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Sector</w:t>
            </w:r>
            <w:proofErr w:type="spellEnd"/>
          </w:p>
        </w:tc>
        <w:tc>
          <w:tcPr>
            <w:tcW w:w="0" w:type="auto"/>
            <w:tcBorders>
              <w:top w:val="dashed" w:sz="4" w:space="0" w:color="auto"/>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roofErr w:type="spellStart"/>
            <w:r w:rsidRPr="006B3A92">
              <w:rPr>
                <w:rFonts w:ascii="Calibri" w:eastAsia="Times New Roman" w:hAnsi="Calibri" w:cs="Calibri"/>
                <w:color w:val="000000"/>
                <w:sz w:val="20"/>
                <w:szCs w:val="20"/>
                <w:lang w:eastAsia="de-DE"/>
              </w:rPr>
              <w:t>Tertiary</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non-</w:t>
            </w:r>
            <w:proofErr w:type="spellStart"/>
            <w:r w:rsidRPr="006B3A92">
              <w:rPr>
                <w:rFonts w:ascii="Calibri" w:eastAsia="Times New Roman" w:hAnsi="Calibri" w:cs="Calibri"/>
                <w:color w:val="000000"/>
                <w:sz w:val="20"/>
                <w:szCs w:val="20"/>
                <w:lang w:eastAsia="de-DE"/>
              </w:rPr>
              <w:t>tertiary</w:t>
            </w:r>
            <w:proofErr w:type="spellEnd"/>
            <w:r w:rsidRPr="006B3A92">
              <w:rPr>
                <w:rFonts w:ascii="Calibri" w:eastAsia="Times New Roman" w:hAnsi="Calibri" w:cs="Calibri"/>
                <w:color w:val="000000"/>
                <w:sz w:val="20"/>
                <w:szCs w:val="20"/>
                <w:lang w:eastAsia="de-DE"/>
              </w:rPr>
              <w:t>)</w:t>
            </w:r>
          </w:p>
        </w:tc>
        <w:tc>
          <w:tcPr>
            <w:tcW w:w="0" w:type="auto"/>
            <w:tcBorders>
              <w:top w:val="dashed" w:sz="4" w:space="0" w:color="auto"/>
              <w:left w:val="single" w:sz="4" w:space="0" w:color="auto"/>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dashed" w:sz="4" w:space="0" w:color="auto"/>
              <w:left w:val="nil"/>
              <w:bottom w:val="nil"/>
              <w:right w:val="nil"/>
            </w:tcBorders>
            <w:shd w:val="clear" w:color="auto" w:fill="auto"/>
            <w:noWrap/>
            <w:hideMark/>
          </w:tcPr>
          <w:p w:rsidR="003072D7" w:rsidRPr="0081371A" w:rsidRDefault="003072D7" w:rsidP="00F27289">
            <w:pPr>
              <w:spacing w:after="0" w:line="240" w:lineRule="auto"/>
              <w:jc w:val="right"/>
              <w:rPr>
                <w:rFonts w:cstheme="minorHAnsi"/>
                <w:color w:val="000000"/>
                <w:sz w:val="20"/>
                <w:szCs w:val="20"/>
              </w:rPr>
            </w:pPr>
            <w:r w:rsidRPr="0081371A">
              <w:rPr>
                <w:rFonts w:cstheme="minorHAnsi"/>
                <w:color w:val="000000"/>
                <w:sz w:val="20"/>
                <w:szCs w:val="20"/>
              </w:rPr>
              <w:t>-,659</w:t>
            </w: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F27289">
            <w:pPr>
              <w:spacing w:after="0" w:line="240" w:lineRule="auto"/>
              <w:rPr>
                <w:rFonts w:cstheme="minorHAnsi"/>
                <w:color w:val="000000"/>
                <w:sz w:val="20"/>
                <w:szCs w:val="20"/>
              </w:rPr>
            </w:pPr>
            <w:r w:rsidRPr="0081371A">
              <w:rPr>
                <w:rFonts w:cstheme="minorHAnsi"/>
                <w:color w:val="000000"/>
                <w:sz w:val="20"/>
                <w:szCs w:val="20"/>
              </w:rPr>
              <w:t>***</w:t>
            </w:r>
          </w:p>
        </w:tc>
        <w:tc>
          <w:tcPr>
            <w:tcW w:w="0" w:type="auto"/>
            <w:tcBorders>
              <w:top w:val="dashed" w:sz="4" w:space="0" w:color="auto"/>
              <w:left w:val="nil"/>
              <w:bottom w:val="nil"/>
              <w:right w:val="nil"/>
            </w:tcBorders>
            <w:shd w:val="clear" w:color="auto" w:fill="auto"/>
            <w:noWrap/>
            <w:hideMark/>
          </w:tcPr>
          <w:p w:rsidR="003072D7" w:rsidRPr="0081371A" w:rsidRDefault="003072D7" w:rsidP="00F27289">
            <w:pPr>
              <w:spacing w:after="0" w:line="240" w:lineRule="auto"/>
              <w:jc w:val="right"/>
              <w:rPr>
                <w:rFonts w:cstheme="minorHAnsi"/>
                <w:color w:val="000000"/>
                <w:sz w:val="20"/>
                <w:szCs w:val="20"/>
              </w:rPr>
            </w:pPr>
            <w:r w:rsidRPr="0081371A">
              <w:rPr>
                <w:rFonts w:cstheme="minorHAnsi"/>
                <w:color w:val="000000"/>
                <w:sz w:val="20"/>
                <w:szCs w:val="20"/>
              </w:rPr>
              <w:t>-,553</w:t>
            </w: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Public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private)</w:t>
            </w:r>
          </w:p>
        </w:tc>
        <w:tc>
          <w:tcPr>
            <w:tcW w:w="0" w:type="auto"/>
            <w:tcBorders>
              <w:top w:val="nil"/>
              <w:left w:val="single" w:sz="4" w:space="0" w:color="auto"/>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F27289">
            <w:pPr>
              <w:spacing w:after="0" w:line="240" w:lineRule="auto"/>
              <w:jc w:val="right"/>
              <w:rPr>
                <w:rFonts w:cstheme="minorHAnsi"/>
                <w:color w:val="000000"/>
                <w:sz w:val="20"/>
                <w:szCs w:val="20"/>
              </w:rPr>
            </w:pPr>
            <w:r w:rsidRPr="0081371A">
              <w:rPr>
                <w:rFonts w:cstheme="minorHAnsi"/>
                <w:color w:val="000000"/>
                <w:sz w:val="20"/>
                <w:szCs w:val="20"/>
              </w:rPr>
              <w:t>,015</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F27289">
            <w:pPr>
              <w:spacing w:after="0" w:line="240" w:lineRule="auto"/>
              <w:jc w:val="right"/>
              <w:rPr>
                <w:rFonts w:cstheme="minorHAnsi"/>
                <w:color w:val="000000"/>
                <w:sz w:val="20"/>
                <w:szCs w:val="20"/>
              </w:rPr>
            </w:pPr>
            <w:r w:rsidRPr="0081371A">
              <w:rPr>
                <w:rFonts w:cstheme="minorHAnsi"/>
                <w:color w:val="000000"/>
                <w:sz w:val="20"/>
                <w:szCs w:val="20"/>
              </w:rPr>
              <w:t>,096</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Firm </w:t>
            </w:r>
            <w:proofErr w:type="spellStart"/>
            <w:r w:rsidRPr="006B3A92">
              <w:rPr>
                <w:rFonts w:ascii="Calibri" w:eastAsia="Times New Roman" w:hAnsi="Calibri" w:cs="Calibri"/>
                <w:color w:val="000000"/>
                <w:sz w:val="20"/>
                <w:szCs w:val="20"/>
                <w:lang w:eastAsia="de-DE"/>
              </w:rPr>
              <w:t>characteristics</w:t>
            </w:r>
            <w:proofErr w:type="spellEnd"/>
            <w:r w:rsidRPr="006B3A92">
              <w:rPr>
                <w:rFonts w:ascii="Calibri" w:eastAsia="Times New Roman" w:hAnsi="Calibri" w:cs="Calibri"/>
                <w:color w:val="000000"/>
                <w:sz w:val="20"/>
                <w:szCs w:val="20"/>
                <w:lang w:eastAsia="de-DE"/>
              </w:rPr>
              <w:t>: Size</w:t>
            </w: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Small: 1-24 </w:t>
            </w:r>
            <w:proofErr w:type="spellStart"/>
            <w:r w:rsidRPr="006B3A92">
              <w:rPr>
                <w:rFonts w:ascii="Calibri" w:eastAsia="Times New Roman" w:hAnsi="Calibri" w:cs="Calibri"/>
                <w:color w:val="000000"/>
                <w:sz w:val="20"/>
                <w:szCs w:val="20"/>
                <w:lang w:eastAsia="de-DE"/>
              </w:rPr>
              <w:t>employees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25-199)</w:t>
            </w:r>
          </w:p>
        </w:tc>
        <w:tc>
          <w:tcPr>
            <w:tcW w:w="0" w:type="auto"/>
            <w:tcBorders>
              <w:top w:val="nil"/>
              <w:left w:val="single" w:sz="4" w:space="0" w:color="auto"/>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F27289">
            <w:pPr>
              <w:spacing w:after="0" w:line="240" w:lineRule="auto"/>
              <w:jc w:val="right"/>
              <w:rPr>
                <w:rFonts w:cstheme="minorHAnsi"/>
                <w:color w:val="000000"/>
                <w:sz w:val="20"/>
                <w:szCs w:val="20"/>
              </w:rPr>
            </w:pPr>
            <w:r w:rsidRPr="0081371A">
              <w:rPr>
                <w:rFonts w:cstheme="minorHAnsi"/>
                <w:color w:val="000000"/>
                <w:sz w:val="20"/>
                <w:szCs w:val="20"/>
              </w:rPr>
              <w:t>,197</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F27289">
            <w:pPr>
              <w:spacing w:after="0" w:line="240" w:lineRule="auto"/>
              <w:jc w:val="right"/>
              <w:rPr>
                <w:rFonts w:cstheme="minorHAnsi"/>
                <w:color w:val="000000"/>
                <w:sz w:val="20"/>
                <w:szCs w:val="20"/>
              </w:rPr>
            </w:pPr>
            <w:r w:rsidRPr="0081371A">
              <w:rPr>
                <w:rFonts w:cstheme="minorHAnsi"/>
                <w:color w:val="000000"/>
                <w:sz w:val="20"/>
                <w:szCs w:val="20"/>
              </w:rPr>
              <w:t>,169</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r>
      <w:tr w:rsidR="003072D7" w:rsidRPr="006B3A92" w:rsidTr="003072D7">
        <w:trPr>
          <w:trHeight w:val="300"/>
        </w:trPr>
        <w:tc>
          <w:tcPr>
            <w:tcW w:w="0" w:type="auto"/>
            <w:tcBorders>
              <w:top w:val="nil"/>
              <w:left w:val="nil"/>
              <w:bottom w:val="dashed"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dashed"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Large: &gt;200 </w:t>
            </w:r>
            <w:proofErr w:type="spellStart"/>
            <w:r w:rsidRPr="006B3A92">
              <w:rPr>
                <w:rFonts w:ascii="Calibri" w:eastAsia="Times New Roman" w:hAnsi="Calibri" w:cs="Calibri"/>
                <w:color w:val="000000"/>
                <w:sz w:val="20"/>
                <w:szCs w:val="20"/>
                <w:lang w:eastAsia="de-DE"/>
              </w:rPr>
              <w:t>employees</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ref</w:t>
            </w:r>
            <w:proofErr w:type="spellEnd"/>
            <w:r w:rsidRPr="006B3A92">
              <w:rPr>
                <w:rFonts w:ascii="Calibri" w:eastAsia="Times New Roman" w:hAnsi="Calibri" w:cs="Calibri"/>
                <w:color w:val="000000"/>
                <w:sz w:val="20"/>
                <w:szCs w:val="20"/>
                <w:lang w:eastAsia="de-DE"/>
              </w:rPr>
              <w:t>.: 25-199)</w:t>
            </w:r>
          </w:p>
        </w:tc>
        <w:tc>
          <w:tcPr>
            <w:tcW w:w="0" w:type="auto"/>
            <w:tcBorders>
              <w:top w:val="nil"/>
              <w:left w:val="single" w:sz="4" w:space="0" w:color="auto"/>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dashed" w:sz="4" w:space="0" w:color="auto"/>
              <w:right w:val="nil"/>
            </w:tcBorders>
            <w:shd w:val="clear" w:color="auto" w:fill="auto"/>
            <w:noWrap/>
            <w:hideMark/>
          </w:tcPr>
          <w:p w:rsidR="003072D7" w:rsidRPr="0081371A" w:rsidRDefault="003072D7" w:rsidP="00F27289">
            <w:pPr>
              <w:spacing w:after="0" w:line="240" w:lineRule="auto"/>
              <w:jc w:val="right"/>
              <w:rPr>
                <w:rFonts w:cstheme="minorHAnsi"/>
                <w:color w:val="000000"/>
                <w:sz w:val="20"/>
                <w:szCs w:val="20"/>
              </w:rPr>
            </w:pPr>
            <w:r w:rsidRPr="0081371A">
              <w:rPr>
                <w:rFonts w:cstheme="minorHAnsi"/>
                <w:color w:val="000000"/>
                <w:sz w:val="20"/>
                <w:szCs w:val="20"/>
              </w:rPr>
              <w:t>,732</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F27289">
            <w:pPr>
              <w:spacing w:after="0" w:line="240" w:lineRule="auto"/>
              <w:rPr>
                <w:rFonts w:cstheme="minorHAnsi"/>
                <w:color w:val="000000"/>
                <w:sz w:val="20"/>
                <w:szCs w:val="20"/>
              </w:rPr>
            </w:pPr>
            <w:r w:rsidRPr="0081371A">
              <w:rPr>
                <w:rFonts w:cstheme="minorHAnsi"/>
                <w:color w:val="000000"/>
                <w:sz w:val="20"/>
                <w:szCs w:val="20"/>
              </w:rPr>
              <w:t>***</w:t>
            </w:r>
          </w:p>
        </w:tc>
        <w:tc>
          <w:tcPr>
            <w:tcW w:w="0" w:type="auto"/>
            <w:tcBorders>
              <w:top w:val="nil"/>
              <w:left w:val="nil"/>
              <w:bottom w:val="dashed" w:sz="4" w:space="0" w:color="auto"/>
              <w:right w:val="nil"/>
            </w:tcBorders>
            <w:shd w:val="clear" w:color="auto" w:fill="auto"/>
            <w:noWrap/>
            <w:hideMark/>
          </w:tcPr>
          <w:p w:rsidR="003072D7" w:rsidRPr="0081371A" w:rsidRDefault="003072D7" w:rsidP="00F27289">
            <w:pPr>
              <w:spacing w:after="0" w:line="240" w:lineRule="auto"/>
              <w:jc w:val="right"/>
              <w:rPr>
                <w:rFonts w:cstheme="minorHAnsi"/>
                <w:color w:val="000000"/>
                <w:sz w:val="20"/>
                <w:szCs w:val="20"/>
              </w:rPr>
            </w:pPr>
            <w:r w:rsidRPr="0081371A">
              <w:rPr>
                <w:rFonts w:cstheme="minorHAnsi"/>
                <w:color w:val="000000"/>
                <w:sz w:val="20"/>
                <w:szCs w:val="20"/>
              </w:rPr>
              <w:t>,730</w:t>
            </w:r>
          </w:p>
        </w:tc>
        <w:tc>
          <w:tcPr>
            <w:tcW w:w="0" w:type="auto"/>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r>
      <w:tr w:rsidR="003072D7" w:rsidRPr="006B3A92" w:rsidTr="003072D7">
        <w:trPr>
          <w:trHeight w:val="300"/>
        </w:trPr>
        <w:tc>
          <w:tcPr>
            <w:tcW w:w="0" w:type="auto"/>
            <w:tcBorders>
              <w:top w:val="dashed" w:sz="4" w:space="0" w:color="auto"/>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Human Capital: Education</w:t>
            </w:r>
          </w:p>
        </w:tc>
        <w:tc>
          <w:tcPr>
            <w:tcW w:w="0" w:type="auto"/>
            <w:tcBorders>
              <w:top w:val="dashed" w:sz="4" w:space="0" w:color="auto"/>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val="en-US" w:eastAsia="de-DE"/>
              </w:rPr>
            </w:pPr>
            <w:r w:rsidRPr="006B3A92">
              <w:rPr>
                <w:rFonts w:ascii="Calibri" w:eastAsia="Times New Roman" w:hAnsi="Calibri" w:cs="Calibri"/>
                <w:color w:val="000000"/>
                <w:sz w:val="20"/>
                <w:szCs w:val="20"/>
                <w:lang w:val="en-US" w:eastAsia="de-DE"/>
              </w:rPr>
              <w:t>Tertiary (Ref.: lower than tertiary)</w:t>
            </w:r>
          </w:p>
        </w:tc>
        <w:tc>
          <w:tcPr>
            <w:tcW w:w="0" w:type="auto"/>
            <w:tcBorders>
              <w:top w:val="dashed" w:sz="4" w:space="0" w:color="auto"/>
              <w:left w:val="single" w:sz="4" w:space="0" w:color="auto"/>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dashed" w:sz="4" w:space="0" w:color="auto"/>
              <w:left w:val="nil"/>
              <w:bottom w:val="nil"/>
              <w:right w:val="nil"/>
            </w:tcBorders>
            <w:shd w:val="clear" w:color="auto" w:fill="auto"/>
            <w:noWrap/>
            <w:hideMark/>
          </w:tcPr>
          <w:p w:rsidR="003072D7" w:rsidRPr="0081371A" w:rsidRDefault="003072D7" w:rsidP="00F27289">
            <w:pPr>
              <w:spacing w:after="0" w:line="240" w:lineRule="auto"/>
              <w:jc w:val="right"/>
              <w:rPr>
                <w:rFonts w:cstheme="minorHAnsi"/>
                <w:color w:val="000000"/>
                <w:sz w:val="20"/>
                <w:szCs w:val="20"/>
              </w:rPr>
            </w:pPr>
            <w:r w:rsidRPr="0081371A">
              <w:rPr>
                <w:rFonts w:cstheme="minorHAnsi"/>
                <w:color w:val="000000"/>
                <w:sz w:val="20"/>
                <w:szCs w:val="20"/>
              </w:rPr>
              <w:t>-,423</w:t>
            </w:r>
          </w:p>
        </w:tc>
        <w:tc>
          <w:tcPr>
            <w:tcW w:w="0" w:type="auto"/>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Job </w:t>
            </w:r>
            <w:proofErr w:type="spellStart"/>
            <w:r w:rsidRPr="006B3A92">
              <w:rPr>
                <w:rFonts w:ascii="Calibri" w:eastAsia="Times New Roman" w:hAnsi="Calibri" w:cs="Calibri"/>
                <w:color w:val="000000"/>
                <w:sz w:val="20"/>
                <w:szCs w:val="20"/>
                <w:lang w:eastAsia="de-DE"/>
              </w:rPr>
              <w:t>characteristics</w:t>
            </w:r>
            <w:proofErr w:type="spellEnd"/>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High </w:t>
            </w:r>
            <w:proofErr w:type="spellStart"/>
            <w:r w:rsidRPr="006B3A92">
              <w:rPr>
                <w:rFonts w:ascii="Calibri" w:eastAsia="Times New Roman" w:hAnsi="Calibri" w:cs="Calibri"/>
                <w:color w:val="000000"/>
                <w:sz w:val="20"/>
                <w:szCs w:val="20"/>
                <w:lang w:eastAsia="de-DE"/>
              </w:rPr>
              <w:t>job</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satisfcation</w:t>
            </w:r>
            <w:proofErr w:type="spellEnd"/>
          </w:p>
        </w:tc>
        <w:tc>
          <w:tcPr>
            <w:tcW w:w="0" w:type="auto"/>
            <w:tcBorders>
              <w:top w:val="nil"/>
              <w:left w:val="single" w:sz="4" w:space="0" w:color="auto"/>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F27289">
            <w:pPr>
              <w:spacing w:after="0" w:line="240" w:lineRule="auto"/>
              <w:jc w:val="right"/>
              <w:rPr>
                <w:rFonts w:cstheme="minorHAnsi"/>
                <w:color w:val="000000"/>
                <w:sz w:val="20"/>
                <w:szCs w:val="20"/>
              </w:rPr>
            </w:pPr>
            <w:r w:rsidRPr="0081371A">
              <w:rPr>
                <w:rFonts w:cstheme="minorHAnsi"/>
                <w:color w:val="000000"/>
                <w:sz w:val="20"/>
                <w:szCs w:val="20"/>
              </w:rPr>
              <w:t>-,585</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Poor </w:t>
            </w:r>
            <w:proofErr w:type="spellStart"/>
            <w:r w:rsidRPr="006B3A92">
              <w:rPr>
                <w:rFonts w:ascii="Calibri" w:eastAsia="Times New Roman" w:hAnsi="Calibri" w:cs="Calibri"/>
                <w:color w:val="000000"/>
                <w:sz w:val="20"/>
                <w:szCs w:val="20"/>
                <w:lang w:eastAsia="de-DE"/>
              </w:rPr>
              <w:t>job</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security</w:t>
            </w:r>
            <w:proofErr w:type="spellEnd"/>
          </w:p>
        </w:tc>
        <w:tc>
          <w:tcPr>
            <w:tcW w:w="0" w:type="auto"/>
            <w:tcBorders>
              <w:top w:val="nil"/>
              <w:left w:val="single" w:sz="4" w:space="0" w:color="auto"/>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F27289">
            <w:pPr>
              <w:spacing w:after="0" w:line="240" w:lineRule="auto"/>
              <w:jc w:val="right"/>
              <w:rPr>
                <w:rFonts w:cstheme="minorHAnsi"/>
                <w:color w:val="000000"/>
                <w:sz w:val="20"/>
                <w:szCs w:val="20"/>
              </w:rPr>
            </w:pPr>
            <w:r w:rsidRPr="0081371A">
              <w:rPr>
                <w:rFonts w:cstheme="minorHAnsi"/>
                <w:color w:val="000000"/>
                <w:sz w:val="20"/>
                <w:szCs w:val="20"/>
              </w:rPr>
              <w:t>,451</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r>
      <w:tr w:rsidR="003072D7" w:rsidRPr="006B3A92" w:rsidTr="003072D7">
        <w:trPr>
          <w:trHeight w:val="300"/>
        </w:trPr>
        <w:tc>
          <w:tcPr>
            <w:tcW w:w="0" w:type="auto"/>
            <w:tcBorders>
              <w:top w:val="nil"/>
              <w:left w:val="nil"/>
              <w:bottom w:val="nil"/>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nil"/>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r w:rsidRPr="006B3A92">
              <w:rPr>
                <w:rFonts w:ascii="Calibri" w:eastAsia="Times New Roman" w:hAnsi="Calibri" w:cs="Calibri"/>
                <w:color w:val="000000"/>
                <w:sz w:val="20"/>
                <w:szCs w:val="20"/>
                <w:lang w:eastAsia="de-DE"/>
              </w:rPr>
              <w:t xml:space="preserve">Little </w:t>
            </w:r>
            <w:proofErr w:type="spellStart"/>
            <w:r w:rsidRPr="006B3A92">
              <w:rPr>
                <w:rFonts w:ascii="Calibri" w:eastAsia="Times New Roman" w:hAnsi="Calibri" w:cs="Calibri"/>
                <w:color w:val="000000"/>
                <w:sz w:val="20"/>
                <w:szCs w:val="20"/>
                <w:lang w:eastAsia="de-DE"/>
              </w:rPr>
              <w:t>freedom</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of</w:t>
            </w:r>
            <w:proofErr w:type="spellEnd"/>
            <w:r w:rsidRPr="006B3A92">
              <w:rPr>
                <w:rFonts w:ascii="Calibri" w:eastAsia="Times New Roman" w:hAnsi="Calibri" w:cs="Calibri"/>
                <w:color w:val="000000"/>
                <w:sz w:val="20"/>
                <w:szCs w:val="20"/>
                <w:lang w:eastAsia="de-DE"/>
              </w:rPr>
              <w:t xml:space="preserve"> </w:t>
            </w:r>
            <w:proofErr w:type="spellStart"/>
            <w:r w:rsidRPr="006B3A92">
              <w:rPr>
                <w:rFonts w:ascii="Calibri" w:eastAsia="Times New Roman" w:hAnsi="Calibri" w:cs="Calibri"/>
                <w:color w:val="000000"/>
                <w:sz w:val="20"/>
                <w:szCs w:val="20"/>
                <w:lang w:eastAsia="de-DE"/>
              </w:rPr>
              <w:t>choice</w:t>
            </w:r>
            <w:proofErr w:type="spellEnd"/>
          </w:p>
        </w:tc>
        <w:tc>
          <w:tcPr>
            <w:tcW w:w="0" w:type="auto"/>
            <w:tcBorders>
              <w:top w:val="nil"/>
              <w:left w:val="single" w:sz="4" w:space="0" w:color="auto"/>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p>
        </w:tc>
        <w:tc>
          <w:tcPr>
            <w:tcW w:w="0" w:type="auto"/>
            <w:tcBorders>
              <w:top w:val="nil"/>
              <w:left w:val="nil"/>
              <w:bottom w:val="nil"/>
              <w:right w:val="nil"/>
            </w:tcBorders>
            <w:shd w:val="clear" w:color="auto" w:fill="auto"/>
            <w:noWrap/>
            <w:hideMark/>
          </w:tcPr>
          <w:p w:rsidR="003072D7" w:rsidRPr="0081371A" w:rsidRDefault="003072D7" w:rsidP="00F27289">
            <w:pPr>
              <w:spacing w:after="0" w:line="240" w:lineRule="auto"/>
              <w:jc w:val="right"/>
              <w:rPr>
                <w:rFonts w:cstheme="minorHAnsi"/>
                <w:color w:val="000000"/>
                <w:sz w:val="20"/>
                <w:szCs w:val="20"/>
              </w:rPr>
            </w:pPr>
            <w:r w:rsidRPr="0081371A">
              <w:rPr>
                <w:rFonts w:cstheme="minorHAnsi"/>
                <w:color w:val="000000"/>
                <w:sz w:val="20"/>
                <w:szCs w:val="20"/>
              </w:rPr>
              <w:t>,524</w:t>
            </w:r>
          </w:p>
        </w:tc>
        <w:tc>
          <w:tcPr>
            <w:tcW w:w="0" w:type="auto"/>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r>
      <w:tr w:rsidR="003072D7" w:rsidRPr="006B3A92" w:rsidTr="003072D7">
        <w:trPr>
          <w:trHeight w:val="300"/>
        </w:trPr>
        <w:tc>
          <w:tcPr>
            <w:tcW w:w="0" w:type="auto"/>
            <w:tcBorders>
              <w:top w:val="nil"/>
              <w:left w:val="nil"/>
              <w:bottom w:val="single" w:sz="4" w:space="0" w:color="auto"/>
              <w:right w:val="nil"/>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eastAsia="de-DE"/>
              </w:rPr>
            </w:pPr>
          </w:p>
        </w:tc>
        <w:tc>
          <w:tcPr>
            <w:tcW w:w="0" w:type="auto"/>
            <w:tcBorders>
              <w:top w:val="nil"/>
              <w:left w:val="nil"/>
              <w:bottom w:val="single" w:sz="4" w:space="0" w:color="auto"/>
              <w:right w:val="single" w:sz="4" w:space="0" w:color="auto"/>
            </w:tcBorders>
            <w:shd w:val="clear" w:color="auto" w:fill="auto"/>
            <w:noWrap/>
            <w:vAlign w:val="bottom"/>
            <w:hideMark/>
          </w:tcPr>
          <w:p w:rsidR="003072D7" w:rsidRPr="006B3A92" w:rsidRDefault="003072D7" w:rsidP="003072D7">
            <w:pPr>
              <w:spacing w:after="0" w:line="240" w:lineRule="auto"/>
              <w:jc w:val="both"/>
              <w:rPr>
                <w:rFonts w:ascii="Calibri" w:eastAsia="Times New Roman" w:hAnsi="Calibri" w:cs="Calibri"/>
                <w:color w:val="000000"/>
                <w:sz w:val="20"/>
                <w:szCs w:val="20"/>
                <w:lang w:val="en-US" w:eastAsia="de-DE"/>
              </w:rPr>
            </w:pPr>
            <w:r w:rsidRPr="006B3A92">
              <w:rPr>
                <w:rFonts w:ascii="Calibri" w:eastAsia="Times New Roman" w:hAnsi="Calibri" w:cs="Calibri"/>
                <w:color w:val="000000"/>
                <w:sz w:val="20"/>
                <w:szCs w:val="20"/>
                <w:lang w:val="en-US" w:eastAsia="de-DE"/>
              </w:rPr>
              <w:t>Work time: 40 hours and more (ref)</w:t>
            </w:r>
          </w:p>
        </w:tc>
        <w:tc>
          <w:tcPr>
            <w:tcW w:w="0" w:type="auto"/>
            <w:tcBorders>
              <w:top w:val="nil"/>
              <w:left w:val="single" w:sz="4" w:space="0" w:color="auto"/>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vAlign w:val="bottom"/>
            <w:hideMark/>
          </w:tcPr>
          <w:p w:rsidR="003072D7" w:rsidRPr="00E26C0A" w:rsidRDefault="003072D7" w:rsidP="003072D7">
            <w:pPr>
              <w:spacing w:after="0" w:line="240" w:lineRule="auto"/>
              <w:jc w:val="both"/>
              <w:rPr>
                <w:rFonts w:cstheme="minorHAnsi"/>
                <w:color w:val="000000"/>
                <w:sz w:val="20"/>
                <w:szCs w:val="20"/>
                <w:lang w:val="en-US"/>
              </w:rPr>
            </w:pPr>
          </w:p>
        </w:tc>
        <w:tc>
          <w:tcPr>
            <w:tcW w:w="0" w:type="auto"/>
            <w:tcBorders>
              <w:top w:val="nil"/>
              <w:left w:val="nil"/>
              <w:bottom w:val="single" w:sz="4" w:space="0" w:color="auto"/>
              <w:right w:val="nil"/>
            </w:tcBorders>
            <w:shd w:val="clear" w:color="auto" w:fill="auto"/>
            <w:noWrap/>
            <w:hideMark/>
          </w:tcPr>
          <w:p w:rsidR="003072D7" w:rsidRPr="0081371A" w:rsidRDefault="003072D7" w:rsidP="00F27289">
            <w:pPr>
              <w:spacing w:after="0" w:line="240" w:lineRule="auto"/>
              <w:jc w:val="right"/>
              <w:rPr>
                <w:rFonts w:cstheme="minorHAnsi"/>
                <w:color w:val="000000"/>
                <w:sz w:val="20"/>
                <w:szCs w:val="20"/>
              </w:rPr>
            </w:pPr>
            <w:r w:rsidRPr="0081371A">
              <w:rPr>
                <w:rFonts w:cstheme="minorHAnsi"/>
                <w:color w:val="000000"/>
                <w:sz w:val="20"/>
                <w:szCs w:val="20"/>
              </w:rPr>
              <w:t>-,745</w:t>
            </w:r>
          </w:p>
        </w:tc>
        <w:tc>
          <w:tcPr>
            <w:tcW w:w="0" w:type="auto"/>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cstheme="minorHAnsi"/>
                <w:color w:val="000000"/>
                <w:sz w:val="20"/>
                <w:szCs w:val="20"/>
              </w:rPr>
            </w:pPr>
            <w:r w:rsidRPr="0081371A">
              <w:rPr>
                <w:rFonts w:cstheme="minorHAnsi"/>
                <w:color w:val="000000"/>
                <w:sz w:val="20"/>
                <w:szCs w:val="20"/>
              </w:rPr>
              <w:t>*</w:t>
            </w:r>
          </w:p>
        </w:tc>
      </w:tr>
    </w:tbl>
    <w:p w:rsidR="003072D7" w:rsidRPr="006B3A92" w:rsidRDefault="003072D7" w:rsidP="003072D7">
      <w:pPr>
        <w:pStyle w:val="Listenabsatz"/>
        <w:ind w:left="0"/>
        <w:jc w:val="both"/>
        <w:rPr>
          <w:sz w:val="20"/>
          <w:szCs w:val="20"/>
          <w:lang w:val="en-GB"/>
        </w:rPr>
      </w:pPr>
      <w:r>
        <w:rPr>
          <w:sz w:val="20"/>
          <w:szCs w:val="20"/>
          <w:lang w:val="en-GB"/>
        </w:rPr>
        <w:br w:type="textWrapping" w:clear="all"/>
        <w:t xml:space="preserve">Source: SHARE: Wave 1 &amp; 2, Own calculations, *** </w:t>
      </w:r>
      <w:r>
        <w:rPr>
          <w:rFonts w:cstheme="minorHAnsi"/>
          <w:sz w:val="20"/>
          <w:szCs w:val="20"/>
          <w:lang w:val="en-GB"/>
        </w:rPr>
        <w:t xml:space="preserve">α ≤ 0,001, </w:t>
      </w:r>
      <w:r>
        <w:rPr>
          <w:sz w:val="20"/>
          <w:szCs w:val="20"/>
          <w:lang w:val="en-GB"/>
        </w:rPr>
        <w:t xml:space="preserve">** </w:t>
      </w:r>
      <w:r>
        <w:rPr>
          <w:rFonts w:cstheme="minorHAnsi"/>
          <w:sz w:val="20"/>
          <w:szCs w:val="20"/>
          <w:lang w:val="en-GB"/>
        </w:rPr>
        <w:t>α ≤ 0</w:t>
      </w:r>
      <w:proofErr w:type="gramStart"/>
      <w:r>
        <w:rPr>
          <w:rFonts w:cstheme="minorHAnsi"/>
          <w:sz w:val="20"/>
          <w:szCs w:val="20"/>
          <w:lang w:val="en-GB"/>
        </w:rPr>
        <w:t>,01</w:t>
      </w:r>
      <w:proofErr w:type="gramEnd"/>
      <w:r>
        <w:rPr>
          <w:rFonts w:cstheme="minorHAnsi"/>
          <w:sz w:val="20"/>
          <w:szCs w:val="20"/>
          <w:lang w:val="en-GB"/>
        </w:rPr>
        <w:t xml:space="preserve">, </w:t>
      </w:r>
      <w:r>
        <w:rPr>
          <w:sz w:val="20"/>
          <w:szCs w:val="20"/>
          <w:lang w:val="en-GB"/>
        </w:rPr>
        <w:t xml:space="preserve">* </w:t>
      </w:r>
      <w:r>
        <w:rPr>
          <w:rFonts w:cstheme="minorHAnsi"/>
          <w:sz w:val="20"/>
          <w:szCs w:val="20"/>
          <w:lang w:val="en-GB"/>
        </w:rPr>
        <w:t xml:space="preserve">α ≤ 0,05, </w:t>
      </w:r>
      <w:r>
        <w:rPr>
          <w:sz w:val="20"/>
          <w:szCs w:val="20"/>
          <w:lang w:val="en-GB"/>
        </w:rPr>
        <w:t xml:space="preserve">+ </w:t>
      </w:r>
      <w:r>
        <w:rPr>
          <w:rFonts w:cstheme="minorHAnsi"/>
          <w:sz w:val="20"/>
          <w:szCs w:val="20"/>
          <w:lang w:val="en-GB"/>
        </w:rPr>
        <w:t>α ≤ 0,1</w:t>
      </w:r>
    </w:p>
    <w:p w:rsidR="003072D7" w:rsidRPr="006B3A92" w:rsidRDefault="003072D7" w:rsidP="003072D7">
      <w:pPr>
        <w:pStyle w:val="Listenabsatz"/>
        <w:ind w:left="0"/>
        <w:jc w:val="both"/>
        <w:rPr>
          <w:sz w:val="20"/>
          <w:szCs w:val="20"/>
          <w:lang w:val="en-GB"/>
        </w:rPr>
        <w:sectPr w:rsidR="003072D7" w:rsidRPr="006B3A92" w:rsidSect="003072D7">
          <w:pgSz w:w="16838" w:h="11906" w:orient="landscape"/>
          <w:pgMar w:top="1418" w:right="1418" w:bottom="1418" w:left="1134" w:header="709" w:footer="709" w:gutter="0"/>
          <w:cols w:space="708"/>
          <w:docGrid w:linePitch="360"/>
        </w:sectPr>
      </w:pPr>
    </w:p>
    <w:p w:rsidR="003072D7" w:rsidRDefault="003072D7" w:rsidP="003072D7">
      <w:pPr>
        <w:pStyle w:val="Listenabsatz"/>
        <w:ind w:left="0"/>
        <w:jc w:val="both"/>
        <w:rPr>
          <w:sz w:val="20"/>
          <w:szCs w:val="20"/>
          <w:lang w:val="en-GB"/>
        </w:rPr>
      </w:pPr>
    </w:p>
    <w:p w:rsidR="003072D7" w:rsidRPr="006B3A92" w:rsidRDefault="003072D7" w:rsidP="003072D7">
      <w:pPr>
        <w:pStyle w:val="Listenabsatz"/>
        <w:ind w:left="0"/>
        <w:jc w:val="both"/>
        <w:rPr>
          <w:sz w:val="20"/>
          <w:szCs w:val="20"/>
          <w:lang w:val="en-GB"/>
        </w:rPr>
      </w:pPr>
      <w:r>
        <w:rPr>
          <w:sz w:val="20"/>
          <w:szCs w:val="20"/>
          <w:lang w:val="en-GB"/>
        </w:rPr>
        <w:t xml:space="preserve">Table </w:t>
      </w:r>
      <w:r w:rsidR="008C232A">
        <w:rPr>
          <w:sz w:val="20"/>
          <w:szCs w:val="20"/>
          <w:lang w:val="en-GB"/>
        </w:rPr>
        <w:t>4</w:t>
      </w:r>
      <w:r>
        <w:rPr>
          <w:sz w:val="20"/>
          <w:szCs w:val="20"/>
          <w:lang w:val="en-GB"/>
        </w:rPr>
        <w:t xml:space="preserve">: </w:t>
      </w:r>
      <w:proofErr w:type="spellStart"/>
      <w:r>
        <w:rPr>
          <w:sz w:val="20"/>
          <w:szCs w:val="20"/>
          <w:lang w:val="en-GB"/>
        </w:rPr>
        <w:t>Multinmial</w:t>
      </w:r>
      <w:proofErr w:type="spellEnd"/>
      <w:r>
        <w:rPr>
          <w:sz w:val="20"/>
          <w:szCs w:val="20"/>
          <w:lang w:val="en-GB"/>
        </w:rPr>
        <w:t xml:space="preserve"> logistic regression: Reasons for Exit from employment </w:t>
      </w:r>
    </w:p>
    <w:tbl>
      <w:tblPr>
        <w:tblW w:w="12536" w:type="dxa"/>
        <w:tblInd w:w="55" w:type="dxa"/>
        <w:tblCellMar>
          <w:left w:w="70" w:type="dxa"/>
          <w:right w:w="70" w:type="dxa"/>
        </w:tblCellMar>
        <w:tblLook w:val="04A0" w:firstRow="1" w:lastRow="0" w:firstColumn="1" w:lastColumn="0" w:noHBand="0" w:noVBand="1"/>
      </w:tblPr>
      <w:tblGrid>
        <w:gridCol w:w="2620"/>
        <w:gridCol w:w="3580"/>
        <w:gridCol w:w="940"/>
        <w:gridCol w:w="439"/>
        <w:gridCol w:w="1400"/>
        <w:gridCol w:w="439"/>
        <w:gridCol w:w="1480"/>
        <w:gridCol w:w="439"/>
        <w:gridCol w:w="1011"/>
        <w:gridCol w:w="439"/>
      </w:tblGrid>
      <w:tr w:rsidR="003072D7" w:rsidRPr="0081371A" w:rsidTr="00F27289">
        <w:trPr>
          <w:trHeight w:val="300"/>
        </w:trPr>
        <w:tc>
          <w:tcPr>
            <w:tcW w:w="2620" w:type="dxa"/>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val="en-GB" w:eastAsia="de-DE"/>
              </w:rPr>
            </w:pPr>
          </w:p>
        </w:tc>
        <w:tc>
          <w:tcPr>
            <w:tcW w:w="3580" w:type="dxa"/>
            <w:tcBorders>
              <w:top w:val="single" w:sz="4" w:space="0" w:color="auto"/>
              <w:left w:val="nil"/>
              <w:bottom w:val="nil"/>
              <w:right w:val="single" w:sz="4" w:space="0" w:color="auto"/>
            </w:tcBorders>
            <w:shd w:val="clear" w:color="auto" w:fill="auto"/>
            <w:noWrap/>
            <w:vAlign w:val="bottom"/>
            <w:hideMark/>
          </w:tcPr>
          <w:p w:rsidR="003072D7" w:rsidRPr="00082FE4" w:rsidRDefault="003072D7" w:rsidP="003072D7">
            <w:pPr>
              <w:spacing w:after="0" w:line="240" w:lineRule="auto"/>
              <w:jc w:val="both"/>
              <w:rPr>
                <w:rFonts w:eastAsia="Times New Roman" w:cstheme="minorHAnsi"/>
                <w:color w:val="000000"/>
                <w:sz w:val="20"/>
                <w:szCs w:val="20"/>
                <w:lang w:val="en-US" w:eastAsia="de-DE"/>
              </w:rPr>
            </w:pPr>
            <w:r w:rsidRPr="00082FE4">
              <w:rPr>
                <w:rFonts w:eastAsia="Times New Roman" w:cstheme="minorHAnsi"/>
                <w:color w:val="000000"/>
                <w:sz w:val="20"/>
                <w:szCs w:val="20"/>
                <w:lang w:val="en-US" w:eastAsia="de-DE"/>
              </w:rPr>
              <w:t>Model</w:t>
            </w:r>
          </w:p>
        </w:tc>
        <w:tc>
          <w:tcPr>
            <w:tcW w:w="940" w:type="dxa"/>
            <w:tcBorders>
              <w:top w:val="single" w:sz="4" w:space="0" w:color="auto"/>
              <w:left w:val="single" w:sz="4" w:space="0" w:color="auto"/>
              <w:bottom w:val="nil"/>
              <w:right w:val="nil"/>
            </w:tcBorders>
            <w:shd w:val="clear" w:color="auto" w:fill="auto"/>
            <w:noWrap/>
            <w:vAlign w:val="bottom"/>
            <w:hideMark/>
          </w:tcPr>
          <w:p w:rsidR="003072D7" w:rsidRPr="00082FE4" w:rsidRDefault="003072D7" w:rsidP="003072D7">
            <w:pPr>
              <w:spacing w:after="0" w:line="240" w:lineRule="auto"/>
              <w:jc w:val="both"/>
              <w:rPr>
                <w:rFonts w:eastAsia="Times New Roman" w:cstheme="minorHAnsi"/>
                <w:color w:val="000000"/>
                <w:sz w:val="20"/>
                <w:szCs w:val="20"/>
                <w:lang w:val="en-US" w:eastAsia="de-DE"/>
              </w:rPr>
            </w:pPr>
            <w:r w:rsidRPr="00082FE4">
              <w:rPr>
                <w:rFonts w:eastAsia="Times New Roman" w:cstheme="minorHAnsi"/>
                <w:color w:val="000000"/>
                <w:sz w:val="20"/>
                <w:szCs w:val="20"/>
                <w:lang w:val="en-US" w:eastAsia="de-DE"/>
              </w:rPr>
              <w:t>Age limit</w:t>
            </w:r>
          </w:p>
        </w:tc>
        <w:tc>
          <w:tcPr>
            <w:tcW w:w="439" w:type="dxa"/>
            <w:tcBorders>
              <w:top w:val="single" w:sz="4" w:space="0" w:color="auto"/>
              <w:left w:val="nil"/>
              <w:bottom w:val="nil"/>
              <w:right w:val="nil"/>
            </w:tcBorders>
            <w:shd w:val="clear" w:color="auto" w:fill="auto"/>
            <w:noWrap/>
            <w:vAlign w:val="bottom"/>
            <w:hideMark/>
          </w:tcPr>
          <w:p w:rsidR="003072D7" w:rsidRPr="00082FE4" w:rsidRDefault="003072D7" w:rsidP="003072D7">
            <w:pPr>
              <w:spacing w:after="0" w:line="240" w:lineRule="auto"/>
              <w:jc w:val="both"/>
              <w:rPr>
                <w:rFonts w:eastAsia="Times New Roman" w:cstheme="minorHAnsi"/>
                <w:color w:val="000000"/>
                <w:sz w:val="20"/>
                <w:szCs w:val="20"/>
                <w:lang w:val="en-US" w:eastAsia="de-DE"/>
              </w:rPr>
            </w:pPr>
          </w:p>
        </w:tc>
        <w:tc>
          <w:tcPr>
            <w:tcW w:w="1400" w:type="dxa"/>
            <w:tcBorders>
              <w:top w:val="single" w:sz="4" w:space="0" w:color="auto"/>
              <w:left w:val="nil"/>
              <w:bottom w:val="nil"/>
              <w:right w:val="nil"/>
            </w:tcBorders>
            <w:shd w:val="clear" w:color="auto" w:fill="auto"/>
            <w:noWrap/>
            <w:vAlign w:val="bottom"/>
            <w:hideMark/>
          </w:tcPr>
          <w:p w:rsidR="003072D7" w:rsidRPr="00082FE4" w:rsidRDefault="003072D7" w:rsidP="003072D7">
            <w:pPr>
              <w:spacing w:after="0" w:line="240" w:lineRule="auto"/>
              <w:jc w:val="both"/>
              <w:rPr>
                <w:rFonts w:eastAsia="Times New Roman" w:cstheme="minorHAnsi"/>
                <w:color w:val="000000"/>
                <w:sz w:val="20"/>
                <w:szCs w:val="20"/>
                <w:lang w:val="en-US" w:eastAsia="de-DE"/>
              </w:rPr>
            </w:pPr>
            <w:r w:rsidRPr="00082FE4">
              <w:rPr>
                <w:rFonts w:eastAsia="Times New Roman" w:cstheme="minorHAnsi"/>
                <w:color w:val="000000"/>
                <w:sz w:val="20"/>
                <w:szCs w:val="20"/>
                <w:lang w:val="en-US" w:eastAsia="de-DE"/>
              </w:rPr>
              <w:t>Employer pull</w:t>
            </w:r>
          </w:p>
        </w:tc>
        <w:tc>
          <w:tcPr>
            <w:tcW w:w="439" w:type="dxa"/>
            <w:tcBorders>
              <w:top w:val="single" w:sz="4" w:space="0" w:color="auto"/>
              <w:left w:val="nil"/>
              <w:bottom w:val="nil"/>
              <w:right w:val="nil"/>
            </w:tcBorders>
            <w:shd w:val="clear" w:color="auto" w:fill="auto"/>
            <w:noWrap/>
            <w:vAlign w:val="bottom"/>
            <w:hideMark/>
          </w:tcPr>
          <w:p w:rsidR="003072D7" w:rsidRPr="00082FE4" w:rsidRDefault="003072D7" w:rsidP="003072D7">
            <w:pPr>
              <w:spacing w:after="0" w:line="240" w:lineRule="auto"/>
              <w:jc w:val="both"/>
              <w:rPr>
                <w:rFonts w:eastAsia="Times New Roman" w:cstheme="minorHAnsi"/>
                <w:color w:val="000000"/>
                <w:sz w:val="20"/>
                <w:szCs w:val="20"/>
                <w:lang w:val="en-US" w:eastAsia="de-DE"/>
              </w:rPr>
            </w:pPr>
          </w:p>
        </w:tc>
        <w:tc>
          <w:tcPr>
            <w:tcW w:w="1480" w:type="dxa"/>
            <w:tcBorders>
              <w:top w:val="single" w:sz="4" w:space="0" w:color="auto"/>
              <w:left w:val="nil"/>
              <w:bottom w:val="nil"/>
              <w:right w:val="nil"/>
            </w:tcBorders>
            <w:shd w:val="clear" w:color="auto" w:fill="auto"/>
            <w:noWrap/>
            <w:vAlign w:val="bottom"/>
            <w:hideMark/>
          </w:tcPr>
          <w:p w:rsidR="003072D7" w:rsidRPr="002B424B" w:rsidRDefault="003072D7" w:rsidP="003072D7">
            <w:pPr>
              <w:spacing w:after="0" w:line="240" w:lineRule="auto"/>
              <w:jc w:val="both"/>
              <w:rPr>
                <w:rFonts w:eastAsia="Times New Roman" w:cstheme="minorHAnsi"/>
                <w:color w:val="000000"/>
                <w:sz w:val="20"/>
                <w:szCs w:val="20"/>
                <w:lang w:val="en-US" w:eastAsia="de-DE"/>
              </w:rPr>
            </w:pPr>
            <w:r w:rsidRPr="00082FE4">
              <w:rPr>
                <w:rFonts w:eastAsia="Times New Roman" w:cstheme="minorHAnsi"/>
                <w:color w:val="000000"/>
                <w:sz w:val="20"/>
                <w:szCs w:val="20"/>
                <w:lang w:val="en-US" w:eastAsia="de-DE"/>
              </w:rPr>
              <w:t>Employer pu</w:t>
            </w:r>
            <w:r w:rsidRPr="002B424B">
              <w:rPr>
                <w:rFonts w:eastAsia="Times New Roman" w:cstheme="minorHAnsi"/>
                <w:color w:val="000000"/>
                <w:sz w:val="20"/>
                <w:szCs w:val="20"/>
                <w:lang w:val="en-US" w:eastAsia="de-DE"/>
              </w:rPr>
              <w:t>sh</w:t>
            </w:r>
          </w:p>
        </w:tc>
        <w:tc>
          <w:tcPr>
            <w:tcW w:w="439" w:type="dxa"/>
            <w:tcBorders>
              <w:top w:val="single" w:sz="4" w:space="0" w:color="auto"/>
              <w:left w:val="nil"/>
              <w:bottom w:val="nil"/>
              <w:right w:val="nil"/>
            </w:tcBorders>
            <w:shd w:val="clear" w:color="auto" w:fill="auto"/>
            <w:noWrap/>
            <w:vAlign w:val="bottom"/>
            <w:hideMark/>
          </w:tcPr>
          <w:p w:rsidR="003072D7" w:rsidRPr="002B424B" w:rsidRDefault="003072D7" w:rsidP="003072D7">
            <w:pPr>
              <w:spacing w:after="0" w:line="240" w:lineRule="auto"/>
              <w:jc w:val="both"/>
              <w:rPr>
                <w:rFonts w:eastAsia="Times New Roman" w:cstheme="minorHAnsi"/>
                <w:color w:val="000000"/>
                <w:sz w:val="20"/>
                <w:szCs w:val="20"/>
                <w:lang w:val="en-US" w:eastAsia="de-DE"/>
              </w:rPr>
            </w:pPr>
          </w:p>
        </w:tc>
        <w:tc>
          <w:tcPr>
            <w:tcW w:w="1011" w:type="dxa"/>
            <w:tcBorders>
              <w:top w:val="single" w:sz="4" w:space="0" w:color="auto"/>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2B424B">
              <w:rPr>
                <w:rFonts w:eastAsia="Times New Roman" w:cstheme="minorHAnsi"/>
                <w:color w:val="000000"/>
                <w:sz w:val="20"/>
                <w:szCs w:val="20"/>
                <w:lang w:val="en-US" w:eastAsia="de-DE"/>
              </w:rPr>
              <w:t>P</w:t>
            </w:r>
            <w:proofErr w:type="spellStart"/>
            <w:r w:rsidRPr="0081371A">
              <w:rPr>
                <w:rFonts w:eastAsia="Times New Roman" w:cstheme="minorHAnsi"/>
                <w:color w:val="000000"/>
                <w:sz w:val="20"/>
                <w:szCs w:val="20"/>
                <w:lang w:eastAsia="de-DE"/>
              </w:rPr>
              <w:t>rivate</w:t>
            </w:r>
            <w:proofErr w:type="spellEnd"/>
          </w:p>
        </w:tc>
        <w:tc>
          <w:tcPr>
            <w:tcW w:w="188"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r>
      <w:tr w:rsidR="003072D7" w:rsidRPr="0081371A" w:rsidTr="00F27289">
        <w:trPr>
          <w:trHeight w:val="300"/>
        </w:trPr>
        <w:tc>
          <w:tcPr>
            <w:tcW w:w="2620"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3580" w:type="dxa"/>
            <w:tcBorders>
              <w:top w:val="nil"/>
              <w:left w:val="nil"/>
              <w:bottom w:val="nil"/>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N</w:t>
            </w:r>
          </w:p>
        </w:tc>
        <w:tc>
          <w:tcPr>
            <w:tcW w:w="940" w:type="dxa"/>
            <w:tcBorders>
              <w:top w:val="nil"/>
              <w:left w:val="single" w:sz="4" w:space="0" w:color="auto"/>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3191</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00"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3191</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80"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3191</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011"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3191</w:t>
            </w:r>
          </w:p>
        </w:tc>
        <w:tc>
          <w:tcPr>
            <w:tcW w:w="188"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r>
      <w:tr w:rsidR="003072D7" w:rsidRPr="0081371A" w:rsidTr="00F27289">
        <w:trPr>
          <w:trHeight w:val="300"/>
        </w:trPr>
        <w:tc>
          <w:tcPr>
            <w:tcW w:w="2620" w:type="dxa"/>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3580" w:type="dxa"/>
            <w:tcBorders>
              <w:top w:val="nil"/>
              <w:left w:val="nil"/>
              <w:bottom w:val="single" w:sz="4" w:space="0" w:color="auto"/>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R-</w:t>
            </w:r>
            <w:proofErr w:type="spellStart"/>
            <w:r w:rsidRPr="0081371A">
              <w:rPr>
                <w:rFonts w:eastAsia="Times New Roman" w:cstheme="minorHAnsi"/>
                <w:color w:val="000000"/>
                <w:sz w:val="20"/>
                <w:szCs w:val="20"/>
                <w:lang w:eastAsia="de-DE"/>
              </w:rPr>
              <w:t>square</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Nagelkerke</w:t>
            </w:r>
            <w:proofErr w:type="spellEnd"/>
            <w:r w:rsidRPr="0081371A">
              <w:rPr>
                <w:rFonts w:eastAsia="Times New Roman" w:cstheme="minorHAnsi"/>
                <w:color w:val="000000"/>
                <w:sz w:val="20"/>
                <w:szCs w:val="20"/>
                <w:lang w:eastAsia="de-DE"/>
              </w:rPr>
              <w:t>)</w:t>
            </w:r>
          </w:p>
        </w:tc>
        <w:tc>
          <w:tcPr>
            <w:tcW w:w="940" w:type="dxa"/>
            <w:tcBorders>
              <w:top w:val="nil"/>
              <w:left w:val="single" w:sz="4" w:space="0" w:color="auto"/>
              <w:bottom w:val="single" w:sz="4" w:space="0" w:color="auto"/>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0,178</w:t>
            </w:r>
          </w:p>
        </w:tc>
        <w:tc>
          <w:tcPr>
            <w:tcW w:w="439" w:type="dxa"/>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00" w:type="dxa"/>
            <w:tcBorders>
              <w:top w:val="nil"/>
              <w:left w:val="nil"/>
              <w:bottom w:val="single" w:sz="4" w:space="0" w:color="auto"/>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0,178</w:t>
            </w:r>
          </w:p>
        </w:tc>
        <w:tc>
          <w:tcPr>
            <w:tcW w:w="439" w:type="dxa"/>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80" w:type="dxa"/>
            <w:tcBorders>
              <w:top w:val="nil"/>
              <w:left w:val="nil"/>
              <w:bottom w:val="single" w:sz="4" w:space="0" w:color="auto"/>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,178</w:t>
            </w:r>
          </w:p>
        </w:tc>
        <w:tc>
          <w:tcPr>
            <w:tcW w:w="439" w:type="dxa"/>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011" w:type="dxa"/>
            <w:tcBorders>
              <w:top w:val="nil"/>
              <w:left w:val="nil"/>
              <w:bottom w:val="single" w:sz="4" w:space="0" w:color="auto"/>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0,178</w:t>
            </w:r>
          </w:p>
        </w:tc>
        <w:tc>
          <w:tcPr>
            <w:tcW w:w="188" w:type="dxa"/>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r>
      <w:tr w:rsidR="003072D7" w:rsidRPr="0081371A" w:rsidTr="00F27289">
        <w:trPr>
          <w:trHeight w:val="300"/>
        </w:trPr>
        <w:tc>
          <w:tcPr>
            <w:tcW w:w="2620" w:type="dxa"/>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3580" w:type="dxa"/>
            <w:tcBorders>
              <w:top w:val="single" w:sz="4" w:space="0" w:color="auto"/>
              <w:left w:val="nil"/>
              <w:bottom w:val="single" w:sz="4" w:space="0" w:color="auto"/>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Constant</w:t>
            </w:r>
          </w:p>
        </w:tc>
        <w:tc>
          <w:tcPr>
            <w:tcW w:w="940" w:type="dxa"/>
            <w:tcBorders>
              <w:top w:val="single" w:sz="4" w:space="0" w:color="auto"/>
              <w:left w:val="single" w:sz="4" w:space="0" w:color="auto"/>
              <w:bottom w:val="single" w:sz="4" w:space="0" w:color="auto"/>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-7,101</w:t>
            </w:r>
          </w:p>
        </w:tc>
        <w:tc>
          <w:tcPr>
            <w:tcW w:w="439" w:type="dxa"/>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00" w:type="dxa"/>
            <w:tcBorders>
              <w:top w:val="single" w:sz="4" w:space="0" w:color="auto"/>
              <w:left w:val="nil"/>
              <w:bottom w:val="single" w:sz="4" w:space="0" w:color="auto"/>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-6,182</w:t>
            </w:r>
          </w:p>
        </w:tc>
        <w:tc>
          <w:tcPr>
            <w:tcW w:w="439" w:type="dxa"/>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80" w:type="dxa"/>
            <w:tcBorders>
              <w:top w:val="single" w:sz="4" w:space="0" w:color="auto"/>
              <w:left w:val="nil"/>
              <w:bottom w:val="single" w:sz="4" w:space="0" w:color="auto"/>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-4,345</w:t>
            </w:r>
          </w:p>
        </w:tc>
        <w:tc>
          <w:tcPr>
            <w:tcW w:w="439" w:type="dxa"/>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011" w:type="dxa"/>
            <w:tcBorders>
              <w:top w:val="single" w:sz="4" w:space="0" w:color="auto"/>
              <w:left w:val="nil"/>
              <w:bottom w:val="single" w:sz="4" w:space="0" w:color="auto"/>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-3,432</w:t>
            </w:r>
          </w:p>
        </w:tc>
        <w:tc>
          <w:tcPr>
            <w:tcW w:w="188" w:type="dxa"/>
            <w:tcBorders>
              <w:top w:val="single" w:sz="4" w:space="0" w:color="auto"/>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r>
      <w:tr w:rsidR="003072D7" w:rsidRPr="0081371A" w:rsidTr="00F27289">
        <w:trPr>
          <w:trHeight w:val="300"/>
        </w:trPr>
        <w:tc>
          <w:tcPr>
            <w:tcW w:w="2620" w:type="dxa"/>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roofErr w:type="spellStart"/>
            <w:r w:rsidRPr="0081371A">
              <w:rPr>
                <w:rFonts w:eastAsia="Times New Roman" w:cstheme="minorHAnsi"/>
                <w:color w:val="000000"/>
                <w:sz w:val="20"/>
                <w:szCs w:val="20"/>
                <w:lang w:eastAsia="de-DE"/>
              </w:rPr>
              <w:t>Control</w:t>
            </w:r>
            <w:proofErr w:type="spellEnd"/>
            <w:r w:rsidRPr="0081371A">
              <w:rPr>
                <w:rFonts w:eastAsia="Times New Roman" w:cstheme="minorHAnsi"/>
                <w:color w:val="000000"/>
                <w:sz w:val="20"/>
                <w:szCs w:val="20"/>
                <w:lang w:eastAsia="de-DE"/>
              </w:rPr>
              <w:t>: Gender</w:t>
            </w:r>
          </w:p>
        </w:tc>
        <w:tc>
          <w:tcPr>
            <w:tcW w:w="3580" w:type="dxa"/>
            <w:tcBorders>
              <w:top w:val="single" w:sz="4" w:space="0" w:color="auto"/>
              <w:left w:val="nil"/>
              <w:bottom w:val="nil"/>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Male</w:t>
            </w:r>
          </w:p>
        </w:tc>
        <w:tc>
          <w:tcPr>
            <w:tcW w:w="940" w:type="dxa"/>
            <w:tcBorders>
              <w:top w:val="single" w:sz="4" w:space="0" w:color="auto"/>
              <w:left w:val="single" w:sz="4" w:space="0" w:color="auto"/>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-,098</w:t>
            </w:r>
          </w:p>
        </w:tc>
        <w:tc>
          <w:tcPr>
            <w:tcW w:w="439" w:type="dxa"/>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00" w:type="dxa"/>
            <w:tcBorders>
              <w:top w:val="single" w:sz="4" w:space="0" w:color="auto"/>
              <w:left w:val="nil"/>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,342</w:t>
            </w:r>
          </w:p>
        </w:tc>
        <w:tc>
          <w:tcPr>
            <w:tcW w:w="439" w:type="dxa"/>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80" w:type="dxa"/>
            <w:tcBorders>
              <w:top w:val="single" w:sz="4" w:space="0" w:color="auto"/>
              <w:left w:val="nil"/>
              <w:bottom w:val="nil"/>
              <w:right w:val="nil"/>
            </w:tcBorders>
            <w:shd w:val="clear" w:color="auto" w:fill="auto"/>
            <w:noWrap/>
            <w:vAlign w:val="bottom"/>
            <w:hideMark/>
          </w:tcPr>
          <w:p w:rsidR="003072D7" w:rsidRPr="0081371A" w:rsidRDefault="00F27289" w:rsidP="00F27289">
            <w:pPr>
              <w:spacing w:after="0" w:line="240" w:lineRule="auto"/>
              <w:jc w:val="right"/>
              <w:rPr>
                <w:rFonts w:eastAsia="Times New Roman" w:cstheme="minorHAnsi"/>
                <w:color w:val="000000"/>
                <w:sz w:val="20"/>
                <w:szCs w:val="20"/>
                <w:lang w:eastAsia="de-DE"/>
              </w:rPr>
            </w:pPr>
            <w:r>
              <w:rPr>
                <w:rFonts w:eastAsia="Times New Roman" w:cstheme="minorHAnsi"/>
                <w:color w:val="000000"/>
                <w:sz w:val="20"/>
                <w:szCs w:val="20"/>
                <w:lang w:eastAsia="de-DE"/>
              </w:rPr>
              <w:t>-</w:t>
            </w:r>
            <w:r w:rsidR="003072D7" w:rsidRPr="0081371A">
              <w:rPr>
                <w:rFonts w:eastAsia="Times New Roman" w:cstheme="minorHAnsi"/>
                <w:color w:val="000000"/>
                <w:sz w:val="20"/>
                <w:szCs w:val="20"/>
                <w:lang w:eastAsia="de-DE"/>
              </w:rPr>
              <w:t>,284</w:t>
            </w:r>
          </w:p>
        </w:tc>
        <w:tc>
          <w:tcPr>
            <w:tcW w:w="439" w:type="dxa"/>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011" w:type="dxa"/>
            <w:tcBorders>
              <w:top w:val="single" w:sz="4" w:space="0" w:color="auto"/>
              <w:left w:val="nil"/>
              <w:bottom w:val="nil"/>
              <w:right w:val="nil"/>
            </w:tcBorders>
            <w:shd w:val="clear" w:color="auto" w:fill="auto"/>
            <w:noWrap/>
            <w:vAlign w:val="bottom"/>
            <w:hideMark/>
          </w:tcPr>
          <w:p w:rsidR="003072D7" w:rsidRPr="0081371A" w:rsidRDefault="00F27289" w:rsidP="00F27289">
            <w:pPr>
              <w:spacing w:after="0" w:line="240" w:lineRule="auto"/>
              <w:jc w:val="right"/>
              <w:rPr>
                <w:rFonts w:eastAsia="Times New Roman" w:cstheme="minorHAnsi"/>
                <w:color w:val="000000"/>
                <w:sz w:val="20"/>
                <w:szCs w:val="20"/>
                <w:lang w:eastAsia="de-DE"/>
              </w:rPr>
            </w:pPr>
            <w:r>
              <w:rPr>
                <w:rFonts w:eastAsia="Times New Roman" w:cstheme="minorHAnsi"/>
                <w:color w:val="000000"/>
                <w:sz w:val="20"/>
                <w:szCs w:val="20"/>
                <w:lang w:eastAsia="de-DE"/>
              </w:rPr>
              <w:t>-</w:t>
            </w:r>
            <w:r w:rsidR="003072D7" w:rsidRPr="0081371A">
              <w:rPr>
                <w:rFonts w:eastAsia="Times New Roman" w:cstheme="minorHAnsi"/>
                <w:color w:val="000000"/>
                <w:sz w:val="20"/>
                <w:szCs w:val="20"/>
                <w:lang w:eastAsia="de-DE"/>
              </w:rPr>
              <w:t>,775</w:t>
            </w:r>
          </w:p>
        </w:tc>
        <w:tc>
          <w:tcPr>
            <w:tcW w:w="188" w:type="dxa"/>
            <w:tcBorders>
              <w:top w:val="single"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r>
      <w:tr w:rsidR="003072D7" w:rsidRPr="0081371A" w:rsidTr="00F27289">
        <w:trPr>
          <w:trHeight w:val="300"/>
        </w:trPr>
        <w:tc>
          <w:tcPr>
            <w:tcW w:w="2620"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roofErr w:type="spellStart"/>
            <w:r w:rsidRPr="0081371A">
              <w:rPr>
                <w:rFonts w:eastAsia="Times New Roman" w:cstheme="minorHAnsi"/>
                <w:color w:val="000000"/>
                <w:sz w:val="20"/>
                <w:szCs w:val="20"/>
                <w:lang w:eastAsia="de-DE"/>
              </w:rPr>
              <w:t>Control</w:t>
            </w:r>
            <w:proofErr w:type="spellEnd"/>
            <w:r w:rsidRPr="0081371A">
              <w:rPr>
                <w:rFonts w:eastAsia="Times New Roman" w:cstheme="minorHAnsi"/>
                <w:color w:val="000000"/>
                <w:sz w:val="20"/>
                <w:szCs w:val="20"/>
                <w:lang w:eastAsia="de-DE"/>
              </w:rPr>
              <w:t>: Age</w:t>
            </w:r>
          </w:p>
        </w:tc>
        <w:tc>
          <w:tcPr>
            <w:tcW w:w="3580" w:type="dxa"/>
            <w:tcBorders>
              <w:top w:val="nil"/>
              <w:left w:val="nil"/>
              <w:bottom w:val="nil"/>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 xml:space="preserve">53-55 </w:t>
            </w:r>
            <w:proofErr w:type="spellStart"/>
            <w:r w:rsidRPr="0081371A">
              <w:rPr>
                <w:rFonts w:eastAsia="Times New Roman" w:cstheme="minorHAnsi"/>
                <w:color w:val="000000"/>
                <w:sz w:val="20"/>
                <w:szCs w:val="20"/>
                <w:lang w:eastAsia="de-DE"/>
              </w:rPr>
              <w:t>years</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ref</w:t>
            </w:r>
            <w:proofErr w:type="spellEnd"/>
            <w:r w:rsidRPr="0081371A">
              <w:rPr>
                <w:rFonts w:eastAsia="Times New Roman" w:cstheme="minorHAnsi"/>
                <w:color w:val="000000"/>
                <w:sz w:val="20"/>
                <w:szCs w:val="20"/>
                <w:lang w:eastAsia="de-DE"/>
              </w:rPr>
              <w:t>. 50-52)</w:t>
            </w:r>
          </w:p>
        </w:tc>
        <w:tc>
          <w:tcPr>
            <w:tcW w:w="940" w:type="dxa"/>
            <w:tcBorders>
              <w:top w:val="nil"/>
              <w:left w:val="single" w:sz="4" w:space="0" w:color="auto"/>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1,501</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00" w:type="dxa"/>
            <w:tcBorders>
              <w:top w:val="nil"/>
              <w:left w:val="nil"/>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1,409</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80"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,046</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011" w:type="dxa"/>
            <w:tcBorders>
              <w:top w:val="nil"/>
              <w:left w:val="nil"/>
              <w:bottom w:val="nil"/>
              <w:right w:val="nil"/>
            </w:tcBorders>
            <w:shd w:val="clear" w:color="auto" w:fill="auto"/>
            <w:noWrap/>
            <w:vAlign w:val="bottom"/>
            <w:hideMark/>
          </w:tcPr>
          <w:p w:rsidR="003072D7" w:rsidRPr="0081371A" w:rsidRDefault="00F27289" w:rsidP="00F27289">
            <w:pPr>
              <w:spacing w:after="0" w:line="240" w:lineRule="auto"/>
              <w:jc w:val="right"/>
              <w:rPr>
                <w:rFonts w:eastAsia="Times New Roman" w:cstheme="minorHAnsi"/>
                <w:color w:val="000000"/>
                <w:sz w:val="20"/>
                <w:szCs w:val="20"/>
                <w:lang w:eastAsia="de-DE"/>
              </w:rPr>
            </w:pPr>
            <w:r>
              <w:rPr>
                <w:rFonts w:eastAsia="Times New Roman" w:cstheme="minorHAnsi"/>
                <w:color w:val="000000"/>
                <w:sz w:val="20"/>
                <w:szCs w:val="20"/>
                <w:lang w:eastAsia="de-DE"/>
              </w:rPr>
              <w:t>-</w:t>
            </w:r>
            <w:r w:rsidR="003072D7" w:rsidRPr="0081371A">
              <w:rPr>
                <w:rFonts w:eastAsia="Times New Roman" w:cstheme="minorHAnsi"/>
                <w:color w:val="000000"/>
                <w:sz w:val="20"/>
                <w:szCs w:val="20"/>
                <w:lang w:eastAsia="de-DE"/>
              </w:rPr>
              <w:t>,113</w:t>
            </w:r>
          </w:p>
        </w:tc>
        <w:tc>
          <w:tcPr>
            <w:tcW w:w="188"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r>
      <w:tr w:rsidR="003072D7" w:rsidRPr="0081371A" w:rsidTr="00F27289">
        <w:trPr>
          <w:trHeight w:val="300"/>
        </w:trPr>
        <w:tc>
          <w:tcPr>
            <w:tcW w:w="2620"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3580" w:type="dxa"/>
            <w:tcBorders>
              <w:top w:val="nil"/>
              <w:left w:val="nil"/>
              <w:bottom w:val="nil"/>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 xml:space="preserve">56-58 </w:t>
            </w:r>
            <w:proofErr w:type="spellStart"/>
            <w:r w:rsidRPr="0081371A">
              <w:rPr>
                <w:rFonts w:eastAsia="Times New Roman" w:cstheme="minorHAnsi"/>
                <w:color w:val="000000"/>
                <w:sz w:val="20"/>
                <w:szCs w:val="20"/>
                <w:lang w:eastAsia="de-DE"/>
              </w:rPr>
              <w:t>years</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ref</w:t>
            </w:r>
            <w:proofErr w:type="spellEnd"/>
            <w:r w:rsidRPr="0081371A">
              <w:rPr>
                <w:rFonts w:eastAsia="Times New Roman" w:cstheme="minorHAnsi"/>
                <w:color w:val="000000"/>
                <w:sz w:val="20"/>
                <w:szCs w:val="20"/>
                <w:lang w:eastAsia="de-DE"/>
              </w:rPr>
              <w:t>. 50-52)</w:t>
            </w:r>
          </w:p>
        </w:tc>
        <w:tc>
          <w:tcPr>
            <w:tcW w:w="940" w:type="dxa"/>
            <w:tcBorders>
              <w:top w:val="nil"/>
              <w:left w:val="single" w:sz="4" w:space="0" w:color="auto"/>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2,729</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00" w:type="dxa"/>
            <w:tcBorders>
              <w:top w:val="nil"/>
              <w:left w:val="nil"/>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2,350</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80"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1,243</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011"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1,633</w:t>
            </w:r>
          </w:p>
        </w:tc>
        <w:tc>
          <w:tcPr>
            <w:tcW w:w="188"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r>
      <w:tr w:rsidR="003072D7" w:rsidRPr="0081371A" w:rsidTr="00F27289">
        <w:trPr>
          <w:trHeight w:val="300"/>
        </w:trPr>
        <w:tc>
          <w:tcPr>
            <w:tcW w:w="2620"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3580" w:type="dxa"/>
            <w:tcBorders>
              <w:top w:val="nil"/>
              <w:left w:val="nil"/>
              <w:bottom w:val="nil"/>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 xml:space="preserve">59-62 </w:t>
            </w:r>
            <w:proofErr w:type="spellStart"/>
            <w:r w:rsidRPr="0081371A">
              <w:rPr>
                <w:rFonts w:eastAsia="Times New Roman" w:cstheme="minorHAnsi"/>
                <w:color w:val="000000"/>
                <w:sz w:val="20"/>
                <w:szCs w:val="20"/>
                <w:lang w:eastAsia="de-DE"/>
              </w:rPr>
              <w:t>years</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ref</w:t>
            </w:r>
            <w:proofErr w:type="spellEnd"/>
            <w:r w:rsidRPr="0081371A">
              <w:rPr>
                <w:rFonts w:eastAsia="Times New Roman" w:cstheme="minorHAnsi"/>
                <w:color w:val="000000"/>
                <w:sz w:val="20"/>
                <w:szCs w:val="20"/>
                <w:lang w:eastAsia="de-DE"/>
              </w:rPr>
              <w:t>. 50-52)</w:t>
            </w:r>
          </w:p>
        </w:tc>
        <w:tc>
          <w:tcPr>
            <w:tcW w:w="940" w:type="dxa"/>
            <w:tcBorders>
              <w:top w:val="nil"/>
              <w:left w:val="single" w:sz="4" w:space="0" w:color="auto"/>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4,467</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00" w:type="dxa"/>
            <w:tcBorders>
              <w:top w:val="nil"/>
              <w:left w:val="nil"/>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3,883</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80"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1,736</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011"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2,891</w:t>
            </w:r>
          </w:p>
        </w:tc>
        <w:tc>
          <w:tcPr>
            <w:tcW w:w="188"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r>
      <w:tr w:rsidR="003072D7" w:rsidRPr="0081371A" w:rsidTr="00F27289">
        <w:trPr>
          <w:trHeight w:val="300"/>
        </w:trPr>
        <w:tc>
          <w:tcPr>
            <w:tcW w:w="2620"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roofErr w:type="spellStart"/>
            <w:r w:rsidRPr="0081371A">
              <w:rPr>
                <w:rFonts w:eastAsia="Times New Roman" w:cstheme="minorHAnsi"/>
                <w:color w:val="000000"/>
                <w:sz w:val="20"/>
                <w:szCs w:val="20"/>
                <w:lang w:eastAsia="de-DE"/>
              </w:rPr>
              <w:t>Control</w:t>
            </w:r>
            <w:proofErr w:type="spellEnd"/>
            <w:r w:rsidRPr="0081371A">
              <w:rPr>
                <w:rFonts w:eastAsia="Times New Roman" w:cstheme="minorHAnsi"/>
                <w:color w:val="000000"/>
                <w:sz w:val="20"/>
                <w:szCs w:val="20"/>
                <w:lang w:eastAsia="de-DE"/>
              </w:rPr>
              <w:t xml:space="preserve">: Family </w:t>
            </w:r>
            <w:proofErr w:type="spellStart"/>
            <w:r w:rsidRPr="0081371A">
              <w:rPr>
                <w:rFonts w:eastAsia="Times New Roman" w:cstheme="minorHAnsi"/>
                <w:color w:val="000000"/>
                <w:sz w:val="20"/>
                <w:szCs w:val="20"/>
                <w:lang w:eastAsia="de-DE"/>
              </w:rPr>
              <w:t>status</w:t>
            </w:r>
            <w:proofErr w:type="spellEnd"/>
          </w:p>
        </w:tc>
        <w:tc>
          <w:tcPr>
            <w:tcW w:w="3580" w:type="dxa"/>
            <w:tcBorders>
              <w:top w:val="nil"/>
              <w:left w:val="nil"/>
              <w:bottom w:val="nil"/>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val="en-US" w:eastAsia="de-DE"/>
              </w:rPr>
            </w:pPr>
            <w:r w:rsidRPr="0081371A">
              <w:rPr>
                <w:rFonts w:eastAsia="Times New Roman" w:cstheme="minorHAnsi"/>
                <w:color w:val="000000"/>
                <w:sz w:val="20"/>
                <w:szCs w:val="20"/>
                <w:lang w:val="en-US" w:eastAsia="de-DE"/>
              </w:rPr>
              <w:t>No partner  (ref: married/cohabiting)</w:t>
            </w:r>
          </w:p>
        </w:tc>
        <w:tc>
          <w:tcPr>
            <w:tcW w:w="940" w:type="dxa"/>
            <w:tcBorders>
              <w:top w:val="nil"/>
              <w:left w:val="single" w:sz="4" w:space="0" w:color="auto"/>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,018</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00" w:type="dxa"/>
            <w:tcBorders>
              <w:top w:val="nil"/>
              <w:left w:val="nil"/>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-,743</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80"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,471</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011" w:type="dxa"/>
            <w:tcBorders>
              <w:top w:val="nil"/>
              <w:left w:val="nil"/>
              <w:bottom w:val="nil"/>
              <w:right w:val="nil"/>
            </w:tcBorders>
            <w:shd w:val="clear" w:color="auto" w:fill="auto"/>
            <w:noWrap/>
            <w:vAlign w:val="bottom"/>
            <w:hideMark/>
          </w:tcPr>
          <w:p w:rsidR="003072D7" w:rsidRPr="0081371A" w:rsidRDefault="00F27289" w:rsidP="00F27289">
            <w:pPr>
              <w:spacing w:after="0" w:line="240" w:lineRule="auto"/>
              <w:jc w:val="right"/>
              <w:rPr>
                <w:rFonts w:eastAsia="Times New Roman" w:cstheme="minorHAnsi"/>
                <w:color w:val="000000"/>
                <w:sz w:val="20"/>
                <w:szCs w:val="20"/>
                <w:lang w:eastAsia="de-DE"/>
              </w:rPr>
            </w:pPr>
            <w:r>
              <w:rPr>
                <w:rFonts w:eastAsia="Times New Roman" w:cstheme="minorHAnsi"/>
                <w:color w:val="000000"/>
                <w:sz w:val="20"/>
                <w:szCs w:val="20"/>
                <w:lang w:eastAsia="de-DE"/>
              </w:rPr>
              <w:t>-</w:t>
            </w:r>
            <w:r w:rsidR="003072D7" w:rsidRPr="0081371A">
              <w:rPr>
                <w:rFonts w:eastAsia="Times New Roman" w:cstheme="minorHAnsi"/>
                <w:color w:val="000000"/>
                <w:sz w:val="20"/>
                <w:szCs w:val="20"/>
                <w:lang w:eastAsia="de-DE"/>
              </w:rPr>
              <w:t>,936</w:t>
            </w:r>
          </w:p>
        </w:tc>
        <w:tc>
          <w:tcPr>
            <w:tcW w:w="188"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r>
      <w:tr w:rsidR="003072D7" w:rsidRPr="0081371A" w:rsidTr="00F27289">
        <w:trPr>
          <w:trHeight w:val="300"/>
        </w:trPr>
        <w:tc>
          <w:tcPr>
            <w:tcW w:w="2620" w:type="dxa"/>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roofErr w:type="spellStart"/>
            <w:r w:rsidRPr="0081371A">
              <w:rPr>
                <w:rFonts w:eastAsia="Times New Roman" w:cstheme="minorHAnsi"/>
                <w:color w:val="000000"/>
                <w:sz w:val="20"/>
                <w:szCs w:val="20"/>
                <w:lang w:eastAsia="de-DE"/>
              </w:rPr>
              <w:t>Control</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Health</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status</w:t>
            </w:r>
            <w:proofErr w:type="spellEnd"/>
          </w:p>
        </w:tc>
        <w:tc>
          <w:tcPr>
            <w:tcW w:w="3580" w:type="dxa"/>
            <w:tcBorders>
              <w:top w:val="nil"/>
              <w:left w:val="nil"/>
              <w:bottom w:val="dashed" w:sz="4" w:space="0" w:color="auto"/>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roofErr w:type="spellStart"/>
            <w:r w:rsidRPr="0081371A">
              <w:rPr>
                <w:rFonts w:eastAsia="Times New Roman" w:cstheme="minorHAnsi"/>
                <w:color w:val="000000"/>
                <w:sz w:val="20"/>
                <w:szCs w:val="20"/>
                <w:lang w:eastAsia="de-DE"/>
              </w:rPr>
              <w:t>Less</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than</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good</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health</w:t>
            </w:r>
            <w:proofErr w:type="spellEnd"/>
          </w:p>
        </w:tc>
        <w:tc>
          <w:tcPr>
            <w:tcW w:w="940" w:type="dxa"/>
            <w:tcBorders>
              <w:top w:val="nil"/>
              <w:left w:val="single" w:sz="4" w:space="0" w:color="auto"/>
              <w:bottom w:val="dashed" w:sz="4" w:space="0" w:color="auto"/>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,201</w:t>
            </w:r>
          </w:p>
        </w:tc>
        <w:tc>
          <w:tcPr>
            <w:tcW w:w="439" w:type="dxa"/>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00" w:type="dxa"/>
            <w:tcBorders>
              <w:top w:val="nil"/>
              <w:left w:val="nil"/>
              <w:bottom w:val="dashed" w:sz="4" w:space="0" w:color="auto"/>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,220</w:t>
            </w:r>
          </w:p>
        </w:tc>
        <w:tc>
          <w:tcPr>
            <w:tcW w:w="439" w:type="dxa"/>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80" w:type="dxa"/>
            <w:tcBorders>
              <w:top w:val="nil"/>
              <w:left w:val="nil"/>
              <w:bottom w:val="dashed" w:sz="4" w:space="0" w:color="auto"/>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,347</w:t>
            </w:r>
          </w:p>
        </w:tc>
        <w:tc>
          <w:tcPr>
            <w:tcW w:w="439" w:type="dxa"/>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011" w:type="dxa"/>
            <w:tcBorders>
              <w:top w:val="nil"/>
              <w:left w:val="nil"/>
              <w:bottom w:val="dashed" w:sz="4" w:space="0" w:color="auto"/>
              <w:right w:val="nil"/>
            </w:tcBorders>
            <w:shd w:val="clear" w:color="auto" w:fill="auto"/>
            <w:noWrap/>
            <w:vAlign w:val="bottom"/>
            <w:hideMark/>
          </w:tcPr>
          <w:p w:rsidR="003072D7" w:rsidRPr="0081371A" w:rsidRDefault="00F27289" w:rsidP="00F27289">
            <w:pPr>
              <w:spacing w:after="0" w:line="240" w:lineRule="auto"/>
              <w:jc w:val="right"/>
              <w:rPr>
                <w:rFonts w:eastAsia="Times New Roman" w:cstheme="minorHAnsi"/>
                <w:color w:val="000000"/>
                <w:sz w:val="20"/>
                <w:szCs w:val="20"/>
                <w:lang w:eastAsia="de-DE"/>
              </w:rPr>
            </w:pPr>
            <w:r>
              <w:rPr>
                <w:rFonts w:eastAsia="Times New Roman" w:cstheme="minorHAnsi"/>
                <w:color w:val="000000"/>
                <w:sz w:val="20"/>
                <w:szCs w:val="20"/>
                <w:lang w:eastAsia="de-DE"/>
              </w:rPr>
              <w:t>-</w:t>
            </w:r>
            <w:r w:rsidR="003072D7" w:rsidRPr="0081371A">
              <w:rPr>
                <w:rFonts w:eastAsia="Times New Roman" w:cstheme="minorHAnsi"/>
                <w:color w:val="000000"/>
                <w:sz w:val="20"/>
                <w:szCs w:val="20"/>
                <w:lang w:eastAsia="de-DE"/>
              </w:rPr>
              <w:t>,068</w:t>
            </w:r>
          </w:p>
        </w:tc>
        <w:tc>
          <w:tcPr>
            <w:tcW w:w="188" w:type="dxa"/>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r>
      <w:tr w:rsidR="003072D7" w:rsidRPr="0081371A" w:rsidTr="00F27289">
        <w:trPr>
          <w:trHeight w:val="300"/>
        </w:trPr>
        <w:tc>
          <w:tcPr>
            <w:tcW w:w="2620" w:type="dxa"/>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roofErr w:type="spellStart"/>
            <w:r w:rsidRPr="0081371A">
              <w:rPr>
                <w:rFonts w:eastAsia="Times New Roman" w:cstheme="minorHAnsi"/>
                <w:color w:val="000000"/>
                <w:sz w:val="20"/>
                <w:szCs w:val="20"/>
                <w:lang w:eastAsia="de-DE"/>
              </w:rPr>
              <w:t>Institutions</w:t>
            </w:r>
            <w:proofErr w:type="spellEnd"/>
            <w:r w:rsidRPr="0081371A">
              <w:rPr>
                <w:rFonts w:eastAsia="Times New Roman" w:cstheme="minorHAnsi"/>
                <w:color w:val="000000"/>
                <w:sz w:val="20"/>
                <w:szCs w:val="20"/>
                <w:lang w:eastAsia="de-DE"/>
              </w:rPr>
              <w:t>: Regime</w:t>
            </w:r>
          </w:p>
        </w:tc>
        <w:tc>
          <w:tcPr>
            <w:tcW w:w="3580" w:type="dxa"/>
            <w:tcBorders>
              <w:top w:val="dashed" w:sz="4" w:space="0" w:color="auto"/>
              <w:left w:val="nil"/>
              <w:bottom w:val="nil"/>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Liberal (</w:t>
            </w:r>
            <w:proofErr w:type="spellStart"/>
            <w:r w:rsidRPr="0081371A">
              <w:rPr>
                <w:rFonts w:eastAsia="Times New Roman" w:cstheme="minorHAnsi"/>
                <w:color w:val="000000"/>
                <w:sz w:val="20"/>
                <w:szCs w:val="20"/>
                <w:lang w:eastAsia="de-DE"/>
              </w:rPr>
              <w:t>ref</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soc</w:t>
            </w:r>
            <w:proofErr w:type="spellEnd"/>
            <w:r w:rsidRPr="0081371A">
              <w:rPr>
                <w:rFonts w:eastAsia="Times New Roman" w:cstheme="minorHAnsi"/>
                <w:color w:val="000000"/>
                <w:sz w:val="20"/>
                <w:szCs w:val="20"/>
                <w:lang w:eastAsia="de-DE"/>
              </w:rPr>
              <w:t>-dem.)</w:t>
            </w:r>
          </w:p>
        </w:tc>
        <w:tc>
          <w:tcPr>
            <w:tcW w:w="940" w:type="dxa"/>
            <w:tcBorders>
              <w:top w:val="dashed" w:sz="4" w:space="0" w:color="auto"/>
              <w:left w:val="single" w:sz="4" w:space="0" w:color="auto"/>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2,147</w:t>
            </w:r>
          </w:p>
        </w:tc>
        <w:tc>
          <w:tcPr>
            <w:tcW w:w="439" w:type="dxa"/>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00" w:type="dxa"/>
            <w:tcBorders>
              <w:top w:val="dashed" w:sz="4" w:space="0" w:color="auto"/>
              <w:left w:val="nil"/>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,839</w:t>
            </w:r>
          </w:p>
        </w:tc>
        <w:tc>
          <w:tcPr>
            <w:tcW w:w="439" w:type="dxa"/>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80" w:type="dxa"/>
            <w:tcBorders>
              <w:top w:val="dashed" w:sz="4" w:space="0" w:color="auto"/>
              <w:left w:val="nil"/>
              <w:bottom w:val="nil"/>
              <w:right w:val="nil"/>
            </w:tcBorders>
            <w:shd w:val="clear" w:color="auto" w:fill="auto"/>
            <w:noWrap/>
            <w:vAlign w:val="bottom"/>
            <w:hideMark/>
          </w:tcPr>
          <w:p w:rsidR="003072D7" w:rsidRPr="0081371A" w:rsidRDefault="00F27289" w:rsidP="00F27289">
            <w:pPr>
              <w:spacing w:after="0" w:line="240" w:lineRule="auto"/>
              <w:jc w:val="right"/>
              <w:rPr>
                <w:rFonts w:eastAsia="Times New Roman" w:cstheme="minorHAnsi"/>
                <w:color w:val="000000"/>
                <w:sz w:val="20"/>
                <w:szCs w:val="20"/>
                <w:lang w:eastAsia="de-DE"/>
              </w:rPr>
            </w:pPr>
            <w:r>
              <w:rPr>
                <w:rFonts w:eastAsia="Times New Roman" w:cstheme="minorHAnsi"/>
                <w:color w:val="000000"/>
                <w:sz w:val="20"/>
                <w:szCs w:val="20"/>
                <w:lang w:eastAsia="de-DE"/>
              </w:rPr>
              <w:t>-</w:t>
            </w:r>
            <w:r w:rsidR="003072D7" w:rsidRPr="0081371A">
              <w:rPr>
                <w:rFonts w:eastAsia="Times New Roman" w:cstheme="minorHAnsi"/>
                <w:color w:val="000000"/>
                <w:sz w:val="20"/>
                <w:szCs w:val="20"/>
                <w:lang w:eastAsia="de-DE"/>
              </w:rPr>
              <w:t>,018</w:t>
            </w:r>
          </w:p>
        </w:tc>
        <w:tc>
          <w:tcPr>
            <w:tcW w:w="439" w:type="dxa"/>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011" w:type="dxa"/>
            <w:tcBorders>
              <w:top w:val="dashed" w:sz="4" w:space="0" w:color="auto"/>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,511</w:t>
            </w:r>
          </w:p>
        </w:tc>
        <w:tc>
          <w:tcPr>
            <w:tcW w:w="188" w:type="dxa"/>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r>
      <w:tr w:rsidR="003072D7" w:rsidRPr="0081371A" w:rsidTr="00F27289">
        <w:trPr>
          <w:trHeight w:val="300"/>
        </w:trPr>
        <w:tc>
          <w:tcPr>
            <w:tcW w:w="2620"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3580" w:type="dxa"/>
            <w:tcBorders>
              <w:top w:val="nil"/>
              <w:left w:val="nil"/>
              <w:bottom w:val="nil"/>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roofErr w:type="spellStart"/>
            <w:r w:rsidRPr="0081371A">
              <w:rPr>
                <w:rFonts w:eastAsia="Times New Roman" w:cstheme="minorHAnsi"/>
                <w:color w:val="000000"/>
                <w:sz w:val="20"/>
                <w:szCs w:val="20"/>
                <w:lang w:eastAsia="de-DE"/>
              </w:rPr>
              <w:t>Conservative</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ref</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soc</w:t>
            </w:r>
            <w:proofErr w:type="spellEnd"/>
            <w:r w:rsidRPr="0081371A">
              <w:rPr>
                <w:rFonts w:eastAsia="Times New Roman" w:cstheme="minorHAnsi"/>
                <w:color w:val="000000"/>
                <w:sz w:val="20"/>
                <w:szCs w:val="20"/>
                <w:lang w:eastAsia="de-DE"/>
              </w:rPr>
              <w:t>-dem.)</w:t>
            </w:r>
          </w:p>
        </w:tc>
        <w:tc>
          <w:tcPr>
            <w:tcW w:w="940" w:type="dxa"/>
            <w:tcBorders>
              <w:top w:val="nil"/>
              <w:left w:val="single" w:sz="4" w:space="0" w:color="auto"/>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2,880</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00" w:type="dxa"/>
            <w:tcBorders>
              <w:top w:val="nil"/>
              <w:left w:val="nil"/>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1,267</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80"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,596</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011"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,874</w:t>
            </w:r>
          </w:p>
        </w:tc>
        <w:tc>
          <w:tcPr>
            <w:tcW w:w="188"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r>
      <w:tr w:rsidR="003072D7" w:rsidRPr="0081371A" w:rsidTr="00F27289">
        <w:trPr>
          <w:trHeight w:val="300"/>
        </w:trPr>
        <w:tc>
          <w:tcPr>
            <w:tcW w:w="2620" w:type="dxa"/>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3580" w:type="dxa"/>
            <w:tcBorders>
              <w:top w:val="nil"/>
              <w:left w:val="nil"/>
              <w:bottom w:val="dashed" w:sz="4" w:space="0" w:color="auto"/>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Southern (</w:t>
            </w:r>
            <w:proofErr w:type="spellStart"/>
            <w:r w:rsidRPr="0081371A">
              <w:rPr>
                <w:rFonts w:eastAsia="Times New Roman" w:cstheme="minorHAnsi"/>
                <w:color w:val="000000"/>
                <w:sz w:val="20"/>
                <w:szCs w:val="20"/>
                <w:lang w:eastAsia="de-DE"/>
              </w:rPr>
              <w:t>ref</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soc</w:t>
            </w:r>
            <w:proofErr w:type="spellEnd"/>
            <w:r w:rsidRPr="0081371A">
              <w:rPr>
                <w:rFonts w:eastAsia="Times New Roman" w:cstheme="minorHAnsi"/>
                <w:color w:val="000000"/>
                <w:sz w:val="20"/>
                <w:szCs w:val="20"/>
                <w:lang w:eastAsia="de-DE"/>
              </w:rPr>
              <w:t>-dem.)</w:t>
            </w:r>
          </w:p>
        </w:tc>
        <w:tc>
          <w:tcPr>
            <w:tcW w:w="940" w:type="dxa"/>
            <w:tcBorders>
              <w:top w:val="nil"/>
              <w:left w:val="single" w:sz="4" w:space="0" w:color="auto"/>
              <w:bottom w:val="dashed" w:sz="4" w:space="0" w:color="auto"/>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3,040</w:t>
            </w:r>
          </w:p>
        </w:tc>
        <w:tc>
          <w:tcPr>
            <w:tcW w:w="439" w:type="dxa"/>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00" w:type="dxa"/>
            <w:tcBorders>
              <w:top w:val="nil"/>
              <w:left w:val="nil"/>
              <w:bottom w:val="dashed" w:sz="4" w:space="0" w:color="auto"/>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,850</w:t>
            </w:r>
          </w:p>
        </w:tc>
        <w:tc>
          <w:tcPr>
            <w:tcW w:w="439" w:type="dxa"/>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80" w:type="dxa"/>
            <w:tcBorders>
              <w:top w:val="nil"/>
              <w:left w:val="nil"/>
              <w:bottom w:val="dashed" w:sz="4" w:space="0" w:color="auto"/>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,214</w:t>
            </w:r>
          </w:p>
        </w:tc>
        <w:tc>
          <w:tcPr>
            <w:tcW w:w="439" w:type="dxa"/>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011" w:type="dxa"/>
            <w:tcBorders>
              <w:top w:val="nil"/>
              <w:left w:val="nil"/>
              <w:bottom w:val="dashed" w:sz="4" w:space="0" w:color="auto"/>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,611</w:t>
            </w:r>
          </w:p>
        </w:tc>
        <w:tc>
          <w:tcPr>
            <w:tcW w:w="188" w:type="dxa"/>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r>
      <w:tr w:rsidR="003072D7" w:rsidRPr="0081371A" w:rsidTr="00F27289">
        <w:trPr>
          <w:trHeight w:val="300"/>
        </w:trPr>
        <w:tc>
          <w:tcPr>
            <w:tcW w:w="2620" w:type="dxa"/>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 xml:space="preserve">Firm </w:t>
            </w:r>
            <w:proofErr w:type="spellStart"/>
            <w:r w:rsidRPr="0081371A">
              <w:rPr>
                <w:rFonts w:eastAsia="Times New Roman" w:cstheme="minorHAnsi"/>
                <w:color w:val="000000"/>
                <w:sz w:val="20"/>
                <w:szCs w:val="20"/>
                <w:lang w:eastAsia="de-DE"/>
              </w:rPr>
              <w:t>characteristics</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Sector</w:t>
            </w:r>
            <w:proofErr w:type="spellEnd"/>
          </w:p>
        </w:tc>
        <w:tc>
          <w:tcPr>
            <w:tcW w:w="3580" w:type="dxa"/>
            <w:tcBorders>
              <w:top w:val="dashed" w:sz="4" w:space="0" w:color="auto"/>
              <w:left w:val="nil"/>
              <w:bottom w:val="nil"/>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roofErr w:type="spellStart"/>
            <w:r w:rsidRPr="0081371A">
              <w:rPr>
                <w:rFonts w:eastAsia="Times New Roman" w:cstheme="minorHAnsi"/>
                <w:color w:val="000000"/>
                <w:sz w:val="20"/>
                <w:szCs w:val="20"/>
                <w:lang w:eastAsia="de-DE"/>
              </w:rPr>
              <w:t>Tertiary</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ref</w:t>
            </w:r>
            <w:proofErr w:type="spellEnd"/>
            <w:r w:rsidRPr="0081371A">
              <w:rPr>
                <w:rFonts w:eastAsia="Times New Roman" w:cstheme="minorHAnsi"/>
                <w:color w:val="000000"/>
                <w:sz w:val="20"/>
                <w:szCs w:val="20"/>
                <w:lang w:eastAsia="de-DE"/>
              </w:rPr>
              <w:t>.: non-</w:t>
            </w:r>
            <w:proofErr w:type="spellStart"/>
            <w:r w:rsidRPr="0081371A">
              <w:rPr>
                <w:rFonts w:eastAsia="Times New Roman" w:cstheme="minorHAnsi"/>
                <w:color w:val="000000"/>
                <w:sz w:val="20"/>
                <w:szCs w:val="20"/>
                <w:lang w:eastAsia="de-DE"/>
              </w:rPr>
              <w:t>tertiary</w:t>
            </w:r>
            <w:proofErr w:type="spellEnd"/>
            <w:r w:rsidRPr="0081371A">
              <w:rPr>
                <w:rFonts w:eastAsia="Times New Roman" w:cstheme="minorHAnsi"/>
                <w:color w:val="000000"/>
                <w:sz w:val="20"/>
                <w:szCs w:val="20"/>
                <w:lang w:eastAsia="de-DE"/>
              </w:rPr>
              <w:t>)</w:t>
            </w:r>
          </w:p>
        </w:tc>
        <w:tc>
          <w:tcPr>
            <w:tcW w:w="940" w:type="dxa"/>
            <w:tcBorders>
              <w:top w:val="dashed" w:sz="4" w:space="0" w:color="auto"/>
              <w:left w:val="single" w:sz="4" w:space="0" w:color="auto"/>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-,228</w:t>
            </w:r>
          </w:p>
        </w:tc>
        <w:tc>
          <w:tcPr>
            <w:tcW w:w="439" w:type="dxa"/>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00" w:type="dxa"/>
            <w:tcBorders>
              <w:top w:val="dashed" w:sz="4" w:space="0" w:color="auto"/>
              <w:left w:val="nil"/>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-,389</w:t>
            </w:r>
          </w:p>
        </w:tc>
        <w:tc>
          <w:tcPr>
            <w:tcW w:w="439" w:type="dxa"/>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80" w:type="dxa"/>
            <w:tcBorders>
              <w:top w:val="dashed" w:sz="4" w:space="0" w:color="auto"/>
              <w:left w:val="nil"/>
              <w:bottom w:val="nil"/>
              <w:right w:val="nil"/>
            </w:tcBorders>
            <w:shd w:val="clear" w:color="auto" w:fill="auto"/>
            <w:noWrap/>
            <w:vAlign w:val="bottom"/>
            <w:hideMark/>
          </w:tcPr>
          <w:p w:rsidR="003072D7" w:rsidRPr="0081371A" w:rsidRDefault="00F27289" w:rsidP="00F27289">
            <w:pPr>
              <w:spacing w:after="0" w:line="240" w:lineRule="auto"/>
              <w:jc w:val="right"/>
              <w:rPr>
                <w:rFonts w:eastAsia="Times New Roman" w:cstheme="minorHAnsi"/>
                <w:color w:val="000000"/>
                <w:sz w:val="20"/>
                <w:szCs w:val="20"/>
                <w:lang w:eastAsia="de-DE"/>
              </w:rPr>
            </w:pPr>
            <w:r>
              <w:rPr>
                <w:rFonts w:eastAsia="Times New Roman" w:cstheme="minorHAnsi"/>
                <w:color w:val="000000"/>
                <w:sz w:val="20"/>
                <w:szCs w:val="20"/>
                <w:lang w:eastAsia="de-DE"/>
              </w:rPr>
              <w:t>-</w:t>
            </w:r>
            <w:r w:rsidR="003072D7" w:rsidRPr="0081371A">
              <w:rPr>
                <w:rFonts w:eastAsia="Times New Roman" w:cstheme="minorHAnsi"/>
                <w:color w:val="000000"/>
                <w:sz w:val="20"/>
                <w:szCs w:val="20"/>
                <w:lang w:eastAsia="de-DE"/>
              </w:rPr>
              <w:t>,887</w:t>
            </w:r>
          </w:p>
        </w:tc>
        <w:tc>
          <w:tcPr>
            <w:tcW w:w="439" w:type="dxa"/>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011" w:type="dxa"/>
            <w:tcBorders>
              <w:top w:val="dashed" w:sz="4" w:space="0" w:color="auto"/>
              <w:left w:val="nil"/>
              <w:bottom w:val="nil"/>
              <w:right w:val="nil"/>
            </w:tcBorders>
            <w:shd w:val="clear" w:color="auto" w:fill="auto"/>
            <w:noWrap/>
            <w:vAlign w:val="bottom"/>
            <w:hideMark/>
          </w:tcPr>
          <w:p w:rsidR="003072D7" w:rsidRPr="0081371A" w:rsidRDefault="00F27289" w:rsidP="00F27289">
            <w:pPr>
              <w:spacing w:after="0" w:line="240" w:lineRule="auto"/>
              <w:jc w:val="right"/>
              <w:rPr>
                <w:rFonts w:eastAsia="Times New Roman" w:cstheme="minorHAnsi"/>
                <w:color w:val="000000"/>
                <w:sz w:val="20"/>
                <w:szCs w:val="20"/>
                <w:lang w:eastAsia="de-DE"/>
              </w:rPr>
            </w:pPr>
            <w:r>
              <w:rPr>
                <w:rFonts w:eastAsia="Times New Roman" w:cstheme="minorHAnsi"/>
                <w:color w:val="000000"/>
                <w:sz w:val="20"/>
                <w:szCs w:val="20"/>
                <w:lang w:eastAsia="de-DE"/>
              </w:rPr>
              <w:t>-</w:t>
            </w:r>
            <w:r w:rsidR="003072D7" w:rsidRPr="0081371A">
              <w:rPr>
                <w:rFonts w:eastAsia="Times New Roman" w:cstheme="minorHAnsi"/>
                <w:color w:val="000000"/>
                <w:sz w:val="20"/>
                <w:szCs w:val="20"/>
                <w:lang w:eastAsia="de-DE"/>
              </w:rPr>
              <w:t>,436</w:t>
            </w:r>
          </w:p>
        </w:tc>
        <w:tc>
          <w:tcPr>
            <w:tcW w:w="188" w:type="dxa"/>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r>
      <w:tr w:rsidR="003072D7" w:rsidRPr="0081371A" w:rsidTr="00F27289">
        <w:trPr>
          <w:trHeight w:val="300"/>
        </w:trPr>
        <w:tc>
          <w:tcPr>
            <w:tcW w:w="2620"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3580" w:type="dxa"/>
            <w:tcBorders>
              <w:top w:val="nil"/>
              <w:left w:val="nil"/>
              <w:bottom w:val="nil"/>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Public (</w:t>
            </w:r>
            <w:proofErr w:type="spellStart"/>
            <w:r w:rsidRPr="0081371A">
              <w:rPr>
                <w:rFonts w:eastAsia="Times New Roman" w:cstheme="minorHAnsi"/>
                <w:color w:val="000000"/>
                <w:sz w:val="20"/>
                <w:szCs w:val="20"/>
                <w:lang w:eastAsia="de-DE"/>
              </w:rPr>
              <w:t>ref</w:t>
            </w:r>
            <w:proofErr w:type="spellEnd"/>
            <w:r w:rsidRPr="0081371A">
              <w:rPr>
                <w:rFonts w:eastAsia="Times New Roman" w:cstheme="minorHAnsi"/>
                <w:color w:val="000000"/>
                <w:sz w:val="20"/>
                <w:szCs w:val="20"/>
                <w:lang w:eastAsia="de-DE"/>
              </w:rPr>
              <w:t>.: private)</w:t>
            </w:r>
          </w:p>
        </w:tc>
        <w:tc>
          <w:tcPr>
            <w:tcW w:w="940" w:type="dxa"/>
            <w:tcBorders>
              <w:top w:val="nil"/>
              <w:left w:val="single" w:sz="4" w:space="0" w:color="auto"/>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,322</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00" w:type="dxa"/>
            <w:tcBorders>
              <w:top w:val="nil"/>
              <w:left w:val="nil"/>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,364</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80" w:type="dxa"/>
            <w:tcBorders>
              <w:top w:val="nil"/>
              <w:left w:val="nil"/>
              <w:bottom w:val="nil"/>
              <w:right w:val="nil"/>
            </w:tcBorders>
            <w:shd w:val="clear" w:color="auto" w:fill="auto"/>
            <w:noWrap/>
            <w:vAlign w:val="bottom"/>
            <w:hideMark/>
          </w:tcPr>
          <w:p w:rsidR="003072D7" w:rsidRPr="0081371A" w:rsidRDefault="00F27289" w:rsidP="00F27289">
            <w:pPr>
              <w:spacing w:after="0" w:line="240" w:lineRule="auto"/>
              <w:jc w:val="right"/>
              <w:rPr>
                <w:rFonts w:eastAsia="Times New Roman" w:cstheme="minorHAnsi"/>
                <w:color w:val="000000"/>
                <w:sz w:val="20"/>
                <w:szCs w:val="20"/>
                <w:lang w:eastAsia="de-DE"/>
              </w:rPr>
            </w:pPr>
            <w:r>
              <w:rPr>
                <w:rFonts w:eastAsia="Times New Roman" w:cstheme="minorHAnsi"/>
                <w:color w:val="000000"/>
                <w:sz w:val="20"/>
                <w:szCs w:val="20"/>
                <w:lang w:eastAsia="de-DE"/>
              </w:rPr>
              <w:t>-</w:t>
            </w:r>
            <w:r w:rsidR="003072D7" w:rsidRPr="0081371A">
              <w:rPr>
                <w:rFonts w:eastAsia="Times New Roman" w:cstheme="minorHAnsi"/>
                <w:color w:val="000000"/>
                <w:sz w:val="20"/>
                <w:szCs w:val="20"/>
                <w:lang w:eastAsia="de-DE"/>
              </w:rPr>
              <w:t>,644</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011" w:type="dxa"/>
            <w:tcBorders>
              <w:top w:val="nil"/>
              <w:left w:val="nil"/>
              <w:bottom w:val="nil"/>
              <w:right w:val="nil"/>
            </w:tcBorders>
            <w:shd w:val="clear" w:color="auto" w:fill="auto"/>
            <w:noWrap/>
            <w:vAlign w:val="bottom"/>
            <w:hideMark/>
          </w:tcPr>
          <w:p w:rsidR="003072D7" w:rsidRPr="0081371A" w:rsidRDefault="00F27289" w:rsidP="00F27289">
            <w:pPr>
              <w:spacing w:after="0" w:line="240" w:lineRule="auto"/>
              <w:jc w:val="right"/>
              <w:rPr>
                <w:rFonts w:eastAsia="Times New Roman" w:cstheme="minorHAnsi"/>
                <w:color w:val="000000"/>
                <w:sz w:val="20"/>
                <w:szCs w:val="20"/>
                <w:lang w:eastAsia="de-DE"/>
              </w:rPr>
            </w:pPr>
            <w:r>
              <w:rPr>
                <w:rFonts w:eastAsia="Times New Roman" w:cstheme="minorHAnsi"/>
                <w:color w:val="000000"/>
                <w:sz w:val="20"/>
                <w:szCs w:val="20"/>
                <w:lang w:eastAsia="de-DE"/>
              </w:rPr>
              <w:t>-</w:t>
            </w:r>
            <w:r w:rsidR="003072D7" w:rsidRPr="0081371A">
              <w:rPr>
                <w:rFonts w:eastAsia="Times New Roman" w:cstheme="minorHAnsi"/>
                <w:color w:val="000000"/>
                <w:sz w:val="20"/>
                <w:szCs w:val="20"/>
                <w:lang w:eastAsia="de-DE"/>
              </w:rPr>
              <w:t>,318</w:t>
            </w:r>
          </w:p>
        </w:tc>
        <w:tc>
          <w:tcPr>
            <w:tcW w:w="188"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r>
      <w:tr w:rsidR="003072D7" w:rsidRPr="0081371A" w:rsidTr="00F27289">
        <w:trPr>
          <w:trHeight w:val="300"/>
        </w:trPr>
        <w:tc>
          <w:tcPr>
            <w:tcW w:w="2620"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 xml:space="preserve">Firm </w:t>
            </w:r>
            <w:proofErr w:type="spellStart"/>
            <w:r w:rsidRPr="0081371A">
              <w:rPr>
                <w:rFonts w:eastAsia="Times New Roman" w:cstheme="minorHAnsi"/>
                <w:color w:val="000000"/>
                <w:sz w:val="20"/>
                <w:szCs w:val="20"/>
                <w:lang w:eastAsia="de-DE"/>
              </w:rPr>
              <w:t>characteristics</w:t>
            </w:r>
            <w:proofErr w:type="spellEnd"/>
            <w:r w:rsidRPr="0081371A">
              <w:rPr>
                <w:rFonts w:eastAsia="Times New Roman" w:cstheme="minorHAnsi"/>
                <w:color w:val="000000"/>
                <w:sz w:val="20"/>
                <w:szCs w:val="20"/>
                <w:lang w:eastAsia="de-DE"/>
              </w:rPr>
              <w:t>: Size</w:t>
            </w:r>
          </w:p>
        </w:tc>
        <w:tc>
          <w:tcPr>
            <w:tcW w:w="3580" w:type="dxa"/>
            <w:tcBorders>
              <w:top w:val="nil"/>
              <w:left w:val="nil"/>
              <w:bottom w:val="nil"/>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 xml:space="preserve">Small: 1-24 </w:t>
            </w:r>
            <w:proofErr w:type="spellStart"/>
            <w:r w:rsidRPr="0081371A">
              <w:rPr>
                <w:rFonts w:eastAsia="Times New Roman" w:cstheme="minorHAnsi"/>
                <w:color w:val="000000"/>
                <w:sz w:val="20"/>
                <w:szCs w:val="20"/>
                <w:lang w:eastAsia="de-DE"/>
              </w:rPr>
              <w:t>employees</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ref</w:t>
            </w:r>
            <w:proofErr w:type="spellEnd"/>
            <w:r w:rsidRPr="0081371A">
              <w:rPr>
                <w:rFonts w:eastAsia="Times New Roman" w:cstheme="minorHAnsi"/>
                <w:color w:val="000000"/>
                <w:sz w:val="20"/>
                <w:szCs w:val="20"/>
                <w:lang w:eastAsia="de-DE"/>
              </w:rPr>
              <w:t>.: 25-199)</w:t>
            </w:r>
          </w:p>
        </w:tc>
        <w:tc>
          <w:tcPr>
            <w:tcW w:w="940" w:type="dxa"/>
            <w:tcBorders>
              <w:top w:val="nil"/>
              <w:left w:val="single" w:sz="4" w:space="0" w:color="auto"/>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-,494</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00" w:type="dxa"/>
            <w:tcBorders>
              <w:top w:val="nil"/>
              <w:left w:val="nil"/>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,100</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80"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,392</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011"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,121</w:t>
            </w:r>
          </w:p>
        </w:tc>
        <w:tc>
          <w:tcPr>
            <w:tcW w:w="188"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r>
      <w:tr w:rsidR="003072D7" w:rsidRPr="0081371A" w:rsidTr="00F27289">
        <w:trPr>
          <w:trHeight w:val="300"/>
        </w:trPr>
        <w:tc>
          <w:tcPr>
            <w:tcW w:w="2620" w:type="dxa"/>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3580" w:type="dxa"/>
            <w:tcBorders>
              <w:top w:val="nil"/>
              <w:left w:val="nil"/>
              <w:bottom w:val="dashed" w:sz="4" w:space="0" w:color="auto"/>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 xml:space="preserve">Large: &gt;200 </w:t>
            </w:r>
            <w:proofErr w:type="spellStart"/>
            <w:r w:rsidRPr="0081371A">
              <w:rPr>
                <w:rFonts w:eastAsia="Times New Roman" w:cstheme="minorHAnsi"/>
                <w:color w:val="000000"/>
                <w:sz w:val="20"/>
                <w:szCs w:val="20"/>
                <w:lang w:eastAsia="de-DE"/>
              </w:rPr>
              <w:t>employees</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ref</w:t>
            </w:r>
            <w:proofErr w:type="spellEnd"/>
            <w:r w:rsidRPr="0081371A">
              <w:rPr>
                <w:rFonts w:eastAsia="Times New Roman" w:cstheme="minorHAnsi"/>
                <w:color w:val="000000"/>
                <w:sz w:val="20"/>
                <w:szCs w:val="20"/>
                <w:lang w:eastAsia="de-DE"/>
              </w:rPr>
              <w:t>.: 25-199)</w:t>
            </w:r>
          </w:p>
        </w:tc>
        <w:tc>
          <w:tcPr>
            <w:tcW w:w="940" w:type="dxa"/>
            <w:tcBorders>
              <w:top w:val="nil"/>
              <w:left w:val="single" w:sz="4" w:space="0" w:color="auto"/>
              <w:bottom w:val="dashed" w:sz="4" w:space="0" w:color="auto"/>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,036</w:t>
            </w:r>
          </w:p>
        </w:tc>
        <w:tc>
          <w:tcPr>
            <w:tcW w:w="439" w:type="dxa"/>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00" w:type="dxa"/>
            <w:tcBorders>
              <w:top w:val="nil"/>
              <w:left w:val="nil"/>
              <w:bottom w:val="dashed" w:sz="4" w:space="0" w:color="auto"/>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,833</w:t>
            </w:r>
          </w:p>
        </w:tc>
        <w:tc>
          <w:tcPr>
            <w:tcW w:w="439" w:type="dxa"/>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80" w:type="dxa"/>
            <w:tcBorders>
              <w:top w:val="nil"/>
              <w:left w:val="nil"/>
              <w:bottom w:val="dashed" w:sz="4" w:space="0" w:color="auto"/>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,431</w:t>
            </w:r>
          </w:p>
        </w:tc>
        <w:tc>
          <w:tcPr>
            <w:tcW w:w="439" w:type="dxa"/>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011" w:type="dxa"/>
            <w:tcBorders>
              <w:top w:val="nil"/>
              <w:left w:val="nil"/>
              <w:bottom w:val="dashed" w:sz="4" w:space="0" w:color="auto"/>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,14</w:t>
            </w:r>
            <w:r w:rsidR="00F27289">
              <w:rPr>
                <w:rFonts w:eastAsia="Times New Roman" w:cstheme="minorHAnsi"/>
                <w:color w:val="000000"/>
                <w:sz w:val="20"/>
                <w:szCs w:val="20"/>
                <w:lang w:eastAsia="de-DE"/>
              </w:rPr>
              <w:t>0</w:t>
            </w:r>
          </w:p>
        </w:tc>
        <w:tc>
          <w:tcPr>
            <w:tcW w:w="188" w:type="dxa"/>
            <w:tcBorders>
              <w:top w:val="nil"/>
              <w:left w:val="nil"/>
              <w:bottom w:val="dashed"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r>
      <w:tr w:rsidR="003072D7" w:rsidRPr="0081371A" w:rsidTr="00F27289">
        <w:trPr>
          <w:trHeight w:val="300"/>
        </w:trPr>
        <w:tc>
          <w:tcPr>
            <w:tcW w:w="2620" w:type="dxa"/>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Human Capital: Education</w:t>
            </w:r>
          </w:p>
        </w:tc>
        <w:tc>
          <w:tcPr>
            <w:tcW w:w="3580" w:type="dxa"/>
            <w:tcBorders>
              <w:top w:val="dashed" w:sz="4" w:space="0" w:color="auto"/>
              <w:left w:val="nil"/>
              <w:bottom w:val="nil"/>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val="en-US" w:eastAsia="de-DE"/>
              </w:rPr>
            </w:pPr>
            <w:r w:rsidRPr="0081371A">
              <w:rPr>
                <w:rFonts w:eastAsia="Times New Roman" w:cstheme="minorHAnsi"/>
                <w:color w:val="000000"/>
                <w:sz w:val="20"/>
                <w:szCs w:val="20"/>
                <w:lang w:val="en-US" w:eastAsia="de-DE"/>
              </w:rPr>
              <w:t>Tertiary (Ref.: lower than tertiary)</w:t>
            </w:r>
          </w:p>
        </w:tc>
        <w:tc>
          <w:tcPr>
            <w:tcW w:w="940" w:type="dxa"/>
            <w:tcBorders>
              <w:top w:val="dashed" w:sz="4" w:space="0" w:color="auto"/>
              <w:left w:val="single" w:sz="4" w:space="0" w:color="auto"/>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-,666</w:t>
            </w:r>
          </w:p>
        </w:tc>
        <w:tc>
          <w:tcPr>
            <w:tcW w:w="439" w:type="dxa"/>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00" w:type="dxa"/>
            <w:tcBorders>
              <w:top w:val="dashed" w:sz="4" w:space="0" w:color="auto"/>
              <w:left w:val="nil"/>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-,047</w:t>
            </w:r>
          </w:p>
        </w:tc>
        <w:tc>
          <w:tcPr>
            <w:tcW w:w="439" w:type="dxa"/>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80" w:type="dxa"/>
            <w:tcBorders>
              <w:top w:val="dashed" w:sz="4" w:space="0" w:color="auto"/>
              <w:left w:val="nil"/>
              <w:bottom w:val="nil"/>
              <w:right w:val="nil"/>
            </w:tcBorders>
            <w:shd w:val="clear" w:color="auto" w:fill="auto"/>
            <w:noWrap/>
            <w:vAlign w:val="bottom"/>
            <w:hideMark/>
          </w:tcPr>
          <w:p w:rsidR="003072D7" w:rsidRPr="0081371A" w:rsidRDefault="00F27289" w:rsidP="00F27289">
            <w:pPr>
              <w:spacing w:after="0" w:line="240" w:lineRule="auto"/>
              <w:jc w:val="right"/>
              <w:rPr>
                <w:rFonts w:eastAsia="Times New Roman" w:cstheme="minorHAnsi"/>
                <w:color w:val="000000"/>
                <w:sz w:val="20"/>
                <w:szCs w:val="20"/>
                <w:lang w:eastAsia="de-DE"/>
              </w:rPr>
            </w:pPr>
            <w:r>
              <w:rPr>
                <w:rFonts w:eastAsia="Times New Roman" w:cstheme="minorHAnsi"/>
                <w:color w:val="000000"/>
                <w:sz w:val="20"/>
                <w:szCs w:val="20"/>
                <w:lang w:eastAsia="de-DE"/>
              </w:rPr>
              <w:t>-</w:t>
            </w:r>
            <w:r w:rsidR="003072D7" w:rsidRPr="0081371A">
              <w:rPr>
                <w:rFonts w:eastAsia="Times New Roman" w:cstheme="minorHAnsi"/>
                <w:color w:val="000000"/>
                <w:sz w:val="20"/>
                <w:szCs w:val="20"/>
                <w:lang w:eastAsia="de-DE"/>
              </w:rPr>
              <w:t>,504</w:t>
            </w:r>
          </w:p>
        </w:tc>
        <w:tc>
          <w:tcPr>
            <w:tcW w:w="439" w:type="dxa"/>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011" w:type="dxa"/>
            <w:tcBorders>
              <w:top w:val="dashed" w:sz="4" w:space="0" w:color="auto"/>
              <w:left w:val="nil"/>
              <w:bottom w:val="nil"/>
              <w:right w:val="nil"/>
            </w:tcBorders>
            <w:shd w:val="clear" w:color="auto" w:fill="auto"/>
            <w:noWrap/>
            <w:vAlign w:val="bottom"/>
            <w:hideMark/>
          </w:tcPr>
          <w:p w:rsidR="003072D7" w:rsidRPr="0081371A" w:rsidRDefault="00F27289" w:rsidP="00F27289">
            <w:pPr>
              <w:spacing w:after="0" w:line="240" w:lineRule="auto"/>
              <w:jc w:val="right"/>
              <w:rPr>
                <w:rFonts w:eastAsia="Times New Roman" w:cstheme="minorHAnsi"/>
                <w:color w:val="000000"/>
                <w:sz w:val="20"/>
                <w:szCs w:val="20"/>
                <w:lang w:eastAsia="de-DE"/>
              </w:rPr>
            </w:pPr>
            <w:r>
              <w:rPr>
                <w:rFonts w:eastAsia="Times New Roman" w:cstheme="minorHAnsi"/>
                <w:color w:val="000000"/>
                <w:sz w:val="20"/>
                <w:szCs w:val="20"/>
                <w:lang w:eastAsia="de-DE"/>
              </w:rPr>
              <w:t>-</w:t>
            </w:r>
            <w:r w:rsidR="003072D7" w:rsidRPr="0081371A">
              <w:rPr>
                <w:rFonts w:eastAsia="Times New Roman" w:cstheme="minorHAnsi"/>
                <w:color w:val="000000"/>
                <w:sz w:val="20"/>
                <w:szCs w:val="20"/>
                <w:lang w:eastAsia="de-DE"/>
              </w:rPr>
              <w:t>,163</w:t>
            </w:r>
          </w:p>
        </w:tc>
        <w:tc>
          <w:tcPr>
            <w:tcW w:w="188" w:type="dxa"/>
            <w:tcBorders>
              <w:top w:val="dashed" w:sz="4" w:space="0" w:color="auto"/>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r>
      <w:tr w:rsidR="003072D7" w:rsidRPr="0081371A" w:rsidTr="00F27289">
        <w:trPr>
          <w:trHeight w:val="300"/>
        </w:trPr>
        <w:tc>
          <w:tcPr>
            <w:tcW w:w="2620"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 xml:space="preserve">Job </w:t>
            </w:r>
            <w:proofErr w:type="spellStart"/>
            <w:r w:rsidRPr="0081371A">
              <w:rPr>
                <w:rFonts w:eastAsia="Times New Roman" w:cstheme="minorHAnsi"/>
                <w:color w:val="000000"/>
                <w:sz w:val="20"/>
                <w:szCs w:val="20"/>
                <w:lang w:eastAsia="de-DE"/>
              </w:rPr>
              <w:t>characteristics</w:t>
            </w:r>
            <w:proofErr w:type="spellEnd"/>
          </w:p>
        </w:tc>
        <w:tc>
          <w:tcPr>
            <w:tcW w:w="3580" w:type="dxa"/>
            <w:tcBorders>
              <w:top w:val="nil"/>
              <w:left w:val="nil"/>
              <w:bottom w:val="nil"/>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 xml:space="preserve">High </w:t>
            </w:r>
            <w:proofErr w:type="spellStart"/>
            <w:r w:rsidRPr="0081371A">
              <w:rPr>
                <w:rFonts w:eastAsia="Times New Roman" w:cstheme="minorHAnsi"/>
                <w:color w:val="000000"/>
                <w:sz w:val="20"/>
                <w:szCs w:val="20"/>
                <w:lang w:eastAsia="de-DE"/>
              </w:rPr>
              <w:t>job</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satisfcation</w:t>
            </w:r>
            <w:proofErr w:type="spellEnd"/>
          </w:p>
        </w:tc>
        <w:tc>
          <w:tcPr>
            <w:tcW w:w="940" w:type="dxa"/>
            <w:tcBorders>
              <w:top w:val="nil"/>
              <w:left w:val="single" w:sz="4" w:space="0" w:color="auto"/>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-1,038</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00" w:type="dxa"/>
            <w:tcBorders>
              <w:top w:val="nil"/>
              <w:left w:val="nil"/>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-,396</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80" w:type="dxa"/>
            <w:tcBorders>
              <w:top w:val="nil"/>
              <w:left w:val="nil"/>
              <w:bottom w:val="nil"/>
              <w:right w:val="nil"/>
            </w:tcBorders>
            <w:shd w:val="clear" w:color="auto" w:fill="auto"/>
            <w:noWrap/>
            <w:vAlign w:val="bottom"/>
            <w:hideMark/>
          </w:tcPr>
          <w:p w:rsidR="003072D7" w:rsidRPr="0081371A" w:rsidRDefault="00F27289" w:rsidP="00F27289">
            <w:pPr>
              <w:spacing w:after="0" w:line="240" w:lineRule="auto"/>
              <w:jc w:val="right"/>
              <w:rPr>
                <w:rFonts w:eastAsia="Times New Roman" w:cstheme="minorHAnsi"/>
                <w:color w:val="000000"/>
                <w:sz w:val="20"/>
                <w:szCs w:val="20"/>
                <w:lang w:eastAsia="de-DE"/>
              </w:rPr>
            </w:pPr>
            <w:r>
              <w:rPr>
                <w:rFonts w:eastAsia="Times New Roman" w:cstheme="minorHAnsi"/>
                <w:color w:val="000000"/>
                <w:sz w:val="20"/>
                <w:szCs w:val="20"/>
                <w:lang w:eastAsia="de-DE"/>
              </w:rPr>
              <w:t>-</w:t>
            </w:r>
            <w:r w:rsidR="003072D7" w:rsidRPr="0081371A">
              <w:rPr>
                <w:rFonts w:eastAsia="Times New Roman" w:cstheme="minorHAnsi"/>
                <w:color w:val="000000"/>
                <w:sz w:val="20"/>
                <w:szCs w:val="20"/>
                <w:lang w:eastAsia="de-DE"/>
              </w:rPr>
              <w:t>,262</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011" w:type="dxa"/>
            <w:tcBorders>
              <w:top w:val="nil"/>
              <w:left w:val="nil"/>
              <w:bottom w:val="nil"/>
              <w:right w:val="nil"/>
            </w:tcBorders>
            <w:shd w:val="clear" w:color="auto" w:fill="auto"/>
            <w:noWrap/>
            <w:vAlign w:val="bottom"/>
            <w:hideMark/>
          </w:tcPr>
          <w:p w:rsidR="003072D7" w:rsidRPr="0081371A" w:rsidRDefault="00F27289" w:rsidP="00F27289">
            <w:pPr>
              <w:spacing w:after="0" w:line="240" w:lineRule="auto"/>
              <w:jc w:val="right"/>
              <w:rPr>
                <w:rFonts w:eastAsia="Times New Roman" w:cstheme="minorHAnsi"/>
                <w:color w:val="000000"/>
                <w:sz w:val="20"/>
                <w:szCs w:val="20"/>
                <w:lang w:eastAsia="de-DE"/>
              </w:rPr>
            </w:pPr>
            <w:r>
              <w:rPr>
                <w:rFonts w:eastAsia="Times New Roman" w:cstheme="minorHAnsi"/>
                <w:color w:val="000000"/>
                <w:sz w:val="20"/>
                <w:szCs w:val="20"/>
                <w:lang w:eastAsia="de-DE"/>
              </w:rPr>
              <w:t>-</w:t>
            </w:r>
            <w:r w:rsidR="003072D7" w:rsidRPr="0081371A">
              <w:rPr>
                <w:rFonts w:eastAsia="Times New Roman" w:cstheme="minorHAnsi"/>
                <w:color w:val="000000"/>
                <w:sz w:val="20"/>
                <w:szCs w:val="20"/>
                <w:lang w:eastAsia="de-DE"/>
              </w:rPr>
              <w:t>,555</w:t>
            </w:r>
          </w:p>
        </w:tc>
        <w:tc>
          <w:tcPr>
            <w:tcW w:w="188"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r>
      <w:tr w:rsidR="003072D7" w:rsidRPr="0081371A" w:rsidTr="00F27289">
        <w:trPr>
          <w:trHeight w:val="300"/>
        </w:trPr>
        <w:tc>
          <w:tcPr>
            <w:tcW w:w="2620"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3580" w:type="dxa"/>
            <w:tcBorders>
              <w:top w:val="nil"/>
              <w:left w:val="nil"/>
              <w:bottom w:val="nil"/>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 xml:space="preserve">Poor </w:t>
            </w:r>
            <w:proofErr w:type="spellStart"/>
            <w:r w:rsidRPr="0081371A">
              <w:rPr>
                <w:rFonts w:eastAsia="Times New Roman" w:cstheme="minorHAnsi"/>
                <w:color w:val="000000"/>
                <w:sz w:val="20"/>
                <w:szCs w:val="20"/>
                <w:lang w:eastAsia="de-DE"/>
              </w:rPr>
              <w:t>job</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security</w:t>
            </w:r>
            <w:proofErr w:type="spellEnd"/>
          </w:p>
        </w:tc>
        <w:tc>
          <w:tcPr>
            <w:tcW w:w="940" w:type="dxa"/>
            <w:tcBorders>
              <w:top w:val="nil"/>
              <w:left w:val="single" w:sz="4" w:space="0" w:color="auto"/>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-,415</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00"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,202</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80"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1,023</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011"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,664</w:t>
            </w:r>
          </w:p>
        </w:tc>
        <w:tc>
          <w:tcPr>
            <w:tcW w:w="188"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r>
      <w:tr w:rsidR="003072D7" w:rsidRPr="0081371A" w:rsidTr="00F27289">
        <w:trPr>
          <w:trHeight w:val="300"/>
        </w:trPr>
        <w:tc>
          <w:tcPr>
            <w:tcW w:w="2620"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3580" w:type="dxa"/>
            <w:tcBorders>
              <w:top w:val="nil"/>
              <w:left w:val="nil"/>
              <w:bottom w:val="nil"/>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 xml:space="preserve">Little </w:t>
            </w:r>
            <w:proofErr w:type="spellStart"/>
            <w:r w:rsidRPr="0081371A">
              <w:rPr>
                <w:rFonts w:eastAsia="Times New Roman" w:cstheme="minorHAnsi"/>
                <w:color w:val="000000"/>
                <w:sz w:val="20"/>
                <w:szCs w:val="20"/>
                <w:lang w:eastAsia="de-DE"/>
              </w:rPr>
              <w:t>freedom</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of</w:t>
            </w:r>
            <w:proofErr w:type="spellEnd"/>
            <w:r w:rsidRPr="0081371A">
              <w:rPr>
                <w:rFonts w:eastAsia="Times New Roman" w:cstheme="minorHAnsi"/>
                <w:color w:val="000000"/>
                <w:sz w:val="20"/>
                <w:szCs w:val="20"/>
                <w:lang w:eastAsia="de-DE"/>
              </w:rPr>
              <w:t xml:space="preserve"> </w:t>
            </w:r>
            <w:proofErr w:type="spellStart"/>
            <w:r w:rsidRPr="0081371A">
              <w:rPr>
                <w:rFonts w:eastAsia="Times New Roman" w:cstheme="minorHAnsi"/>
                <w:color w:val="000000"/>
                <w:sz w:val="20"/>
                <w:szCs w:val="20"/>
                <w:lang w:eastAsia="de-DE"/>
              </w:rPr>
              <w:t>choice</w:t>
            </w:r>
            <w:proofErr w:type="spellEnd"/>
          </w:p>
        </w:tc>
        <w:tc>
          <w:tcPr>
            <w:tcW w:w="940" w:type="dxa"/>
            <w:tcBorders>
              <w:top w:val="nil"/>
              <w:left w:val="single" w:sz="4" w:space="0" w:color="auto"/>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,648</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00" w:type="dxa"/>
            <w:tcBorders>
              <w:top w:val="nil"/>
              <w:left w:val="nil"/>
              <w:bottom w:val="nil"/>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,168</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480" w:type="dxa"/>
            <w:tcBorders>
              <w:top w:val="nil"/>
              <w:left w:val="nil"/>
              <w:bottom w:val="nil"/>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,116</w:t>
            </w:r>
          </w:p>
        </w:tc>
        <w:tc>
          <w:tcPr>
            <w:tcW w:w="439"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011" w:type="dxa"/>
            <w:tcBorders>
              <w:top w:val="nil"/>
              <w:left w:val="nil"/>
              <w:bottom w:val="nil"/>
              <w:right w:val="nil"/>
            </w:tcBorders>
            <w:shd w:val="clear" w:color="auto" w:fill="auto"/>
            <w:noWrap/>
            <w:vAlign w:val="bottom"/>
            <w:hideMark/>
          </w:tcPr>
          <w:p w:rsidR="003072D7" w:rsidRPr="0081371A" w:rsidRDefault="00F27289" w:rsidP="00F27289">
            <w:pPr>
              <w:spacing w:after="0" w:line="240" w:lineRule="auto"/>
              <w:jc w:val="right"/>
              <w:rPr>
                <w:rFonts w:eastAsia="Times New Roman" w:cstheme="minorHAnsi"/>
                <w:color w:val="000000"/>
                <w:sz w:val="20"/>
                <w:szCs w:val="20"/>
                <w:lang w:eastAsia="de-DE"/>
              </w:rPr>
            </w:pPr>
            <w:r>
              <w:rPr>
                <w:rFonts w:eastAsia="Times New Roman" w:cstheme="minorHAnsi"/>
                <w:color w:val="000000"/>
                <w:sz w:val="20"/>
                <w:szCs w:val="20"/>
                <w:lang w:eastAsia="de-DE"/>
              </w:rPr>
              <w:t>-</w:t>
            </w:r>
            <w:r w:rsidR="003072D7" w:rsidRPr="0081371A">
              <w:rPr>
                <w:rFonts w:eastAsia="Times New Roman" w:cstheme="minorHAnsi"/>
                <w:color w:val="000000"/>
                <w:sz w:val="20"/>
                <w:szCs w:val="20"/>
                <w:lang w:eastAsia="de-DE"/>
              </w:rPr>
              <w:t>,044</w:t>
            </w:r>
          </w:p>
        </w:tc>
        <w:tc>
          <w:tcPr>
            <w:tcW w:w="188" w:type="dxa"/>
            <w:tcBorders>
              <w:top w:val="nil"/>
              <w:left w:val="nil"/>
              <w:bottom w:val="nil"/>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r>
      <w:tr w:rsidR="003072D7" w:rsidRPr="0081371A" w:rsidTr="00F27289">
        <w:trPr>
          <w:trHeight w:val="300"/>
        </w:trPr>
        <w:tc>
          <w:tcPr>
            <w:tcW w:w="2620" w:type="dxa"/>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3580" w:type="dxa"/>
            <w:tcBorders>
              <w:top w:val="nil"/>
              <w:left w:val="nil"/>
              <w:bottom w:val="single" w:sz="4" w:space="0" w:color="auto"/>
              <w:right w:val="single" w:sz="4" w:space="0" w:color="auto"/>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val="en-US" w:eastAsia="de-DE"/>
              </w:rPr>
            </w:pPr>
            <w:r w:rsidRPr="0081371A">
              <w:rPr>
                <w:rFonts w:eastAsia="Times New Roman" w:cstheme="minorHAnsi"/>
                <w:color w:val="000000"/>
                <w:sz w:val="20"/>
                <w:szCs w:val="20"/>
                <w:lang w:val="en-US" w:eastAsia="de-DE"/>
              </w:rPr>
              <w:t>Work time: 40 hours and more (ref)</w:t>
            </w:r>
          </w:p>
        </w:tc>
        <w:tc>
          <w:tcPr>
            <w:tcW w:w="940" w:type="dxa"/>
            <w:tcBorders>
              <w:top w:val="nil"/>
              <w:left w:val="single" w:sz="4" w:space="0" w:color="auto"/>
              <w:bottom w:val="single" w:sz="4" w:space="0" w:color="auto"/>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-1,320</w:t>
            </w:r>
          </w:p>
        </w:tc>
        <w:tc>
          <w:tcPr>
            <w:tcW w:w="439" w:type="dxa"/>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00" w:type="dxa"/>
            <w:tcBorders>
              <w:top w:val="nil"/>
              <w:left w:val="nil"/>
              <w:bottom w:val="single" w:sz="4" w:space="0" w:color="auto"/>
              <w:right w:val="nil"/>
            </w:tcBorders>
            <w:shd w:val="clear" w:color="auto" w:fill="auto"/>
            <w:noWrap/>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-1,330</w:t>
            </w:r>
          </w:p>
        </w:tc>
        <w:tc>
          <w:tcPr>
            <w:tcW w:w="439" w:type="dxa"/>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r w:rsidRPr="0081371A">
              <w:rPr>
                <w:rFonts w:eastAsia="Times New Roman" w:cstheme="minorHAnsi"/>
                <w:color w:val="000000"/>
                <w:sz w:val="20"/>
                <w:szCs w:val="20"/>
                <w:lang w:eastAsia="de-DE"/>
              </w:rPr>
              <w:t>*</w:t>
            </w:r>
          </w:p>
        </w:tc>
        <w:tc>
          <w:tcPr>
            <w:tcW w:w="1480" w:type="dxa"/>
            <w:tcBorders>
              <w:top w:val="nil"/>
              <w:left w:val="nil"/>
              <w:bottom w:val="single" w:sz="4" w:space="0" w:color="auto"/>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,263</w:t>
            </w:r>
          </w:p>
        </w:tc>
        <w:tc>
          <w:tcPr>
            <w:tcW w:w="439" w:type="dxa"/>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c>
          <w:tcPr>
            <w:tcW w:w="1011" w:type="dxa"/>
            <w:tcBorders>
              <w:top w:val="nil"/>
              <w:left w:val="nil"/>
              <w:bottom w:val="single" w:sz="4" w:space="0" w:color="auto"/>
              <w:right w:val="nil"/>
            </w:tcBorders>
            <w:shd w:val="clear" w:color="auto" w:fill="auto"/>
            <w:noWrap/>
            <w:vAlign w:val="bottom"/>
            <w:hideMark/>
          </w:tcPr>
          <w:p w:rsidR="003072D7" w:rsidRPr="0081371A" w:rsidRDefault="003072D7" w:rsidP="00F27289">
            <w:pPr>
              <w:spacing w:after="0" w:line="240" w:lineRule="auto"/>
              <w:jc w:val="right"/>
              <w:rPr>
                <w:rFonts w:eastAsia="Times New Roman" w:cstheme="minorHAnsi"/>
                <w:color w:val="000000"/>
                <w:sz w:val="20"/>
                <w:szCs w:val="20"/>
                <w:lang w:eastAsia="de-DE"/>
              </w:rPr>
            </w:pPr>
            <w:r w:rsidRPr="0081371A">
              <w:rPr>
                <w:rFonts w:eastAsia="Times New Roman" w:cstheme="minorHAnsi"/>
                <w:color w:val="000000"/>
                <w:sz w:val="20"/>
                <w:szCs w:val="20"/>
                <w:lang w:eastAsia="de-DE"/>
              </w:rPr>
              <w:t>,078</w:t>
            </w:r>
          </w:p>
        </w:tc>
        <w:tc>
          <w:tcPr>
            <w:tcW w:w="188" w:type="dxa"/>
            <w:tcBorders>
              <w:top w:val="nil"/>
              <w:left w:val="nil"/>
              <w:bottom w:val="single" w:sz="4" w:space="0" w:color="auto"/>
              <w:right w:val="nil"/>
            </w:tcBorders>
            <w:shd w:val="clear" w:color="auto" w:fill="auto"/>
            <w:noWrap/>
            <w:vAlign w:val="bottom"/>
            <w:hideMark/>
          </w:tcPr>
          <w:p w:rsidR="003072D7" w:rsidRPr="0081371A" w:rsidRDefault="003072D7" w:rsidP="003072D7">
            <w:pPr>
              <w:spacing w:after="0" w:line="240" w:lineRule="auto"/>
              <w:jc w:val="both"/>
              <w:rPr>
                <w:rFonts w:eastAsia="Times New Roman" w:cstheme="minorHAnsi"/>
                <w:color w:val="000000"/>
                <w:sz w:val="20"/>
                <w:szCs w:val="20"/>
                <w:lang w:eastAsia="de-DE"/>
              </w:rPr>
            </w:pPr>
          </w:p>
        </w:tc>
      </w:tr>
    </w:tbl>
    <w:p w:rsidR="003072D7" w:rsidRPr="006B3A92" w:rsidRDefault="003072D7" w:rsidP="003072D7">
      <w:pPr>
        <w:pStyle w:val="Listenabsatz"/>
        <w:ind w:left="0"/>
        <w:jc w:val="both"/>
        <w:rPr>
          <w:sz w:val="20"/>
          <w:szCs w:val="20"/>
          <w:lang w:val="en-GB"/>
        </w:rPr>
      </w:pPr>
      <w:r>
        <w:rPr>
          <w:sz w:val="20"/>
          <w:szCs w:val="20"/>
          <w:lang w:val="en-GB"/>
        </w:rPr>
        <w:t xml:space="preserve">Source: SHARE: Wave 1 &amp; 2, Own calculations, *** </w:t>
      </w:r>
      <w:r>
        <w:rPr>
          <w:rFonts w:cstheme="minorHAnsi"/>
          <w:sz w:val="20"/>
          <w:szCs w:val="20"/>
          <w:lang w:val="en-GB"/>
        </w:rPr>
        <w:t xml:space="preserve">α ≤ 0,001, </w:t>
      </w:r>
      <w:r>
        <w:rPr>
          <w:sz w:val="20"/>
          <w:szCs w:val="20"/>
          <w:lang w:val="en-GB"/>
        </w:rPr>
        <w:t xml:space="preserve">** </w:t>
      </w:r>
      <w:r>
        <w:rPr>
          <w:rFonts w:cstheme="minorHAnsi"/>
          <w:sz w:val="20"/>
          <w:szCs w:val="20"/>
          <w:lang w:val="en-GB"/>
        </w:rPr>
        <w:t>α ≤ 0</w:t>
      </w:r>
      <w:proofErr w:type="gramStart"/>
      <w:r>
        <w:rPr>
          <w:rFonts w:cstheme="minorHAnsi"/>
          <w:sz w:val="20"/>
          <w:szCs w:val="20"/>
          <w:lang w:val="en-GB"/>
        </w:rPr>
        <w:t>,01</w:t>
      </w:r>
      <w:proofErr w:type="gramEnd"/>
      <w:r>
        <w:rPr>
          <w:rFonts w:cstheme="minorHAnsi"/>
          <w:sz w:val="20"/>
          <w:szCs w:val="20"/>
          <w:lang w:val="en-GB"/>
        </w:rPr>
        <w:t xml:space="preserve">, </w:t>
      </w:r>
      <w:r>
        <w:rPr>
          <w:sz w:val="20"/>
          <w:szCs w:val="20"/>
          <w:lang w:val="en-GB"/>
        </w:rPr>
        <w:t xml:space="preserve">* </w:t>
      </w:r>
      <w:r>
        <w:rPr>
          <w:rFonts w:cstheme="minorHAnsi"/>
          <w:sz w:val="20"/>
          <w:szCs w:val="20"/>
          <w:lang w:val="en-GB"/>
        </w:rPr>
        <w:t xml:space="preserve">α ≤ 0,05, </w:t>
      </w:r>
      <w:r>
        <w:rPr>
          <w:sz w:val="20"/>
          <w:szCs w:val="20"/>
          <w:lang w:val="en-GB"/>
        </w:rPr>
        <w:t xml:space="preserve">+ </w:t>
      </w:r>
      <w:r>
        <w:rPr>
          <w:rFonts w:cstheme="minorHAnsi"/>
          <w:sz w:val="20"/>
          <w:szCs w:val="20"/>
          <w:lang w:val="en-GB"/>
        </w:rPr>
        <w:t>α ≤ 0,1</w:t>
      </w:r>
    </w:p>
    <w:p w:rsidR="003072D7" w:rsidRDefault="003072D7" w:rsidP="003072D7">
      <w:pPr>
        <w:pStyle w:val="Listenabsatz"/>
        <w:ind w:left="0"/>
        <w:jc w:val="both"/>
        <w:rPr>
          <w:sz w:val="20"/>
          <w:szCs w:val="20"/>
          <w:lang w:val="en-GB"/>
        </w:rPr>
        <w:sectPr w:rsidR="003072D7" w:rsidSect="003072D7">
          <w:pgSz w:w="16838" w:h="11906" w:orient="landscape"/>
          <w:pgMar w:top="1418" w:right="1418" w:bottom="1418" w:left="1134" w:header="709" w:footer="709" w:gutter="0"/>
          <w:cols w:space="708"/>
          <w:docGrid w:linePitch="360"/>
        </w:sectPr>
      </w:pPr>
    </w:p>
    <w:p w:rsidR="008C232A" w:rsidRPr="003072D7" w:rsidRDefault="008C232A" w:rsidP="008C232A">
      <w:pPr>
        <w:pStyle w:val="Listenabsatz"/>
        <w:ind w:left="0"/>
        <w:jc w:val="both"/>
        <w:rPr>
          <w:lang w:val="en-GB"/>
        </w:rPr>
      </w:pPr>
      <w:r w:rsidRPr="003072D7">
        <w:rPr>
          <w:lang w:val="en-GB"/>
        </w:rPr>
        <w:lastRenderedPageBreak/>
        <w:t xml:space="preserve">To investigate these patterns in more detail, Table 4 splits the decision to exit employment into four groups of reasons: </w:t>
      </w:r>
      <w:r w:rsidRPr="003072D7">
        <w:rPr>
          <w:i/>
          <w:lang w:val="en-GB"/>
        </w:rPr>
        <w:t>regular retirement</w:t>
      </w:r>
      <w:r w:rsidRPr="003072D7">
        <w:rPr>
          <w:lang w:val="en-GB"/>
        </w:rPr>
        <w:t xml:space="preserve"> – i.e. exiting employment when having reached an eligibility age for (early) retirement pensions, exits fostered by incentives from the employer (</w:t>
      </w:r>
      <w:r w:rsidRPr="003072D7">
        <w:rPr>
          <w:i/>
          <w:lang w:val="en-GB"/>
        </w:rPr>
        <w:t>employer pull</w:t>
      </w:r>
      <w:r w:rsidRPr="003072D7">
        <w:rPr>
          <w:lang w:val="en-GB"/>
        </w:rPr>
        <w:t>; considering both early exit offers as well as eligibility occupational pensions), exits through redundancies or dismissal (</w:t>
      </w:r>
      <w:r w:rsidRPr="003072D7">
        <w:rPr>
          <w:i/>
          <w:lang w:val="en-GB"/>
        </w:rPr>
        <w:t>employer push</w:t>
      </w:r>
      <w:r w:rsidRPr="003072D7">
        <w:rPr>
          <w:lang w:val="en-GB"/>
        </w:rPr>
        <w:t xml:space="preserve">) and exits due to </w:t>
      </w:r>
      <w:r w:rsidRPr="003072D7">
        <w:rPr>
          <w:i/>
          <w:lang w:val="en-GB"/>
        </w:rPr>
        <w:t>private reasons</w:t>
      </w:r>
      <w:r w:rsidRPr="003072D7">
        <w:rPr>
          <w:lang w:val="en-GB"/>
        </w:rPr>
        <w:t xml:space="preserve"> (e.g. for family reasons or due to own preferences).</w:t>
      </w:r>
      <w:r w:rsidRPr="003072D7">
        <w:rPr>
          <w:rStyle w:val="Funotenzeichen"/>
          <w:lang w:val="en-GB"/>
        </w:rPr>
        <w:footnoteReference w:id="14"/>
      </w:r>
    </w:p>
    <w:p w:rsidR="008C232A" w:rsidRPr="003072D7" w:rsidRDefault="008C232A" w:rsidP="008C232A">
      <w:pPr>
        <w:pStyle w:val="Listenabsatz"/>
        <w:ind w:left="0"/>
        <w:jc w:val="both"/>
        <w:rPr>
          <w:lang w:val="en-GB"/>
        </w:rPr>
      </w:pPr>
      <w:r w:rsidRPr="003072D7">
        <w:rPr>
          <w:lang w:val="en-GB"/>
        </w:rPr>
        <w:t xml:space="preserve">Leaving the labour force </w:t>
      </w:r>
      <w:r>
        <w:rPr>
          <w:lang w:val="en-GB"/>
        </w:rPr>
        <w:t>before age 65 using</w:t>
      </w:r>
      <w:r w:rsidRPr="003072D7">
        <w:rPr>
          <w:lang w:val="en-GB"/>
        </w:rPr>
        <w:t xml:space="preserve"> a </w:t>
      </w:r>
      <w:r w:rsidRPr="003072D7">
        <w:rPr>
          <w:i/>
          <w:lang w:val="en-GB"/>
        </w:rPr>
        <w:t>regular age</w:t>
      </w:r>
      <w:r w:rsidRPr="003072D7">
        <w:rPr>
          <w:lang w:val="en-GB"/>
        </w:rPr>
        <w:t xml:space="preserve"> limit appears to be most widespread in Southern European countries, corroborating the earlier argument that low age limits and high compensation levels are primary drivers of early retirement in these countries.  In contrast, the high age limits in Scandinavian countries </w:t>
      </w:r>
      <w:r>
        <w:rPr>
          <w:lang w:val="en-GB"/>
        </w:rPr>
        <w:t>and the absence of</w:t>
      </w:r>
      <w:r w:rsidRPr="003072D7">
        <w:rPr>
          <w:lang w:val="en-GB"/>
        </w:rPr>
        <w:t xml:space="preserve"> early exit options are reflected in consequently low rates of early exits using this route.</w:t>
      </w:r>
    </w:p>
    <w:p w:rsidR="003072D7" w:rsidRPr="003072D7" w:rsidRDefault="003072D7" w:rsidP="003072D7">
      <w:pPr>
        <w:pStyle w:val="Listenabsatz"/>
        <w:ind w:left="0"/>
        <w:jc w:val="both"/>
        <w:rPr>
          <w:lang w:val="en-GB"/>
        </w:rPr>
      </w:pPr>
      <w:r w:rsidRPr="003072D7">
        <w:rPr>
          <w:lang w:val="en-GB"/>
        </w:rPr>
        <w:t xml:space="preserve">In contrast, those with high job satisfaction, high education and a strong labour force attachment are </w:t>
      </w:r>
      <w:proofErr w:type="gramStart"/>
      <w:r w:rsidR="009A41F0">
        <w:rPr>
          <w:lang w:val="en-GB"/>
        </w:rPr>
        <w:t xml:space="preserve">less </w:t>
      </w:r>
      <w:r w:rsidRPr="003072D7">
        <w:rPr>
          <w:lang w:val="en-GB"/>
        </w:rPr>
        <w:t xml:space="preserve"> </w:t>
      </w:r>
      <w:r w:rsidR="009A41F0">
        <w:rPr>
          <w:lang w:val="en-GB"/>
        </w:rPr>
        <w:t>to</w:t>
      </w:r>
      <w:proofErr w:type="gramEnd"/>
      <w:r w:rsidR="009A41F0">
        <w:rPr>
          <w:lang w:val="en-GB"/>
        </w:rPr>
        <w:t xml:space="preserve"> exit when having reached certain eligibility ages</w:t>
      </w:r>
      <w:r w:rsidRPr="003072D7">
        <w:rPr>
          <w:lang w:val="en-GB"/>
        </w:rPr>
        <w:t>. Indeed, comparative research has shown that it is often especially these workers that prefer to continue working as ‘silver workers’ even beyond retirement age (</w:t>
      </w:r>
      <w:proofErr w:type="spellStart"/>
      <w:r w:rsidRPr="003072D7">
        <w:rPr>
          <w:i/>
          <w:lang w:val="en-GB"/>
        </w:rPr>
        <w:t>Deller</w:t>
      </w:r>
      <w:proofErr w:type="spellEnd"/>
      <w:r w:rsidRPr="003072D7">
        <w:rPr>
          <w:i/>
          <w:lang w:val="en-GB"/>
        </w:rPr>
        <w:t xml:space="preserve"> et al.</w:t>
      </w:r>
      <w:r w:rsidR="00F070F4">
        <w:rPr>
          <w:lang w:val="en-GB"/>
        </w:rPr>
        <w:t xml:space="preserve">, </w:t>
      </w:r>
      <w:r w:rsidRPr="003072D7">
        <w:rPr>
          <w:lang w:val="en-GB"/>
        </w:rPr>
        <w:t xml:space="preserve">2009). </w:t>
      </w:r>
    </w:p>
    <w:p w:rsidR="003072D7" w:rsidRPr="003072D7" w:rsidRDefault="003072D7" w:rsidP="003072D7">
      <w:pPr>
        <w:pStyle w:val="Listenabsatz"/>
        <w:ind w:left="0"/>
        <w:jc w:val="both"/>
        <w:rPr>
          <w:lang w:val="en-GB"/>
        </w:rPr>
      </w:pPr>
      <w:r w:rsidRPr="003072D7">
        <w:rPr>
          <w:lang w:val="en-GB"/>
        </w:rPr>
        <w:t>Th</w:t>
      </w:r>
      <w:r w:rsidR="009A41F0">
        <w:rPr>
          <w:lang w:val="en-GB"/>
        </w:rPr>
        <w:t>e fact th</w:t>
      </w:r>
      <w:r w:rsidRPr="003072D7">
        <w:rPr>
          <w:lang w:val="en-GB"/>
        </w:rPr>
        <w:t xml:space="preserve">at exits from employment induced by </w:t>
      </w:r>
      <w:r w:rsidRPr="009A41F0">
        <w:rPr>
          <w:i/>
          <w:lang w:val="en-GB"/>
        </w:rPr>
        <w:t>employer incentives</w:t>
      </w:r>
      <w:r w:rsidRPr="003072D7">
        <w:rPr>
          <w:lang w:val="en-GB"/>
        </w:rPr>
        <w:t xml:space="preserve"> </w:t>
      </w:r>
      <w:r w:rsidR="009A41F0">
        <w:rPr>
          <w:lang w:val="en-GB"/>
        </w:rPr>
        <w:t xml:space="preserve">(‘employer pull’) </w:t>
      </w:r>
      <w:r w:rsidRPr="003072D7">
        <w:rPr>
          <w:lang w:val="en-GB"/>
        </w:rPr>
        <w:t xml:space="preserve">are most frequent as individuals approach mandatory retirement ages confirms their role as additional ‘bridges’ into retirement. Apparently such programmes </w:t>
      </w:r>
      <w:r w:rsidR="009A41F0">
        <w:rPr>
          <w:lang w:val="en-GB"/>
        </w:rPr>
        <w:t>are</w:t>
      </w:r>
      <w:r w:rsidRPr="003072D7">
        <w:rPr>
          <w:lang w:val="en-GB"/>
        </w:rPr>
        <w:t xml:space="preserve"> frequently used as exit options for workers with deteriorating health, indicated by the higher likelihood of such workers to retire in this manner.</w:t>
      </w:r>
      <w:r>
        <w:rPr>
          <w:sz w:val="20"/>
          <w:szCs w:val="20"/>
          <w:lang w:val="en-GB"/>
        </w:rPr>
        <w:t xml:space="preserve"> </w:t>
      </w:r>
      <w:r w:rsidRPr="003072D7">
        <w:rPr>
          <w:lang w:val="en-GB"/>
        </w:rPr>
        <w:t xml:space="preserve">As expected, it is especially large firms that use these opportunities, given their higher need for restructuring and the better financial capabilities to shoulder the costs related to such institutionalised programmes. In line with previous literature (e.g. </w:t>
      </w:r>
      <w:proofErr w:type="spellStart"/>
      <w:r w:rsidRPr="003072D7">
        <w:rPr>
          <w:i/>
          <w:lang w:val="en-GB"/>
        </w:rPr>
        <w:t>Blossfeld</w:t>
      </w:r>
      <w:proofErr w:type="spellEnd"/>
      <w:r w:rsidRPr="003072D7">
        <w:rPr>
          <w:i/>
          <w:lang w:val="en-GB"/>
        </w:rPr>
        <w:t xml:space="preserve"> et al.</w:t>
      </w:r>
      <w:r w:rsidR="00F070F4">
        <w:rPr>
          <w:lang w:val="en-GB"/>
        </w:rPr>
        <w:t xml:space="preserve">, </w:t>
      </w:r>
      <w:r w:rsidRPr="003072D7">
        <w:rPr>
          <w:lang w:val="en-GB"/>
        </w:rPr>
        <w:t>2006), results in Table 4 show that these ‘golden handshake</w:t>
      </w:r>
      <w:r w:rsidR="009A41F0">
        <w:rPr>
          <w:lang w:val="en-GB"/>
        </w:rPr>
        <w:t>s</w:t>
      </w:r>
      <w:r w:rsidRPr="003072D7">
        <w:rPr>
          <w:lang w:val="en-GB"/>
        </w:rPr>
        <w:t xml:space="preserve">’ where most widespread in conservative countries. In Southern European countries, where exit </w:t>
      </w:r>
      <w:r w:rsidR="009A41F0">
        <w:rPr>
          <w:lang w:val="en-GB"/>
        </w:rPr>
        <w:t xml:space="preserve">is already fostered by low mandatory retirement </w:t>
      </w:r>
      <w:proofErr w:type="gramStart"/>
      <w:r w:rsidR="009A41F0">
        <w:rPr>
          <w:lang w:val="en-GB"/>
        </w:rPr>
        <w:t xml:space="preserve">ages </w:t>
      </w:r>
      <w:r w:rsidRPr="003072D7">
        <w:rPr>
          <w:lang w:val="en-GB"/>
        </w:rPr>
        <w:t xml:space="preserve"> (</w:t>
      </w:r>
      <w:proofErr w:type="gramEnd"/>
      <w:r w:rsidRPr="003072D7">
        <w:rPr>
          <w:lang w:val="en-GB"/>
        </w:rPr>
        <w:t>see above), such measures appear to be less prominent.</w:t>
      </w:r>
    </w:p>
    <w:p w:rsidR="003072D7" w:rsidRPr="003072D7" w:rsidRDefault="003072D7" w:rsidP="003072D7">
      <w:pPr>
        <w:pStyle w:val="Listenabsatz"/>
        <w:ind w:left="0"/>
        <w:jc w:val="both"/>
        <w:rPr>
          <w:lang w:val="en-GB"/>
        </w:rPr>
      </w:pPr>
      <w:r w:rsidRPr="003072D7">
        <w:rPr>
          <w:lang w:val="en-GB"/>
        </w:rPr>
        <w:t xml:space="preserve">While exits via employer-led schemes often guarantee employees at least a financially sustainable withdrawal from employment, exits through mere </w:t>
      </w:r>
      <w:r w:rsidRPr="009A41F0">
        <w:rPr>
          <w:i/>
          <w:lang w:val="en-GB"/>
        </w:rPr>
        <w:t>dismissals or redundancies</w:t>
      </w:r>
      <w:r w:rsidR="009A41F0">
        <w:rPr>
          <w:lang w:val="en-GB"/>
        </w:rPr>
        <w:t xml:space="preserve"> (‘employer push’)</w:t>
      </w:r>
      <w:r w:rsidRPr="003072D7">
        <w:rPr>
          <w:lang w:val="en-GB"/>
        </w:rPr>
        <w:t xml:space="preserve"> often incur more serious material consequences for older workers. As such separations are less dependent on the provision of state </w:t>
      </w:r>
      <w:proofErr w:type="gramStart"/>
      <w:r w:rsidRPr="003072D7">
        <w:rPr>
          <w:lang w:val="en-GB"/>
        </w:rPr>
        <w:t>benefits,</w:t>
      </w:r>
      <w:proofErr w:type="gramEnd"/>
      <w:r w:rsidRPr="003072D7">
        <w:rPr>
          <w:lang w:val="en-GB"/>
        </w:rPr>
        <w:t xml:space="preserve"> the age pattern in this transition consequently is clearly less steep than for exit transition</w:t>
      </w:r>
      <w:r w:rsidR="00F27289">
        <w:rPr>
          <w:lang w:val="en-GB"/>
        </w:rPr>
        <w:t>s</w:t>
      </w:r>
      <w:r w:rsidRPr="003072D7">
        <w:rPr>
          <w:lang w:val="en-GB"/>
        </w:rPr>
        <w:t xml:space="preserve"> via severance payments. As the results show, exits </w:t>
      </w:r>
      <w:r w:rsidR="00F27289">
        <w:rPr>
          <w:lang w:val="en-GB"/>
        </w:rPr>
        <w:t>due to separations from the employer</w:t>
      </w:r>
      <w:r w:rsidRPr="003072D7">
        <w:rPr>
          <w:lang w:val="en-GB"/>
        </w:rPr>
        <w:t xml:space="preserve"> are most frequent among those who describe their job as being insecure, an indication that </w:t>
      </w:r>
      <w:r w:rsidR="00F27289">
        <w:rPr>
          <w:lang w:val="en-GB"/>
        </w:rPr>
        <w:t xml:space="preserve">dismissal are largely </w:t>
      </w:r>
      <w:r w:rsidRPr="003072D7">
        <w:rPr>
          <w:lang w:val="en-GB"/>
        </w:rPr>
        <w:t xml:space="preserve">targeted at employees in the secondary labour market for which employment protection is less developed. </w:t>
      </w:r>
      <w:r w:rsidR="006D35D3">
        <w:rPr>
          <w:lang w:val="en-GB"/>
        </w:rPr>
        <w:t>Older workers with bad health tend to fall into this group as well. In contrast, h</w:t>
      </w:r>
      <w:r w:rsidRPr="003072D7">
        <w:rPr>
          <w:lang w:val="en-GB"/>
        </w:rPr>
        <w:t xml:space="preserve">ighly educated workers who rather </w:t>
      </w:r>
      <w:r w:rsidR="00F27289">
        <w:rPr>
          <w:lang w:val="en-GB"/>
        </w:rPr>
        <w:t>work</w:t>
      </w:r>
      <w:r w:rsidRPr="003072D7">
        <w:rPr>
          <w:lang w:val="en-GB"/>
        </w:rPr>
        <w:t xml:space="preserve"> in the primary internal labour market and those working in the more rationalisation-prone service sector </w:t>
      </w:r>
      <w:r w:rsidR="00F27289">
        <w:rPr>
          <w:lang w:val="en-GB"/>
        </w:rPr>
        <w:t>appear</w:t>
      </w:r>
      <w:r w:rsidRPr="003072D7">
        <w:rPr>
          <w:lang w:val="en-GB"/>
        </w:rPr>
        <w:t xml:space="preserve"> to be more protected a</w:t>
      </w:r>
      <w:r w:rsidR="00F27289">
        <w:rPr>
          <w:lang w:val="en-GB"/>
        </w:rPr>
        <w:t>gainst</w:t>
      </w:r>
      <w:r w:rsidRPr="003072D7">
        <w:rPr>
          <w:lang w:val="en-GB"/>
        </w:rPr>
        <w:t xml:space="preserve"> such unfavourable exits.</w:t>
      </w:r>
    </w:p>
    <w:p w:rsidR="003072D7" w:rsidRPr="003072D7" w:rsidRDefault="003072D7" w:rsidP="003072D7">
      <w:pPr>
        <w:pStyle w:val="Listenabsatz"/>
        <w:ind w:left="0"/>
        <w:jc w:val="both"/>
        <w:rPr>
          <w:lang w:val="en-GB"/>
        </w:rPr>
      </w:pPr>
      <w:r w:rsidRPr="003072D7">
        <w:rPr>
          <w:lang w:val="en-GB"/>
        </w:rPr>
        <w:t xml:space="preserve">Employment exits for </w:t>
      </w:r>
      <w:r w:rsidRPr="00F27289">
        <w:rPr>
          <w:i/>
          <w:lang w:val="en-GB"/>
        </w:rPr>
        <w:t>private reasons</w:t>
      </w:r>
      <w:r w:rsidRPr="003072D7">
        <w:rPr>
          <w:lang w:val="en-GB"/>
        </w:rPr>
        <w:t xml:space="preserve"> are found most frequently among women, likely reflecting their higher likelihood to exit employment early to retire jointly with their partner or to take care of care and/or homemaking tasks. Single individuals, in contrast, are consequently less likely to use this exit route. The fact, however, that it is again those workers with low employment security that take this exit route suggests that exits for private reasons </w:t>
      </w:r>
      <w:r w:rsidR="00F27289">
        <w:rPr>
          <w:lang w:val="en-GB"/>
        </w:rPr>
        <w:t xml:space="preserve">do </w:t>
      </w:r>
      <w:r w:rsidRPr="003072D7">
        <w:rPr>
          <w:lang w:val="en-GB"/>
        </w:rPr>
        <w:t xml:space="preserve">not necessarily reflect a free decision </w:t>
      </w:r>
      <w:r w:rsidR="00F27289">
        <w:rPr>
          <w:lang w:val="en-GB"/>
        </w:rPr>
        <w:t xml:space="preserve">for </w:t>
      </w:r>
      <w:r w:rsidRPr="003072D7">
        <w:rPr>
          <w:lang w:val="en-GB"/>
        </w:rPr>
        <w:t xml:space="preserve">labour market withdrawal, but may rather apply </w:t>
      </w:r>
      <w:r w:rsidR="00F27289">
        <w:rPr>
          <w:lang w:val="en-GB"/>
        </w:rPr>
        <w:t xml:space="preserve">resemble alternative exit routes </w:t>
      </w:r>
      <w:r w:rsidRPr="003072D7">
        <w:rPr>
          <w:lang w:val="en-GB"/>
        </w:rPr>
        <w:t>by those with low or unstable labour market attachment</w:t>
      </w:r>
      <w:r w:rsidR="00F27289">
        <w:rPr>
          <w:lang w:val="en-GB"/>
        </w:rPr>
        <w:t>, possibly in order to avoid job separation</w:t>
      </w:r>
      <w:r w:rsidRPr="003072D7">
        <w:rPr>
          <w:lang w:val="en-GB"/>
        </w:rPr>
        <w:t>.</w:t>
      </w:r>
    </w:p>
    <w:p w:rsidR="003072D7" w:rsidRPr="003072D7" w:rsidRDefault="003072D7" w:rsidP="003072D7">
      <w:pPr>
        <w:pStyle w:val="Listenabsatz"/>
        <w:ind w:left="0"/>
        <w:jc w:val="both"/>
        <w:rPr>
          <w:lang w:val="en-GB"/>
        </w:rPr>
      </w:pPr>
    </w:p>
    <w:p w:rsidR="003072D7" w:rsidRPr="003072D7" w:rsidRDefault="003072D7" w:rsidP="003072D7">
      <w:pPr>
        <w:pStyle w:val="Listenabsatz"/>
        <w:ind w:left="0"/>
        <w:contextualSpacing w:val="0"/>
        <w:jc w:val="both"/>
        <w:rPr>
          <w:b/>
          <w:lang w:val="en-GB"/>
        </w:rPr>
      </w:pPr>
      <w:r w:rsidRPr="003072D7">
        <w:rPr>
          <w:b/>
          <w:lang w:val="en-GB"/>
        </w:rPr>
        <w:lastRenderedPageBreak/>
        <w:t xml:space="preserve">5. Conclusion     </w:t>
      </w:r>
    </w:p>
    <w:p w:rsidR="003072D7" w:rsidRPr="003072D7" w:rsidRDefault="003072D7" w:rsidP="003072D7">
      <w:pPr>
        <w:pStyle w:val="Listenabsatz"/>
        <w:ind w:left="0"/>
        <w:jc w:val="both"/>
        <w:rPr>
          <w:lang w:val="en-GB"/>
        </w:rPr>
      </w:pPr>
      <w:r w:rsidRPr="003072D7">
        <w:rPr>
          <w:lang w:val="en-GB"/>
        </w:rPr>
        <w:t xml:space="preserve">Using most recent data from the SHARE survey, this paper has aimed to reconstruct the retirement decisions of older workers and their degree of voluntariness in European countries. </w:t>
      </w:r>
      <w:proofErr w:type="gramStart"/>
      <w:r w:rsidRPr="003072D7">
        <w:rPr>
          <w:lang w:val="en-GB"/>
        </w:rPr>
        <w:t>Most earlier</w:t>
      </w:r>
      <w:proofErr w:type="gramEnd"/>
      <w:r w:rsidRPr="003072D7">
        <w:rPr>
          <w:lang w:val="en-GB"/>
        </w:rPr>
        <w:t xml:space="preserve"> research had largely focused on retirement transitions as such, without differentiating between motivations behind it. In this paper we have shown, that it makes sense not only to focus at the retirement transition per se but also to explicitly consider its reasons. Our results show that not all retirement transitions are in fact voluntary and that the quality of an employment withdrawal may differ significantly, depending on national institutional, firm-level as well as individual characteristics. Furthermore, our results </w:t>
      </w:r>
      <w:r w:rsidR="00F27289">
        <w:rPr>
          <w:lang w:val="en-GB"/>
        </w:rPr>
        <w:t>indicate</w:t>
      </w:r>
      <w:r w:rsidRPr="003072D7">
        <w:rPr>
          <w:lang w:val="en-GB"/>
        </w:rPr>
        <w:t xml:space="preserve"> that standard predictors of (early) exit may have very differential effects on voluntary versus involuntary retirement respectively its concrete reasoning. Most precarious involuntary employment exits, especially those due to redundancies, dismissals or plant closures appear to concentrate within a distinct group of disadvantaged workers with low education</w:t>
      </w:r>
      <w:r w:rsidR="00F27289">
        <w:rPr>
          <w:lang w:val="en-GB"/>
        </w:rPr>
        <w:t xml:space="preserve"> and</w:t>
      </w:r>
      <w:r w:rsidRPr="003072D7">
        <w:rPr>
          <w:lang w:val="en-GB"/>
        </w:rPr>
        <w:t xml:space="preserve"> </w:t>
      </w:r>
      <w:r w:rsidR="00F27289">
        <w:rPr>
          <w:lang w:val="en-GB"/>
        </w:rPr>
        <w:t xml:space="preserve">bad health status, </w:t>
      </w:r>
      <w:r w:rsidRPr="003072D7">
        <w:rPr>
          <w:lang w:val="en-GB"/>
        </w:rPr>
        <w:t xml:space="preserve">most likely to be found in low-skill routine activities within secondary labour markets. Higher qualified workers and those in the tertiary service sector not only tend to retire later, but even if they retire early, they are more likely to be found in more favourable exit routes such as publicly- or employer-funded pre-retirement schemes. </w:t>
      </w:r>
    </w:p>
    <w:p w:rsidR="003072D7" w:rsidRPr="003072D7" w:rsidRDefault="003072D7" w:rsidP="003072D7">
      <w:pPr>
        <w:pStyle w:val="Listenabsatz"/>
        <w:ind w:left="0"/>
        <w:jc w:val="both"/>
        <w:rPr>
          <w:lang w:val="en-GB"/>
        </w:rPr>
      </w:pPr>
      <w:r w:rsidRPr="003072D7">
        <w:rPr>
          <w:lang w:val="en-GB"/>
        </w:rPr>
        <w:t xml:space="preserve">Given the fact that early exit still represents one of the major challenges within contemporary European countries, much further effort by national governments will be needed to sustainably reverse this trend. Our analyses indicate institutional strategies that may help to maintain older workers longer within employment. These include, among other, shifts in existing retirement ages and a gradual cutting back in the generosity of early retirement incentives, but just as well measures to increase the employability of older workers. However, our differentiated analyses, considering variations at the firm as well as at the individual cast serious doubt on the existence of a political ’one-size-fits-all’ solution. Even under the gradual emergence of the ‘active ageing’ paradigm in the last decade, there appears to be a disadvantaged group of workers that experience little freedom in their retirement decision and that are still at a high risk of being pushed out of employment. Measures such as lifting mandatory retirement ages or eliminating early exit options without investing into the employability of these workers likely will create a group of older workers deprived of both their opportunities to continue working as well as of financial security in late career and retirement. A sustainable policy for reversing the early retirement trend thus will need to be more case-specific and will need to develop better solutions for older employees at the margins of employment that have yet not profited from the ‘active ageing’ trend.  </w:t>
      </w:r>
    </w:p>
    <w:p w:rsidR="008C232A" w:rsidRDefault="008C232A" w:rsidP="003072D7">
      <w:pPr>
        <w:pStyle w:val="Listenabsatz"/>
        <w:ind w:left="0"/>
        <w:jc w:val="both"/>
        <w:rPr>
          <w:lang w:val="en-GB"/>
        </w:rPr>
      </w:pPr>
      <w:r w:rsidRPr="008C232A">
        <w:rPr>
          <w:lang w:val="en-GB"/>
        </w:rPr>
        <w:t>Naturally</w:t>
      </w:r>
      <w:r>
        <w:rPr>
          <w:lang w:val="en-GB"/>
        </w:rPr>
        <w:t xml:space="preserve">, the analytical perspective taken in this paper also has its limitations. On the one hand, the SHARE is a very rich but still a rather young survey, so that only </w:t>
      </w:r>
      <w:r w:rsidR="00744677">
        <w:rPr>
          <w:lang w:val="en-GB"/>
        </w:rPr>
        <w:t xml:space="preserve">employment </w:t>
      </w:r>
      <w:r>
        <w:rPr>
          <w:lang w:val="en-GB"/>
        </w:rPr>
        <w:t>exits between two subsequent waves could be considered. Further waves, especially the 4</w:t>
      </w:r>
      <w:r w:rsidRPr="008C232A">
        <w:rPr>
          <w:vertAlign w:val="superscript"/>
          <w:lang w:val="en-GB"/>
        </w:rPr>
        <w:t>th</w:t>
      </w:r>
      <w:r>
        <w:rPr>
          <w:lang w:val="en-GB"/>
        </w:rPr>
        <w:t xml:space="preserve"> wave to be released in end-2012 will allow to widen the time span to a window of up to 6 years. This wave will also allow to </w:t>
      </w:r>
      <w:r w:rsidR="00744677">
        <w:rPr>
          <w:lang w:val="en-GB"/>
        </w:rPr>
        <w:t xml:space="preserve">additionally </w:t>
      </w:r>
      <w:proofErr w:type="gramStart"/>
      <w:r w:rsidR="00744677">
        <w:rPr>
          <w:lang w:val="en-GB"/>
        </w:rPr>
        <w:t>investigate</w:t>
      </w:r>
      <w:proofErr w:type="gramEnd"/>
      <w:r>
        <w:rPr>
          <w:lang w:val="en-GB"/>
        </w:rPr>
        <w:t xml:space="preserve"> transitions in Eastern European countries which so far have been rather neglected in research on voluntary vs. involuntary employment exits. Given the large social and economic transformations that these countries have undergone in recent years, a comparison between Western and Eastern European countries promises new insights into the dynamic of retirement in a growing Europe.</w:t>
      </w:r>
    </w:p>
    <w:p w:rsidR="0064713B" w:rsidRDefault="0064713B" w:rsidP="003072D7">
      <w:pPr>
        <w:pStyle w:val="Listenabsatz"/>
        <w:ind w:left="0"/>
        <w:jc w:val="both"/>
        <w:rPr>
          <w:lang w:val="en-GB"/>
        </w:rPr>
      </w:pPr>
      <w:r w:rsidRPr="00744677">
        <w:rPr>
          <w:lang w:val="en-GB"/>
        </w:rPr>
        <w:t>Furtherm</w:t>
      </w:r>
      <w:r w:rsidR="008C232A" w:rsidRPr="00744677">
        <w:rPr>
          <w:lang w:val="en-GB"/>
        </w:rPr>
        <w:t>o</w:t>
      </w:r>
      <w:r w:rsidRPr="00744677">
        <w:rPr>
          <w:lang w:val="en-GB"/>
        </w:rPr>
        <w:t>r</w:t>
      </w:r>
      <w:r w:rsidR="008C232A" w:rsidRPr="00744677">
        <w:rPr>
          <w:lang w:val="en-GB"/>
        </w:rPr>
        <w:t>e, due to</w:t>
      </w:r>
      <w:r w:rsidRPr="00744677">
        <w:rPr>
          <w:lang w:val="en-GB"/>
        </w:rPr>
        <w:t xml:space="preserve"> </w:t>
      </w:r>
      <w:r w:rsidR="008C232A" w:rsidRPr="00744677">
        <w:rPr>
          <w:lang w:val="en-GB"/>
        </w:rPr>
        <w:t>sample size reasons, this study had to restrict itself</w:t>
      </w:r>
      <w:r w:rsidRPr="00744677">
        <w:rPr>
          <w:lang w:val="en-GB"/>
        </w:rPr>
        <w:t xml:space="preserve"> to the comparison of regimes rather than single country studies. To even more closely reconstruct retirement dynamics and its </w:t>
      </w:r>
      <w:r w:rsidR="00744677">
        <w:rPr>
          <w:lang w:val="en-GB"/>
        </w:rPr>
        <w:t xml:space="preserve">specific </w:t>
      </w:r>
      <w:r w:rsidRPr="00744677">
        <w:rPr>
          <w:lang w:val="en-GB"/>
        </w:rPr>
        <w:t>determinants, case study approaches looking at single countries would be required (</w:t>
      </w:r>
      <w:r w:rsidRPr="00744677">
        <w:rPr>
          <w:i/>
          <w:lang w:val="en-GB"/>
        </w:rPr>
        <w:t>Mayer</w:t>
      </w:r>
      <w:r w:rsidR="00744677">
        <w:rPr>
          <w:i/>
          <w:lang w:val="en-GB"/>
        </w:rPr>
        <w:t>,</w:t>
      </w:r>
      <w:r w:rsidRPr="00744677">
        <w:rPr>
          <w:lang w:val="en-GB"/>
        </w:rPr>
        <w:t xml:space="preserve"> 2010) which again may be easier as conduct as further SHARE waves will become available.</w:t>
      </w:r>
    </w:p>
    <w:p w:rsidR="008C232A" w:rsidRDefault="0064713B" w:rsidP="003072D7">
      <w:pPr>
        <w:pStyle w:val="Listenabsatz"/>
        <w:ind w:left="0"/>
        <w:jc w:val="both"/>
        <w:rPr>
          <w:lang w:val="en-GB"/>
        </w:rPr>
      </w:pPr>
      <w:r>
        <w:rPr>
          <w:lang w:val="en-GB"/>
        </w:rPr>
        <w:lastRenderedPageBreak/>
        <w:t>Finally, in order to understand the mechanisms between voluntary and involuntary in thorough detail it would be promising to combine the quantitative approach taken here with qualitative studies</w:t>
      </w:r>
      <w:r w:rsidR="00744677">
        <w:rPr>
          <w:lang w:val="en-GB"/>
        </w:rPr>
        <w:t>, e.g. in-depth interviews with retirees reconstructing their employment and retirement decisions and its motives</w:t>
      </w:r>
      <w:r>
        <w:rPr>
          <w:lang w:val="en-GB"/>
        </w:rPr>
        <w:t xml:space="preserve">.  </w:t>
      </w:r>
    </w:p>
    <w:p w:rsidR="003072D7" w:rsidRPr="008C232A" w:rsidRDefault="003072D7" w:rsidP="003072D7">
      <w:pPr>
        <w:pStyle w:val="Listenabsatz"/>
        <w:ind w:left="0"/>
        <w:jc w:val="both"/>
        <w:rPr>
          <w:lang w:val="en-GB"/>
        </w:rPr>
      </w:pPr>
      <w:r w:rsidRPr="008C232A">
        <w:rPr>
          <w:lang w:val="en-GB"/>
        </w:rPr>
        <w:t xml:space="preserve">    </w:t>
      </w:r>
    </w:p>
    <w:p w:rsidR="005E07CF" w:rsidRDefault="005E07CF" w:rsidP="001215F0">
      <w:pPr>
        <w:rPr>
          <w:b/>
          <w:lang w:val="en-GB"/>
        </w:rPr>
      </w:pPr>
      <w:r w:rsidRPr="00AA5756">
        <w:rPr>
          <w:b/>
          <w:lang w:val="en-GB"/>
        </w:rPr>
        <w:t>References</w:t>
      </w:r>
    </w:p>
    <w:p w:rsidR="00F83E71" w:rsidRPr="00F83E71" w:rsidRDefault="00F83E71" w:rsidP="00761FA1">
      <w:pPr>
        <w:spacing w:after="120" w:line="240" w:lineRule="auto"/>
        <w:jc w:val="both"/>
        <w:rPr>
          <w:lang w:val="en-US"/>
        </w:rPr>
      </w:pPr>
      <w:proofErr w:type="spellStart"/>
      <w:r w:rsidRPr="00F83E71">
        <w:rPr>
          <w:lang w:val="en-US"/>
        </w:rPr>
        <w:t>Bellmann</w:t>
      </w:r>
      <w:proofErr w:type="spellEnd"/>
      <w:r w:rsidRPr="00F83E71">
        <w:rPr>
          <w:lang w:val="en-US"/>
        </w:rPr>
        <w:t xml:space="preserve">, L. </w:t>
      </w:r>
      <w:r w:rsidR="00737771">
        <w:rPr>
          <w:lang w:val="en-US"/>
        </w:rPr>
        <w:t xml:space="preserve">and </w:t>
      </w:r>
      <w:proofErr w:type="spellStart"/>
      <w:r w:rsidRPr="00F83E71">
        <w:rPr>
          <w:lang w:val="en-US"/>
        </w:rPr>
        <w:t>Janik</w:t>
      </w:r>
      <w:proofErr w:type="spellEnd"/>
      <w:r w:rsidRPr="00F83E71">
        <w:rPr>
          <w:lang w:val="en-US"/>
        </w:rPr>
        <w:t>, F. (2007)</w:t>
      </w:r>
      <w:r w:rsidR="00F563DD">
        <w:rPr>
          <w:lang w:val="en-US"/>
        </w:rPr>
        <w:t>,</w:t>
      </w:r>
      <w:r w:rsidRPr="00F83E71">
        <w:rPr>
          <w:lang w:val="en-US"/>
        </w:rPr>
        <w:t xml:space="preserve"> Firms and Early Retirement:</w:t>
      </w:r>
      <w:r>
        <w:rPr>
          <w:lang w:val="en-US"/>
        </w:rPr>
        <w:t xml:space="preserve"> </w:t>
      </w:r>
      <w:r w:rsidRPr="00F83E71">
        <w:rPr>
          <w:lang w:val="en-US"/>
        </w:rPr>
        <w:t xml:space="preserve">Offers That One Does Not Refuse; </w:t>
      </w:r>
      <w:r w:rsidRPr="003F1AF6">
        <w:rPr>
          <w:i/>
          <w:lang w:val="en-US"/>
        </w:rPr>
        <w:t>IZA Discussion Paper No. 2931</w:t>
      </w:r>
      <w:r w:rsidRPr="00F83E71">
        <w:rPr>
          <w:lang w:val="en-US"/>
        </w:rPr>
        <w:t>, Bonn: Institute for the Study</w:t>
      </w:r>
      <w:r>
        <w:rPr>
          <w:lang w:val="en-US"/>
        </w:rPr>
        <w:t xml:space="preserve"> </w:t>
      </w:r>
      <w:r w:rsidRPr="00F83E71">
        <w:rPr>
          <w:lang w:val="en-US"/>
        </w:rPr>
        <w:t>of Labor</w:t>
      </w:r>
      <w:r>
        <w:rPr>
          <w:lang w:val="en-US"/>
        </w:rPr>
        <w:t>.</w:t>
      </w:r>
    </w:p>
    <w:p w:rsidR="00C71D05" w:rsidRPr="00BE786E" w:rsidRDefault="00C71D05" w:rsidP="00761FA1">
      <w:pPr>
        <w:spacing w:after="120" w:line="240" w:lineRule="auto"/>
        <w:jc w:val="both"/>
        <w:rPr>
          <w:lang w:val="en-US"/>
        </w:rPr>
      </w:pPr>
      <w:r w:rsidRPr="00BE786E">
        <w:rPr>
          <w:lang w:val="en-US"/>
        </w:rPr>
        <w:t>Blanchet</w:t>
      </w:r>
      <w:r w:rsidR="00BE786E" w:rsidRPr="00BE786E">
        <w:rPr>
          <w:lang w:val="en-US"/>
        </w:rPr>
        <w:t>, D.</w:t>
      </w:r>
      <w:r w:rsidRPr="00BE786E">
        <w:rPr>
          <w:lang w:val="en-US"/>
        </w:rPr>
        <w:t xml:space="preserve"> </w:t>
      </w:r>
      <w:r w:rsidR="00737771">
        <w:rPr>
          <w:lang w:val="en-US"/>
        </w:rPr>
        <w:t xml:space="preserve">and </w:t>
      </w:r>
      <w:proofErr w:type="spellStart"/>
      <w:r w:rsidRPr="00BE786E">
        <w:rPr>
          <w:lang w:val="en-US"/>
        </w:rPr>
        <w:t>Debrand</w:t>
      </w:r>
      <w:proofErr w:type="spellEnd"/>
      <w:r w:rsidR="00BE786E" w:rsidRPr="00BE786E">
        <w:rPr>
          <w:lang w:val="en-US"/>
        </w:rPr>
        <w:t>, T.</w:t>
      </w:r>
      <w:r w:rsidRPr="00BE786E">
        <w:rPr>
          <w:lang w:val="en-US"/>
        </w:rPr>
        <w:t xml:space="preserve"> </w:t>
      </w:r>
      <w:r w:rsidR="00BE786E" w:rsidRPr="00BE786E">
        <w:rPr>
          <w:lang w:val="en-US"/>
        </w:rPr>
        <w:t>(2008)</w:t>
      </w:r>
      <w:r w:rsidR="00F563DD">
        <w:rPr>
          <w:lang w:val="en-US"/>
        </w:rPr>
        <w:t>,</w:t>
      </w:r>
      <w:r w:rsidR="00BE786E" w:rsidRPr="00BE786E">
        <w:rPr>
          <w:lang w:val="en-US"/>
        </w:rPr>
        <w:t xml:space="preserve"> </w:t>
      </w:r>
      <w:proofErr w:type="gramStart"/>
      <w:r w:rsidR="00BE786E" w:rsidRPr="00BE786E">
        <w:rPr>
          <w:lang w:val="en-US"/>
        </w:rPr>
        <w:t>The</w:t>
      </w:r>
      <w:proofErr w:type="gramEnd"/>
      <w:r w:rsidR="00BE786E" w:rsidRPr="00BE786E">
        <w:rPr>
          <w:lang w:val="en-US"/>
        </w:rPr>
        <w:t xml:space="preserve"> sooner, the better? </w:t>
      </w:r>
      <w:proofErr w:type="gramStart"/>
      <w:r w:rsidR="00BE786E" w:rsidRPr="00BE786E">
        <w:rPr>
          <w:lang w:val="en-US"/>
        </w:rPr>
        <w:t xml:space="preserve">Analyzing preferences for early retirement in European countries, </w:t>
      </w:r>
      <w:r w:rsidR="00BE786E" w:rsidRPr="00BE786E">
        <w:rPr>
          <w:i/>
          <w:lang w:val="en-US"/>
        </w:rPr>
        <w:t>IRDES Working Papers DT13</w:t>
      </w:r>
      <w:r w:rsidR="00BE786E" w:rsidRPr="00BE786E">
        <w:rPr>
          <w:lang w:val="en-US"/>
        </w:rPr>
        <w:t xml:space="preserve">, </w:t>
      </w:r>
      <w:r w:rsidR="00BE786E">
        <w:rPr>
          <w:lang w:val="en-US"/>
        </w:rPr>
        <w:t xml:space="preserve">Paris </w:t>
      </w:r>
      <w:r w:rsidR="00BE786E" w:rsidRPr="00BE786E">
        <w:rPr>
          <w:lang w:val="en-US"/>
        </w:rPr>
        <w:t xml:space="preserve">IRDES </w:t>
      </w:r>
      <w:proofErr w:type="spellStart"/>
      <w:r w:rsidR="00BE786E">
        <w:rPr>
          <w:lang w:val="en-US"/>
        </w:rPr>
        <w:t>I</w:t>
      </w:r>
      <w:r w:rsidR="00BE786E" w:rsidRPr="00BE786E">
        <w:rPr>
          <w:lang w:val="en-US"/>
        </w:rPr>
        <w:t>nstitut</w:t>
      </w:r>
      <w:proofErr w:type="spellEnd"/>
      <w:r w:rsidR="00BE786E" w:rsidRPr="00BE786E">
        <w:rPr>
          <w:lang w:val="en-US"/>
        </w:rPr>
        <w:t xml:space="preserve"> for research and information in hea</w:t>
      </w:r>
      <w:r w:rsidR="00BE786E">
        <w:rPr>
          <w:lang w:val="en-US"/>
        </w:rPr>
        <w:t>lth economics.</w:t>
      </w:r>
      <w:proofErr w:type="gramEnd"/>
    </w:p>
    <w:p w:rsidR="008D3F8F" w:rsidRPr="00BE786E" w:rsidRDefault="00F84024" w:rsidP="00761FA1">
      <w:pPr>
        <w:spacing w:after="120" w:line="240" w:lineRule="auto"/>
        <w:jc w:val="both"/>
        <w:rPr>
          <w:lang w:val="en-US"/>
        </w:rPr>
      </w:pPr>
      <w:proofErr w:type="spellStart"/>
      <w:r w:rsidRPr="00BE786E">
        <w:rPr>
          <w:lang w:val="en-US"/>
        </w:rPr>
        <w:t>Blossfeld</w:t>
      </w:r>
      <w:proofErr w:type="spellEnd"/>
      <w:r w:rsidR="00BE786E" w:rsidRPr="00BE786E">
        <w:rPr>
          <w:lang w:val="en-US"/>
        </w:rPr>
        <w:t xml:space="preserve">, H.-P., Buchholz, S. </w:t>
      </w:r>
      <w:r w:rsidR="00737771">
        <w:rPr>
          <w:lang w:val="en-US"/>
        </w:rPr>
        <w:t xml:space="preserve">and </w:t>
      </w:r>
      <w:proofErr w:type="spellStart"/>
      <w:r w:rsidR="00BE786E" w:rsidRPr="00BE786E">
        <w:rPr>
          <w:lang w:val="en-US"/>
        </w:rPr>
        <w:t>Hofäcker</w:t>
      </w:r>
      <w:proofErr w:type="spellEnd"/>
      <w:r w:rsidR="00BE786E" w:rsidRPr="00BE786E">
        <w:rPr>
          <w:lang w:val="en-US"/>
        </w:rPr>
        <w:t>, D. (</w:t>
      </w:r>
      <w:proofErr w:type="spellStart"/>
      <w:proofErr w:type="gramStart"/>
      <w:r w:rsidR="00BE786E" w:rsidRPr="00BE786E">
        <w:rPr>
          <w:lang w:val="en-US"/>
        </w:rPr>
        <w:t>eds</w:t>
      </w:r>
      <w:proofErr w:type="spellEnd"/>
      <w:proofErr w:type="gramEnd"/>
      <w:r w:rsidR="00BE786E" w:rsidRPr="00BE786E">
        <w:rPr>
          <w:lang w:val="en-US"/>
        </w:rPr>
        <w:t>)</w:t>
      </w:r>
      <w:r w:rsidRPr="00BE786E">
        <w:rPr>
          <w:lang w:val="en-US"/>
        </w:rPr>
        <w:t xml:space="preserve"> </w:t>
      </w:r>
      <w:r w:rsidR="00BE786E" w:rsidRPr="00BE786E">
        <w:rPr>
          <w:lang w:val="en-US"/>
        </w:rPr>
        <w:t>(</w:t>
      </w:r>
      <w:r w:rsidRPr="00BE786E">
        <w:rPr>
          <w:lang w:val="en-US"/>
        </w:rPr>
        <w:t>2006</w:t>
      </w:r>
      <w:r w:rsidR="00DB7B77">
        <w:rPr>
          <w:lang w:val="en-US"/>
        </w:rPr>
        <w:t>),</w:t>
      </w:r>
      <w:r w:rsidR="00BE786E" w:rsidRPr="00BE786E">
        <w:rPr>
          <w:lang w:val="en-US"/>
        </w:rPr>
        <w:t xml:space="preserve"> </w:t>
      </w:r>
      <w:r w:rsidR="00BE786E" w:rsidRPr="00BE786E">
        <w:rPr>
          <w:i/>
          <w:lang w:val="en-US"/>
        </w:rPr>
        <w:t>Globalization, uncertainty and late careers in society</w:t>
      </w:r>
      <w:r w:rsidR="00BE786E" w:rsidRPr="00BE786E">
        <w:rPr>
          <w:lang w:val="en-US"/>
        </w:rPr>
        <w:t xml:space="preserve">, </w:t>
      </w:r>
      <w:proofErr w:type="spellStart"/>
      <w:r w:rsidR="00DB7B77" w:rsidRPr="00BE786E">
        <w:rPr>
          <w:lang w:val="en-US"/>
        </w:rPr>
        <w:t>Routledge</w:t>
      </w:r>
      <w:proofErr w:type="spellEnd"/>
      <w:r w:rsidR="00DB7B77">
        <w:rPr>
          <w:lang w:val="en-US"/>
        </w:rPr>
        <w:t>,</w:t>
      </w:r>
      <w:r w:rsidR="00DB7B77" w:rsidRPr="00BE786E">
        <w:rPr>
          <w:lang w:val="en-US"/>
        </w:rPr>
        <w:t xml:space="preserve"> </w:t>
      </w:r>
      <w:r w:rsidR="00DB7B77">
        <w:rPr>
          <w:lang w:val="en-US"/>
        </w:rPr>
        <w:t>London et al</w:t>
      </w:r>
      <w:r w:rsidR="00BE786E" w:rsidRPr="00BE786E">
        <w:rPr>
          <w:lang w:val="en-US"/>
        </w:rPr>
        <w:t>.</w:t>
      </w:r>
    </w:p>
    <w:p w:rsidR="00BE786E" w:rsidRPr="00BE786E" w:rsidRDefault="00C10DE5" w:rsidP="00761FA1">
      <w:pPr>
        <w:spacing w:after="120" w:line="240" w:lineRule="auto"/>
        <w:jc w:val="both"/>
        <w:rPr>
          <w:lang w:val="en-US"/>
        </w:rPr>
      </w:pPr>
      <w:proofErr w:type="spellStart"/>
      <w:r w:rsidRPr="00BE786E">
        <w:rPr>
          <w:lang w:val="en-US"/>
        </w:rPr>
        <w:t>Blossfeld</w:t>
      </w:r>
      <w:proofErr w:type="spellEnd"/>
      <w:r w:rsidR="00BE786E" w:rsidRPr="00BE786E">
        <w:rPr>
          <w:lang w:val="en-US"/>
        </w:rPr>
        <w:t xml:space="preserve">, H.-P., Buchholz, S. </w:t>
      </w:r>
      <w:r w:rsidR="00737771">
        <w:rPr>
          <w:lang w:val="en-US"/>
        </w:rPr>
        <w:t xml:space="preserve">and </w:t>
      </w:r>
      <w:proofErr w:type="spellStart"/>
      <w:r w:rsidR="00BE786E" w:rsidRPr="00BE786E">
        <w:rPr>
          <w:lang w:val="en-US"/>
        </w:rPr>
        <w:t>Kurz</w:t>
      </w:r>
      <w:proofErr w:type="spellEnd"/>
      <w:r w:rsidR="00BE786E" w:rsidRPr="00BE786E">
        <w:rPr>
          <w:lang w:val="en-US"/>
        </w:rPr>
        <w:t>, K.</w:t>
      </w:r>
      <w:r w:rsidR="00DB7B77">
        <w:rPr>
          <w:lang w:val="en-US"/>
        </w:rPr>
        <w:t xml:space="preserve"> </w:t>
      </w:r>
      <w:r w:rsidR="00BE786E" w:rsidRPr="00BE786E">
        <w:rPr>
          <w:lang w:val="en-US"/>
        </w:rPr>
        <w:t>(</w:t>
      </w:r>
      <w:proofErr w:type="spellStart"/>
      <w:proofErr w:type="gramStart"/>
      <w:r w:rsidR="00BE786E" w:rsidRPr="00BE786E">
        <w:rPr>
          <w:lang w:val="en-US"/>
        </w:rPr>
        <w:t>eds</w:t>
      </w:r>
      <w:proofErr w:type="spellEnd"/>
      <w:proofErr w:type="gramEnd"/>
      <w:r w:rsidR="00BE786E" w:rsidRPr="00BE786E">
        <w:rPr>
          <w:lang w:val="en-US"/>
        </w:rPr>
        <w:t>)</w:t>
      </w:r>
      <w:r w:rsidRPr="00BE786E">
        <w:rPr>
          <w:lang w:val="en-US"/>
        </w:rPr>
        <w:t xml:space="preserve"> 2011</w:t>
      </w:r>
      <w:r w:rsidR="00DB7B77">
        <w:rPr>
          <w:lang w:val="en-US"/>
        </w:rPr>
        <w:t>,</w:t>
      </w:r>
      <w:r w:rsidR="00BE786E" w:rsidRPr="00BE786E">
        <w:rPr>
          <w:lang w:val="en-US"/>
        </w:rPr>
        <w:t xml:space="preserve"> </w:t>
      </w:r>
      <w:r w:rsidR="00BE786E" w:rsidRPr="00BE786E">
        <w:rPr>
          <w:i/>
          <w:lang w:val="en-US"/>
        </w:rPr>
        <w:t>Ageing populations, globalization and the labor market: Comparing late working life and retirement in modern</w:t>
      </w:r>
      <w:r w:rsidR="00BE786E">
        <w:rPr>
          <w:lang w:val="en-US"/>
        </w:rPr>
        <w:t xml:space="preserve"> societies</w:t>
      </w:r>
      <w:r w:rsidR="00BE786E" w:rsidRPr="00BE786E">
        <w:rPr>
          <w:lang w:val="en-US"/>
        </w:rPr>
        <w:t xml:space="preserve">, Edward Elgar, </w:t>
      </w:r>
      <w:r w:rsidR="00DB7B77" w:rsidRPr="00BE786E">
        <w:rPr>
          <w:lang w:val="en-US"/>
        </w:rPr>
        <w:t>Cheltenham and Northampton</w:t>
      </w:r>
      <w:r w:rsidR="00DB7B77">
        <w:rPr>
          <w:lang w:val="en-US"/>
        </w:rPr>
        <w:t>,</w:t>
      </w:r>
      <w:r w:rsidR="00DB7B77" w:rsidRPr="00BE786E">
        <w:rPr>
          <w:lang w:val="en-US"/>
        </w:rPr>
        <w:t xml:space="preserve"> MA</w:t>
      </w:r>
      <w:r w:rsidR="00BE786E" w:rsidRPr="00BE786E">
        <w:rPr>
          <w:lang w:val="en-US"/>
        </w:rPr>
        <w:t>.</w:t>
      </w:r>
    </w:p>
    <w:p w:rsidR="0057074F" w:rsidRPr="0057074F" w:rsidRDefault="0057074F" w:rsidP="00761FA1">
      <w:pPr>
        <w:spacing w:after="120" w:line="240" w:lineRule="auto"/>
        <w:jc w:val="both"/>
        <w:rPr>
          <w:lang w:val="en-US"/>
        </w:rPr>
      </w:pPr>
      <w:proofErr w:type="spellStart"/>
      <w:r w:rsidRPr="0057074F">
        <w:rPr>
          <w:lang w:val="en-US"/>
        </w:rPr>
        <w:t>Börsch-Supan</w:t>
      </w:r>
      <w:proofErr w:type="spellEnd"/>
      <w:r w:rsidRPr="0057074F">
        <w:rPr>
          <w:lang w:val="en-US"/>
        </w:rPr>
        <w:t xml:space="preserve">, A., Hank, K., </w:t>
      </w:r>
      <w:proofErr w:type="spellStart"/>
      <w:r w:rsidRPr="0057074F">
        <w:rPr>
          <w:lang w:val="en-US"/>
        </w:rPr>
        <w:t>Jürges</w:t>
      </w:r>
      <w:proofErr w:type="spellEnd"/>
      <w:r w:rsidRPr="0057074F">
        <w:rPr>
          <w:lang w:val="en-US"/>
        </w:rPr>
        <w:t xml:space="preserve">, H. </w:t>
      </w:r>
      <w:r w:rsidR="00737771">
        <w:rPr>
          <w:lang w:val="en-US"/>
        </w:rPr>
        <w:t xml:space="preserve">and </w:t>
      </w:r>
      <w:proofErr w:type="spellStart"/>
      <w:r w:rsidRPr="0057074F">
        <w:rPr>
          <w:lang w:val="en-US"/>
        </w:rPr>
        <w:t>Schrö</w:t>
      </w:r>
      <w:r>
        <w:rPr>
          <w:lang w:val="en-US"/>
        </w:rPr>
        <w:t>der</w:t>
      </w:r>
      <w:proofErr w:type="spellEnd"/>
      <w:r>
        <w:rPr>
          <w:lang w:val="en-US"/>
        </w:rPr>
        <w:t>, M. (2009)</w:t>
      </w:r>
      <w:r w:rsidR="00F563DD">
        <w:rPr>
          <w:lang w:val="en-US"/>
        </w:rPr>
        <w:t>,</w:t>
      </w:r>
      <w:r>
        <w:rPr>
          <w:lang w:val="en-US"/>
        </w:rPr>
        <w:t xml:space="preserve"> </w:t>
      </w:r>
      <w:r w:rsidR="00F563DD">
        <w:rPr>
          <w:lang w:val="en-US"/>
        </w:rPr>
        <w:t>“</w:t>
      </w:r>
      <w:r>
        <w:rPr>
          <w:lang w:val="en-US"/>
        </w:rPr>
        <w:t>Introduction: e</w:t>
      </w:r>
      <w:r w:rsidRPr="0057074F">
        <w:rPr>
          <w:lang w:val="en-US"/>
        </w:rPr>
        <w:t>m</w:t>
      </w:r>
      <w:r>
        <w:rPr>
          <w:lang w:val="en-US"/>
        </w:rPr>
        <w:t>p</w:t>
      </w:r>
      <w:r w:rsidRPr="0057074F">
        <w:rPr>
          <w:lang w:val="en-US"/>
        </w:rPr>
        <w:t xml:space="preserve">irical research on </w:t>
      </w:r>
      <w:proofErr w:type="spellStart"/>
      <w:r w:rsidRPr="0057074F">
        <w:rPr>
          <w:lang w:val="en-US"/>
        </w:rPr>
        <w:t>health</w:t>
      </w:r>
      <w:proofErr w:type="gramStart"/>
      <w:r w:rsidRPr="0057074F">
        <w:rPr>
          <w:lang w:val="en-US"/>
        </w:rPr>
        <w:t>,a</w:t>
      </w:r>
      <w:proofErr w:type="spellEnd"/>
      <w:proofErr w:type="gramEnd"/>
      <w:r w:rsidRPr="0057074F">
        <w:rPr>
          <w:lang w:val="en-US"/>
        </w:rPr>
        <w:t xml:space="preserve"> </w:t>
      </w:r>
      <w:proofErr w:type="spellStart"/>
      <w:r w:rsidRPr="0057074F">
        <w:rPr>
          <w:lang w:val="en-US"/>
        </w:rPr>
        <w:t>geing</w:t>
      </w:r>
      <w:proofErr w:type="spellEnd"/>
      <w:r w:rsidRPr="0057074F">
        <w:rPr>
          <w:lang w:val="en-US"/>
        </w:rPr>
        <w:t xml:space="preserve"> and retirement in Europe</w:t>
      </w:r>
      <w:r w:rsidR="00F563DD">
        <w:rPr>
          <w:lang w:val="en-US"/>
        </w:rPr>
        <w:t>”,</w:t>
      </w:r>
      <w:r w:rsidRPr="0057074F">
        <w:rPr>
          <w:lang w:val="en-US"/>
        </w:rPr>
        <w:t xml:space="preserve"> </w:t>
      </w:r>
      <w:r w:rsidRPr="0057074F">
        <w:rPr>
          <w:i/>
          <w:lang w:val="en-US"/>
        </w:rPr>
        <w:t>Journal of European Social Policy</w:t>
      </w:r>
      <w:r w:rsidRPr="0057074F">
        <w:rPr>
          <w:lang w:val="en-US"/>
        </w:rPr>
        <w:t xml:space="preserve">, </w:t>
      </w:r>
      <w:r w:rsidR="00F563DD">
        <w:rPr>
          <w:lang w:val="en-US"/>
        </w:rPr>
        <w:t xml:space="preserve">Vol. </w:t>
      </w:r>
      <w:r w:rsidRPr="0057074F">
        <w:rPr>
          <w:lang w:val="en-US"/>
        </w:rPr>
        <w:t>19,</w:t>
      </w:r>
      <w:r>
        <w:rPr>
          <w:lang w:val="en-US"/>
        </w:rPr>
        <w:t xml:space="preserve"> </w:t>
      </w:r>
      <w:r w:rsidR="00F563DD">
        <w:rPr>
          <w:lang w:val="en-US"/>
        </w:rPr>
        <w:t xml:space="preserve">No. </w:t>
      </w:r>
      <w:r w:rsidRPr="0057074F">
        <w:rPr>
          <w:lang w:val="en-US"/>
        </w:rPr>
        <w:t xml:space="preserve">4, </w:t>
      </w:r>
      <w:r w:rsidR="00F563DD">
        <w:rPr>
          <w:lang w:val="en-US"/>
        </w:rPr>
        <w:t xml:space="preserve">pp. </w:t>
      </w:r>
      <w:r w:rsidRPr="0057074F">
        <w:rPr>
          <w:lang w:val="en-US"/>
        </w:rPr>
        <w:t>293-300.</w:t>
      </w:r>
    </w:p>
    <w:p w:rsidR="00C71D05" w:rsidRPr="00BE786E" w:rsidRDefault="00C71D05" w:rsidP="00761FA1">
      <w:pPr>
        <w:spacing w:after="120" w:line="240" w:lineRule="auto"/>
        <w:jc w:val="both"/>
        <w:rPr>
          <w:lang w:val="en-GB"/>
        </w:rPr>
      </w:pPr>
      <w:proofErr w:type="spellStart"/>
      <w:r w:rsidRPr="00AA5756">
        <w:rPr>
          <w:lang w:val="en-GB"/>
        </w:rPr>
        <w:t>Debrand</w:t>
      </w:r>
      <w:proofErr w:type="spellEnd"/>
      <w:r w:rsidR="00BE786E">
        <w:rPr>
          <w:lang w:val="en-GB"/>
        </w:rPr>
        <w:t>, T.</w:t>
      </w:r>
      <w:r w:rsidRPr="00AA5756">
        <w:rPr>
          <w:lang w:val="en-GB"/>
        </w:rPr>
        <w:t xml:space="preserve"> </w:t>
      </w:r>
      <w:r w:rsidR="00737771">
        <w:rPr>
          <w:lang w:val="en-US"/>
        </w:rPr>
        <w:t xml:space="preserve">and </w:t>
      </w:r>
      <w:proofErr w:type="spellStart"/>
      <w:r w:rsidRPr="00AA5756">
        <w:rPr>
          <w:lang w:val="en-GB"/>
        </w:rPr>
        <w:t>Sirven</w:t>
      </w:r>
      <w:proofErr w:type="spellEnd"/>
      <w:r w:rsidR="00BE786E">
        <w:rPr>
          <w:lang w:val="en-GB"/>
        </w:rPr>
        <w:t>, N.</w:t>
      </w:r>
      <w:r w:rsidRPr="00AA5756">
        <w:rPr>
          <w:lang w:val="en-GB"/>
        </w:rPr>
        <w:t xml:space="preserve"> (2009)</w:t>
      </w:r>
      <w:r w:rsidR="00F563DD">
        <w:rPr>
          <w:lang w:val="en-GB"/>
        </w:rPr>
        <w:t>,</w:t>
      </w:r>
      <w:r w:rsidR="00BE786E">
        <w:rPr>
          <w:lang w:val="en-GB"/>
        </w:rPr>
        <w:t xml:space="preserve"> </w:t>
      </w:r>
      <w:r w:rsidR="00BE786E" w:rsidRPr="00BE786E">
        <w:rPr>
          <w:lang w:val="en-GB"/>
        </w:rPr>
        <w:t>What are the Motivations of Pathways to Retirement in Europe: Individual, Familial, Professional Situation or Social Protection Systems</w:t>
      </w:r>
      <w:proofErr w:type="gramStart"/>
      <w:r w:rsidR="00BE786E" w:rsidRPr="00BE786E">
        <w:rPr>
          <w:lang w:val="en-GB"/>
        </w:rPr>
        <w:t>?</w:t>
      </w:r>
      <w:r w:rsidR="00BE786E">
        <w:rPr>
          <w:lang w:val="en-GB"/>
        </w:rPr>
        <w:t>,</w:t>
      </w:r>
      <w:proofErr w:type="gramEnd"/>
      <w:r w:rsidR="00BE786E">
        <w:rPr>
          <w:lang w:val="en-GB"/>
        </w:rPr>
        <w:t xml:space="preserve"> </w:t>
      </w:r>
      <w:r w:rsidR="00BE786E" w:rsidRPr="00BE786E">
        <w:rPr>
          <w:i/>
          <w:lang w:val="en-GB"/>
        </w:rPr>
        <w:t>IRDES Working Papers DT28</w:t>
      </w:r>
      <w:r w:rsidR="00BE786E" w:rsidRPr="00BE786E">
        <w:rPr>
          <w:lang w:val="en-GB"/>
        </w:rPr>
        <w:t xml:space="preserve">, </w:t>
      </w:r>
      <w:r w:rsidR="00BE786E">
        <w:rPr>
          <w:lang w:val="en-GB"/>
        </w:rPr>
        <w:t xml:space="preserve">Paris: </w:t>
      </w:r>
      <w:r w:rsidR="00BE786E" w:rsidRPr="00BE786E">
        <w:rPr>
          <w:lang w:val="en-GB"/>
        </w:rPr>
        <w:t xml:space="preserve">IRDES </w:t>
      </w:r>
      <w:proofErr w:type="spellStart"/>
      <w:r w:rsidR="00BE786E" w:rsidRPr="00BE786E">
        <w:rPr>
          <w:lang w:val="en-GB"/>
        </w:rPr>
        <w:t>institut</w:t>
      </w:r>
      <w:proofErr w:type="spellEnd"/>
      <w:r w:rsidR="00BE786E" w:rsidRPr="00BE786E">
        <w:rPr>
          <w:lang w:val="en-GB"/>
        </w:rPr>
        <w:t xml:space="preserve"> for research and information in health economics</w:t>
      </w:r>
      <w:r w:rsidR="00BE786E">
        <w:rPr>
          <w:lang w:val="en-GB"/>
        </w:rPr>
        <w:t>.</w:t>
      </w:r>
    </w:p>
    <w:p w:rsidR="00DB7B77" w:rsidRPr="00DB7B77" w:rsidRDefault="00DB7B77" w:rsidP="00DB7B77">
      <w:pPr>
        <w:spacing w:after="120" w:line="240" w:lineRule="auto"/>
        <w:jc w:val="both"/>
        <w:rPr>
          <w:lang w:val="en-GB"/>
        </w:rPr>
      </w:pPr>
      <w:proofErr w:type="spellStart"/>
      <w:r w:rsidRPr="00DB7B77">
        <w:rPr>
          <w:lang w:val="en-GB"/>
        </w:rPr>
        <w:t>Deller</w:t>
      </w:r>
      <w:proofErr w:type="spellEnd"/>
      <w:r w:rsidRPr="00DB7B77">
        <w:rPr>
          <w:lang w:val="en-GB"/>
        </w:rPr>
        <w:t xml:space="preserve">, J., </w:t>
      </w:r>
      <w:proofErr w:type="spellStart"/>
      <w:r w:rsidRPr="00DB7B77">
        <w:rPr>
          <w:lang w:val="en-GB"/>
        </w:rPr>
        <w:t>Liedtke</w:t>
      </w:r>
      <w:proofErr w:type="spellEnd"/>
      <w:r w:rsidRPr="00DB7B77">
        <w:rPr>
          <w:lang w:val="en-GB"/>
        </w:rPr>
        <w:t xml:space="preserve">, P. M., </w:t>
      </w:r>
      <w:r w:rsidR="00737771">
        <w:rPr>
          <w:lang w:val="en-US"/>
        </w:rPr>
        <w:t xml:space="preserve">and </w:t>
      </w:r>
      <w:proofErr w:type="spellStart"/>
      <w:r w:rsidRPr="00DB7B77">
        <w:rPr>
          <w:lang w:val="en-GB"/>
        </w:rPr>
        <w:t>Maxin</w:t>
      </w:r>
      <w:proofErr w:type="spellEnd"/>
      <w:r w:rsidRPr="00DB7B77">
        <w:rPr>
          <w:lang w:val="en-GB"/>
        </w:rPr>
        <w:t>, L. M. (2009)</w:t>
      </w:r>
      <w:r w:rsidR="00F563DD">
        <w:rPr>
          <w:lang w:val="en-GB"/>
        </w:rPr>
        <w:t>,</w:t>
      </w:r>
      <w:r w:rsidRPr="00DB7B77">
        <w:rPr>
          <w:lang w:val="en-GB"/>
        </w:rPr>
        <w:t xml:space="preserve"> </w:t>
      </w:r>
      <w:r w:rsidR="00F563DD">
        <w:rPr>
          <w:lang w:val="en-GB"/>
        </w:rPr>
        <w:t>“</w:t>
      </w:r>
      <w:r w:rsidRPr="00DB7B77">
        <w:rPr>
          <w:lang w:val="en-GB"/>
        </w:rPr>
        <w:t>Old-Age Security and Silver Workers: An Empirical Survey Identifies Challenges for Companies, Insurers and Society</w:t>
      </w:r>
      <w:r w:rsidR="00F563DD">
        <w:rPr>
          <w:lang w:val="en-GB"/>
        </w:rPr>
        <w:t xml:space="preserve">”, </w:t>
      </w:r>
      <w:proofErr w:type="gramStart"/>
      <w:r w:rsidRPr="00DB7B77">
        <w:rPr>
          <w:i/>
          <w:iCs/>
          <w:lang w:val="en-GB"/>
        </w:rPr>
        <w:t>The</w:t>
      </w:r>
      <w:proofErr w:type="gramEnd"/>
      <w:r w:rsidRPr="00DB7B77">
        <w:rPr>
          <w:i/>
          <w:iCs/>
          <w:lang w:val="en-GB"/>
        </w:rPr>
        <w:t xml:space="preserve"> Geneva Papers on Risk and Insurance - Issues and Practice</w:t>
      </w:r>
      <w:r w:rsidRPr="00DB7B77">
        <w:rPr>
          <w:lang w:val="en-GB"/>
        </w:rPr>
        <w:t>, 34, 1, 137-157.</w:t>
      </w:r>
    </w:p>
    <w:p w:rsidR="00BE786E" w:rsidRPr="00BE786E" w:rsidRDefault="00AF43F3" w:rsidP="00761FA1">
      <w:pPr>
        <w:spacing w:after="120" w:line="240" w:lineRule="auto"/>
        <w:jc w:val="both"/>
        <w:rPr>
          <w:lang w:val="en-GB"/>
        </w:rPr>
      </w:pPr>
      <w:r w:rsidRPr="00BE786E">
        <w:rPr>
          <w:lang w:val="en-GB"/>
        </w:rPr>
        <w:t>Dorn</w:t>
      </w:r>
      <w:r w:rsidR="00BE786E" w:rsidRPr="00BE786E">
        <w:rPr>
          <w:lang w:val="en-GB"/>
        </w:rPr>
        <w:t>, D.</w:t>
      </w:r>
      <w:r w:rsidRPr="00BE786E">
        <w:rPr>
          <w:lang w:val="en-GB"/>
        </w:rPr>
        <w:t xml:space="preserve"> </w:t>
      </w:r>
      <w:r w:rsidR="00737771">
        <w:rPr>
          <w:lang w:val="en-US"/>
        </w:rPr>
        <w:t>and</w:t>
      </w:r>
      <w:r w:rsidRPr="00BE786E">
        <w:rPr>
          <w:lang w:val="en-GB"/>
        </w:rPr>
        <w:t xml:space="preserve"> Sousa-Poza (2010)</w:t>
      </w:r>
      <w:r w:rsidR="00F563DD">
        <w:rPr>
          <w:lang w:val="en-GB"/>
        </w:rPr>
        <w:t>,</w:t>
      </w:r>
      <w:r w:rsidR="00BE786E" w:rsidRPr="00BE786E">
        <w:rPr>
          <w:lang w:val="en-GB"/>
        </w:rPr>
        <w:t xml:space="preserve"> </w:t>
      </w:r>
      <w:r w:rsidR="00F563DD">
        <w:rPr>
          <w:lang w:val="en-GB"/>
        </w:rPr>
        <w:t>“</w:t>
      </w:r>
      <w:r w:rsidR="00BE786E" w:rsidRPr="00BE786E">
        <w:rPr>
          <w:lang w:val="en-GB"/>
        </w:rPr>
        <w:t>Voluntary' and 'involuntary' early retirement: an international analysis</w:t>
      </w:r>
      <w:r w:rsidR="00F563DD">
        <w:rPr>
          <w:lang w:val="en-GB"/>
        </w:rPr>
        <w:t>”</w:t>
      </w:r>
      <w:proofErr w:type="gramStart"/>
      <w:r w:rsidR="00BE786E">
        <w:rPr>
          <w:lang w:val="en-GB"/>
        </w:rPr>
        <w:t xml:space="preserve">, </w:t>
      </w:r>
      <w:r w:rsidR="00BE786E" w:rsidRPr="00BE786E">
        <w:rPr>
          <w:lang w:val="en-GB"/>
        </w:rPr>
        <w:t xml:space="preserve"> </w:t>
      </w:r>
      <w:r w:rsidR="00BE786E" w:rsidRPr="00BE786E">
        <w:rPr>
          <w:i/>
          <w:lang w:val="en-GB"/>
        </w:rPr>
        <w:t>Applied</w:t>
      </w:r>
      <w:proofErr w:type="gramEnd"/>
      <w:r w:rsidR="00BE786E" w:rsidRPr="00BE786E">
        <w:rPr>
          <w:i/>
          <w:lang w:val="en-GB"/>
        </w:rPr>
        <w:t xml:space="preserve"> Economics</w:t>
      </w:r>
      <w:r w:rsidR="00BE786E" w:rsidRPr="00BE786E">
        <w:rPr>
          <w:lang w:val="en-GB"/>
        </w:rPr>
        <w:t xml:space="preserve">, </w:t>
      </w:r>
      <w:r w:rsidR="00F563DD">
        <w:rPr>
          <w:lang w:val="en-GB"/>
        </w:rPr>
        <w:t>V</w:t>
      </w:r>
      <w:r w:rsidR="00BE786E" w:rsidRPr="00BE786E">
        <w:rPr>
          <w:lang w:val="en-GB"/>
        </w:rPr>
        <w:t>ol. 42</w:t>
      </w:r>
      <w:r w:rsidR="00F563DD">
        <w:rPr>
          <w:lang w:val="en-GB"/>
        </w:rPr>
        <w:t xml:space="preserve">, No. </w:t>
      </w:r>
      <w:r w:rsidR="00BE786E" w:rsidRPr="00BE786E">
        <w:rPr>
          <w:lang w:val="en-GB"/>
        </w:rPr>
        <w:t>4, p</w:t>
      </w:r>
      <w:r w:rsidR="00BE786E">
        <w:rPr>
          <w:lang w:val="en-GB"/>
        </w:rPr>
        <w:t>p.</w:t>
      </w:r>
      <w:r w:rsidR="00BE786E" w:rsidRPr="00BE786E">
        <w:rPr>
          <w:lang w:val="en-GB"/>
        </w:rPr>
        <w:t xml:space="preserve"> 427-438.</w:t>
      </w:r>
    </w:p>
    <w:p w:rsidR="00761FA1" w:rsidRPr="00761FA1" w:rsidRDefault="00761FA1" w:rsidP="00761FA1">
      <w:pPr>
        <w:autoSpaceDE w:val="0"/>
        <w:autoSpaceDN w:val="0"/>
        <w:adjustRightInd w:val="0"/>
        <w:spacing w:after="120" w:line="240" w:lineRule="auto"/>
        <w:jc w:val="both"/>
        <w:rPr>
          <w:lang w:val="en-GB"/>
        </w:rPr>
      </w:pPr>
      <w:r w:rsidRPr="00761FA1">
        <w:rPr>
          <w:lang w:val="en-GB"/>
        </w:rPr>
        <w:t>Duval, R. (2003)</w:t>
      </w:r>
      <w:r>
        <w:rPr>
          <w:lang w:val="en-GB"/>
        </w:rPr>
        <w:t>:</w:t>
      </w:r>
      <w:r w:rsidRPr="00761FA1">
        <w:rPr>
          <w:lang w:val="en-GB"/>
        </w:rPr>
        <w:t xml:space="preserve"> Th</w:t>
      </w:r>
      <w:r>
        <w:rPr>
          <w:lang w:val="en-GB"/>
        </w:rPr>
        <w:t xml:space="preserve">e Retirement Effects of Old-Age </w:t>
      </w:r>
      <w:r w:rsidRPr="00761FA1">
        <w:rPr>
          <w:lang w:val="en-GB"/>
        </w:rPr>
        <w:t>Pension and Early Retirement Schemes in OECD</w:t>
      </w:r>
    </w:p>
    <w:p w:rsidR="00761FA1" w:rsidRPr="00761FA1" w:rsidRDefault="00761FA1" w:rsidP="00761FA1">
      <w:pPr>
        <w:autoSpaceDE w:val="0"/>
        <w:autoSpaceDN w:val="0"/>
        <w:adjustRightInd w:val="0"/>
        <w:spacing w:after="120" w:line="240" w:lineRule="auto"/>
        <w:jc w:val="both"/>
        <w:rPr>
          <w:lang w:val="en-GB"/>
        </w:rPr>
      </w:pPr>
      <w:r w:rsidRPr="00761FA1">
        <w:rPr>
          <w:lang w:val="en-GB"/>
        </w:rPr>
        <w:t xml:space="preserve">Countries, </w:t>
      </w:r>
      <w:r w:rsidRPr="00761FA1">
        <w:rPr>
          <w:i/>
          <w:lang w:val="en-GB"/>
        </w:rPr>
        <w:t xml:space="preserve">OECD Economics Department Working Paper </w:t>
      </w:r>
      <w:r w:rsidRPr="00761FA1">
        <w:rPr>
          <w:lang w:val="en-GB"/>
        </w:rPr>
        <w:t>No. 370</w:t>
      </w:r>
      <w:r>
        <w:rPr>
          <w:lang w:val="en-GB"/>
        </w:rPr>
        <w:t>, Paris:</w:t>
      </w:r>
      <w:r w:rsidRPr="00761FA1">
        <w:rPr>
          <w:lang w:val="en-GB"/>
        </w:rPr>
        <w:t xml:space="preserve"> OECD.</w:t>
      </w:r>
    </w:p>
    <w:p w:rsidR="00F84024" w:rsidRPr="00075733" w:rsidRDefault="00F84024" w:rsidP="00761FA1">
      <w:pPr>
        <w:spacing w:after="120" w:line="240" w:lineRule="auto"/>
        <w:jc w:val="both"/>
      </w:pPr>
      <w:proofErr w:type="spellStart"/>
      <w:r w:rsidRPr="00BE786E">
        <w:rPr>
          <w:lang w:val="en-US"/>
        </w:rPr>
        <w:t>Ebbinghaus</w:t>
      </w:r>
      <w:proofErr w:type="spellEnd"/>
      <w:r w:rsidR="00BE786E">
        <w:rPr>
          <w:lang w:val="en-US"/>
        </w:rPr>
        <w:t>, B.</w:t>
      </w:r>
      <w:r w:rsidRPr="00BE786E">
        <w:rPr>
          <w:lang w:val="en-US"/>
        </w:rPr>
        <w:t xml:space="preserve"> </w:t>
      </w:r>
      <w:r w:rsidR="00BE786E">
        <w:rPr>
          <w:lang w:val="en-US"/>
        </w:rPr>
        <w:t>(</w:t>
      </w:r>
      <w:r w:rsidRPr="00BE786E">
        <w:rPr>
          <w:lang w:val="en-US"/>
        </w:rPr>
        <w:t>2006</w:t>
      </w:r>
      <w:r w:rsidR="00BE786E">
        <w:rPr>
          <w:lang w:val="en-US"/>
        </w:rPr>
        <w:t>)</w:t>
      </w:r>
      <w:r w:rsidR="00DB7B77">
        <w:rPr>
          <w:lang w:val="en-US"/>
        </w:rPr>
        <w:t>,</w:t>
      </w:r>
      <w:r w:rsidR="00BE786E" w:rsidRPr="00BE786E">
        <w:rPr>
          <w:lang w:val="en-US"/>
        </w:rPr>
        <w:t xml:space="preserve"> </w:t>
      </w:r>
      <w:r w:rsidR="00BE786E" w:rsidRPr="00BE786E">
        <w:rPr>
          <w:i/>
          <w:iCs/>
          <w:lang w:val="en-US"/>
        </w:rPr>
        <w:t>Reforming Early Retirement in Europe, Japan and the USA</w:t>
      </w:r>
      <w:r w:rsidR="00BE786E" w:rsidRPr="00BE786E">
        <w:rPr>
          <w:lang w:val="en-US"/>
        </w:rPr>
        <w:t xml:space="preserve">. </w:t>
      </w:r>
      <w:r w:rsidR="00BE786E" w:rsidRPr="00075733">
        <w:t>Oxford University Press</w:t>
      </w:r>
      <w:r w:rsidR="00DB7B77">
        <w:t>, Oxford</w:t>
      </w:r>
      <w:r w:rsidR="00BE786E" w:rsidRPr="00075733">
        <w:t>.</w:t>
      </w:r>
    </w:p>
    <w:p w:rsidR="00A472FC" w:rsidRPr="00893357" w:rsidRDefault="00A472FC" w:rsidP="00761FA1">
      <w:pPr>
        <w:autoSpaceDE w:val="0"/>
        <w:autoSpaceDN w:val="0"/>
        <w:adjustRightInd w:val="0"/>
        <w:spacing w:after="120" w:line="240" w:lineRule="auto"/>
        <w:jc w:val="both"/>
      </w:pPr>
      <w:r w:rsidRPr="00893357">
        <w:t>Ebbinghaus, B. (2005)</w:t>
      </w:r>
      <w:r w:rsidR="00F563DD">
        <w:t>,</w:t>
      </w:r>
      <w:r w:rsidRPr="00893357">
        <w:t xml:space="preserve"> </w:t>
      </w:r>
      <w:r w:rsidR="009A4BFA">
        <w:t>„</w:t>
      </w:r>
      <w:r w:rsidRPr="00893357">
        <w:t>Vom Stilllegen von Arbeit zum lebenslangen Lernen. Das überfäl</w:t>
      </w:r>
      <w:r w:rsidR="00893357" w:rsidRPr="00893357">
        <w:t xml:space="preserve">lige Ende der Frühverrentung in </w:t>
      </w:r>
      <w:r w:rsidRPr="00893357">
        <w:t>Europa, Japan und den USA</w:t>
      </w:r>
      <w:r w:rsidR="009A4BFA">
        <w:t>“</w:t>
      </w:r>
      <w:r w:rsidRPr="00893357">
        <w:t xml:space="preserve">, </w:t>
      </w:r>
      <w:r w:rsidR="009A4BFA">
        <w:t xml:space="preserve">in </w:t>
      </w:r>
      <w:proofErr w:type="spellStart"/>
      <w:r w:rsidRPr="00893357">
        <w:rPr>
          <w:i/>
        </w:rPr>
        <w:t>MPIfG</w:t>
      </w:r>
      <w:proofErr w:type="spellEnd"/>
      <w:r w:rsidRPr="00893357">
        <w:rPr>
          <w:i/>
        </w:rPr>
        <w:t xml:space="preserve"> Jahrbuch 2003-2004</w:t>
      </w:r>
      <w:r w:rsidRPr="00893357">
        <w:t xml:space="preserve">, </w:t>
      </w:r>
      <w:r w:rsidR="00893357">
        <w:t>Cologne</w:t>
      </w:r>
      <w:r w:rsidRPr="00893357">
        <w:t xml:space="preserve">: </w:t>
      </w:r>
      <w:r w:rsidR="00893357">
        <w:t xml:space="preserve">Max Planck Institute </w:t>
      </w:r>
      <w:proofErr w:type="spellStart"/>
      <w:r w:rsidR="00893357">
        <w:t>for</w:t>
      </w:r>
      <w:proofErr w:type="spellEnd"/>
      <w:r w:rsidR="00893357">
        <w:t xml:space="preserve"> </w:t>
      </w:r>
      <w:proofErr w:type="spellStart"/>
      <w:r w:rsidR="00893357">
        <w:t>the</w:t>
      </w:r>
      <w:proofErr w:type="spellEnd"/>
      <w:r w:rsidR="00893357">
        <w:t xml:space="preserve"> Study </w:t>
      </w:r>
      <w:proofErr w:type="spellStart"/>
      <w:r w:rsidR="00893357">
        <w:t>of</w:t>
      </w:r>
      <w:proofErr w:type="spellEnd"/>
      <w:r w:rsidR="00893357">
        <w:t xml:space="preserve"> </w:t>
      </w:r>
      <w:proofErr w:type="spellStart"/>
      <w:r w:rsidR="00893357">
        <w:t>Societies</w:t>
      </w:r>
      <w:proofErr w:type="spellEnd"/>
      <w:r w:rsidRPr="00893357">
        <w:t xml:space="preserve">, </w:t>
      </w:r>
      <w:r w:rsidR="009A4BFA">
        <w:t xml:space="preserve">pp. </w:t>
      </w:r>
      <w:r w:rsidRPr="00893357">
        <w:t>37-42.</w:t>
      </w:r>
    </w:p>
    <w:p w:rsidR="0084058A" w:rsidRPr="007B68DF" w:rsidRDefault="0084058A" w:rsidP="00761FA1">
      <w:pPr>
        <w:spacing w:after="120" w:line="240" w:lineRule="auto"/>
        <w:jc w:val="both"/>
        <w:rPr>
          <w:lang w:val="en-GB"/>
        </w:rPr>
      </w:pPr>
      <w:proofErr w:type="spellStart"/>
      <w:r w:rsidRPr="007B68DF">
        <w:rPr>
          <w:lang w:val="en-GB"/>
        </w:rPr>
        <w:t>Ebbinghaus</w:t>
      </w:r>
      <w:proofErr w:type="spellEnd"/>
      <w:r>
        <w:rPr>
          <w:lang w:val="en-GB"/>
        </w:rPr>
        <w:t>, B.</w:t>
      </w:r>
      <w:r w:rsidRPr="007B68DF">
        <w:rPr>
          <w:lang w:val="en-GB"/>
        </w:rPr>
        <w:t xml:space="preserve"> </w:t>
      </w:r>
      <w:r w:rsidR="00737771">
        <w:rPr>
          <w:lang w:val="en-US"/>
        </w:rPr>
        <w:t>and</w:t>
      </w:r>
      <w:r w:rsidRPr="007B68DF">
        <w:rPr>
          <w:lang w:val="en-GB"/>
        </w:rPr>
        <w:t xml:space="preserve"> </w:t>
      </w:r>
      <w:proofErr w:type="spellStart"/>
      <w:r w:rsidRPr="007B68DF">
        <w:rPr>
          <w:lang w:val="en-GB"/>
        </w:rPr>
        <w:t>Hofäcker</w:t>
      </w:r>
      <w:proofErr w:type="spellEnd"/>
      <w:r>
        <w:rPr>
          <w:lang w:val="en-GB"/>
        </w:rPr>
        <w:t>, D.</w:t>
      </w:r>
      <w:r w:rsidRPr="007B68DF">
        <w:rPr>
          <w:lang w:val="en-GB"/>
        </w:rPr>
        <w:t xml:space="preserve"> (forthcoming)</w:t>
      </w:r>
      <w:r w:rsidR="00F563DD">
        <w:rPr>
          <w:lang w:val="en-GB"/>
        </w:rPr>
        <w:t>,</w:t>
      </w:r>
      <w:r w:rsidRPr="007B68DF">
        <w:rPr>
          <w:lang w:val="en-GB"/>
        </w:rPr>
        <w:t xml:space="preserve"> </w:t>
      </w:r>
      <w:r w:rsidR="00F563DD">
        <w:rPr>
          <w:lang w:val="en-GB"/>
        </w:rPr>
        <w:t>“</w:t>
      </w:r>
      <w:r w:rsidRPr="007B68DF">
        <w:rPr>
          <w:lang w:val="en-GB"/>
        </w:rPr>
        <w:t>Reversing Early Retirement in Advanced Welfare Economies: Overcoming Push and Pull Factors</w:t>
      </w:r>
      <w:r w:rsidR="00F563DD">
        <w:rPr>
          <w:lang w:val="en-GB"/>
        </w:rPr>
        <w:t>”</w:t>
      </w:r>
      <w:r w:rsidRPr="007B68DF">
        <w:rPr>
          <w:lang w:val="en-GB"/>
        </w:rPr>
        <w:t xml:space="preserve">; forthcoming in </w:t>
      </w:r>
      <w:r w:rsidRPr="007B68DF">
        <w:rPr>
          <w:i/>
          <w:lang w:val="en-GB"/>
        </w:rPr>
        <w:t>Comparative Population Studies</w:t>
      </w:r>
      <w:r w:rsidRPr="007B68DF">
        <w:rPr>
          <w:lang w:val="en-GB"/>
        </w:rPr>
        <w:t xml:space="preserve"> 2012.</w:t>
      </w:r>
    </w:p>
    <w:p w:rsidR="00A237E7" w:rsidRPr="0084058A" w:rsidRDefault="00A237E7" w:rsidP="00761FA1">
      <w:pPr>
        <w:spacing w:after="120" w:line="240" w:lineRule="auto"/>
        <w:jc w:val="both"/>
        <w:rPr>
          <w:lang w:val="en-US"/>
        </w:rPr>
      </w:pPr>
      <w:proofErr w:type="spellStart"/>
      <w:r w:rsidRPr="0084058A">
        <w:rPr>
          <w:lang w:val="en-US"/>
        </w:rPr>
        <w:t>Engelhardt</w:t>
      </w:r>
      <w:proofErr w:type="spellEnd"/>
      <w:r w:rsidR="0084058A" w:rsidRPr="0084058A">
        <w:rPr>
          <w:lang w:val="en-US"/>
        </w:rPr>
        <w:t>, H.</w:t>
      </w:r>
      <w:r w:rsidRPr="0084058A">
        <w:rPr>
          <w:lang w:val="en-US"/>
        </w:rPr>
        <w:t xml:space="preserve"> </w:t>
      </w:r>
      <w:r w:rsidR="0084058A" w:rsidRPr="0084058A">
        <w:rPr>
          <w:lang w:val="en-US"/>
        </w:rPr>
        <w:t>(2011)</w:t>
      </w:r>
      <w:r w:rsidR="00F563DD">
        <w:rPr>
          <w:lang w:val="en-US"/>
        </w:rPr>
        <w:t>,</w:t>
      </w:r>
      <w:r w:rsidR="0084058A" w:rsidRPr="0084058A">
        <w:rPr>
          <w:lang w:val="en-US"/>
        </w:rPr>
        <w:t xml:space="preserve"> </w:t>
      </w:r>
      <w:r w:rsidR="00F563DD">
        <w:rPr>
          <w:lang w:val="en-US"/>
        </w:rPr>
        <w:t>“</w:t>
      </w:r>
      <w:r w:rsidR="0084058A" w:rsidRPr="0084058A">
        <w:rPr>
          <w:lang w:val="en-US"/>
        </w:rPr>
        <w:t>Late Careers in Europe: Effects of Individual and Institutional Factors</w:t>
      </w:r>
      <w:r w:rsidR="00F563DD">
        <w:rPr>
          <w:lang w:val="en-US"/>
        </w:rPr>
        <w:t>”</w:t>
      </w:r>
      <w:r w:rsidR="0084058A" w:rsidRPr="0084058A">
        <w:rPr>
          <w:lang w:val="en-US"/>
        </w:rPr>
        <w:t>,</w:t>
      </w:r>
      <w:r w:rsidR="00DB7B77">
        <w:rPr>
          <w:lang w:val="en-US"/>
        </w:rPr>
        <w:t xml:space="preserve"> </w:t>
      </w:r>
      <w:r w:rsidR="0084058A">
        <w:rPr>
          <w:lang w:val="en-US"/>
        </w:rPr>
        <w:t>E</w:t>
      </w:r>
      <w:r w:rsidR="0084058A" w:rsidRPr="0084058A">
        <w:rPr>
          <w:rStyle w:val="Hervorhebung"/>
          <w:lang w:val="en-US"/>
        </w:rPr>
        <w:t>uropean Sociological Review</w:t>
      </w:r>
      <w:r w:rsidR="0084058A">
        <w:rPr>
          <w:rStyle w:val="Hervorhebung"/>
          <w:lang w:val="en-US"/>
        </w:rPr>
        <w:t xml:space="preserve">, Advance Access, </w:t>
      </w:r>
      <w:r w:rsidR="00F563DD">
        <w:rPr>
          <w:rStyle w:val="slug-doi-wrapper"/>
          <w:i/>
          <w:iCs/>
          <w:lang w:val="en-US"/>
        </w:rPr>
        <w:t xml:space="preserve">URL: </w:t>
      </w:r>
      <w:hyperlink r:id="rId17" w:history="1">
        <w:r w:rsidR="00F563DD" w:rsidRPr="004748CA">
          <w:rPr>
            <w:rStyle w:val="Hyperlink"/>
            <w:i/>
            <w:iCs/>
            <w:lang w:val="en-US"/>
          </w:rPr>
          <w:t>http://esr.oxfordjournals.org/content/early/2011/04/14/esr.jcr024.full.pdf+html</w:t>
        </w:r>
      </w:hyperlink>
      <w:r w:rsidR="00F563DD">
        <w:rPr>
          <w:rStyle w:val="slug-doi-wrapper"/>
          <w:i/>
          <w:iCs/>
          <w:lang w:val="en-US"/>
        </w:rPr>
        <w:t xml:space="preserve"> (Retrieved: March 31, 2012)</w:t>
      </w:r>
      <w:r w:rsidR="0084058A">
        <w:rPr>
          <w:rStyle w:val="slug-doi"/>
          <w:i/>
          <w:iCs/>
          <w:lang w:val="en-US"/>
        </w:rPr>
        <w:t xml:space="preserve">. </w:t>
      </w:r>
    </w:p>
    <w:p w:rsidR="00A237E7" w:rsidRDefault="00A237E7" w:rsidP="00761FA1">
      <w:pPr>
        <w:spacing w:after="120" w:line="240" w:lineRule="auto"/>
        <w:jc w:val="both"/>
        <w:rPr>
          <w:lang w:val="en-US"/>
        </w:rPr>
      </w:pPr>
      <w:proofErr w:type="spellStart"/>
      <w:r w:rsidRPr="0084058A">
        <w:rPr>
          <w:lang w:val="en-US"/>
        </w:rPr>
        <w:t>Engelhardt</w:t>
      </w:r>
      <w:proofErr w:type="spellEnd"/>
      <w:r w:rsidR="0084058A" w:rsidRPr="0084058A">
        <w:rPr>
          <w:lang w:val="en-US"/>
        </w:rPr>
        <w:t>, H.</w:t>
      </w:r>
      <w:r w:rsidRPr="0084058A">
        <w:rPr>
          <w:lang w:val="en-US"/>
        </w:rPr>
        <w:t xml:space="preserve"> </w:t>
      </w:r>
      <w:r w:rsidR="00737771">
        <w:rPr>
          <w:lang w:val="en-US"/>
        </w:rPr>
        <w:t>and</w:t>
      </w:r>
      <w:r w:rsidRPr="0084058A">
        <w:rPr>
          <w:lang w:val="en-US"/>
        </w:rPr>
        <w:t xml:space="preserve"> Schmidt</w:t>
      </w:r>
      <w:r w:rsidR="0084058A" w:rsidRPr="0084058A">
        <w:rPr>
          <w:lang w:val="en-US"/>
        </w:rPr>
        <w:t>, C.</w:t>
      </w:r>
      <w:r w:rsidRPr="0084058A">
        <w:rPr>
          <w:lang w:val="en-US"/>
        </w:rPr>
        <w:t xml:space="preserve"> </w:t>
      </w:r>
      <w:r w:rsidR="0084058A" w:rsidRPr="0084058A">
        <w:rPr>
          <w:lang w:val="en-US"/>
        </w:rPr>
        <w:t>(</w:t>
      </w:r>
      <w:r w:rsidRPr="0084058A">
        <w:rPr>
          <w:lang w:val="en-US"/>
        </w:rPr>
        <w:t>2011</w:t>
      </w:r>
      <w:r w:rsidR="00F563DD">
        <w:rPr>
          <w:lang w:val="en-US"/>
        </w:rPr>
        <w:t>),</w:t>
      </w:r>
      <w:r w:rsidR="0084058A" w:rsidRPr="0084058A">
        <w:rPr>
          <w:lang w:val="en-US"/>
        </w:rPr>
        <w:t xml:space="preserve"> Late Careers and Socio-Economic Structures in Europe</w:t>
      </w:r>
      <w:r w:rsidR="0084058A">
        <w:rPr>
          <w:lang w:val="en-US"/>
        </w:rPr>
        <w:t xml:space="preserve">, </w:t>
      </w:r>
      <w:r w:rsidR="0084058A" w:rsidRPr="0084058A">
        <w:rPr>
          <w:i/>
          <w:lang w:val="en-US"/>
        </w:rPr>
        <w:t>Discussion Paper</w:t>
      </w:r>
      <w:r w:rsidR="0084058A">
        <w:rPr>
          <w:lang w:val="en-US"/>
        </w:rPr>
        <w:t xml:space="preserve"> 10/2011, </w:t>
      </w:r>
      <w:proofErr w:type="gramStart"/>
      <w:r w:rsidR="0084058A">
        <w:rPr>
          <w:lang w:val="en-US"/>
        </w:rPr>
        <w:t>Bamberg</w:t>
      </w:r>
      <w:proofErr w:type="gramEnd"/>
      <w:r w:rsidR="0084058A">
        <w:rPr>
          <w:lang w:val="en-US"/>
        </w:rPr>
        <w:t xml:space="preserve"> University: </w:t>
      </w:r>
      <w:r w:rsidR="0084058A" w:rsidRPr="0084058A">
        <w:rPr>
          <w:lang w:val="en-US"/>
        </w:rPr>
        <w:t>Chair of Population Studies</w:t>
      </w:r>
      <w:r w:rsidR="0084058A">
        <w:rPr>
          <w:lang w:val="en-US"/>
        </w:rPr>
        <w:t>.</w:t>
      </w:r>
    </w:p>
    <w:p w:rsidR="000874CA" w:rsidRPr="0084058A" w:rsidRDefault="000874CA" w:rsidP="00761FA1">
      <w:pPr>
        <w:spacing w:after="120" w:line="240" w:lineRule="auto"/>
        <w:jc w:val="both"/>
        <w:rPr>
          <w:lang w:val="en-US"/>
        </w:rPr>
      </w:pPr>
      <w:proofErr w:type="spellStart"/>
      <w:r w:rsidRPr="009269D0">
        <w:rPr>
          <w:lang w:val="en-US"/>
        </w:rPr>
        <w:lastRenderedPageBreak/>
        <w:t>Esping</w:t>
      </w:r>
      <w:proofErr w:type="spellEnd"/>
      <w:r w:rsidRPr="009269D0">
        <w:rPr>
          <w:lang w:val="en-US"/>
        </w:rPr>
        <w:t>-Andersen</w:t>
      </w:r>
      <w:r w:rsidR="009269D0" w:rsidRPr="009269D0">
        <w:rPr>
          <w:lang w:val="en-US"/>
        </w:rPr>
        <w:t>, G.</w:t>
      </w:r>
      <w:r w:rsidR="00DB7B77">
        <w:rPr>
          <w:lang w:val="en-US"/>
        </w:rPr>
        <w:t>,</w:t>
      </w:r>
      <w:r w:rsidRPr="009269D0">
        <w:rPr>
          <w:lang w:val="en-US"/>
        </w:rPr>
        <w:t xml:space="preserve"> 1990</w:t>
      </w:r>
      <w:r w:rsidR="00DB7B77">
        <w:rPr>
          <w:lang w:val="en-US"/>
        </w:rPr>
        <w:t>,</w:t>
      </w:r>
      <w:r w:rsidR="009269D0" w:rsidRPr="009269D0">
        <w:rPr>
          <w:lang w:val="en-US"/>
        </w:rPr>
        <w:t xml:space="preserve"> </w:t>
      </w:r>
      <w:proofErr w:type="gramStart"/>
      <w:r w:rsidR="009269D0" w:rsidRPr="009269D0">
        <w:rPr>
          <w:i/>
          <w:lang w:val="en-US"/>
        </w:rPr>
        <w:t>The</w:t>
      </w:r>
      <w:proofErr w:type="gramEnd"/>
      <w:r w:rsidR="009269D0" w:rsidRPr="009269D0">
        <w:rPr>
          <w:i/>
          <w:lang w:val="en-US"/>
        </w:rPr>
        <w:t xml:space="preserve"> Three Worlds of Welfare Capitalism</w:t>
      </w:r>
      <w:r w:rsidR="009269D0" w:rsidRPr="009269D0">
        <w:rPr>
          <w:lang w:val="en-US"/>
        </w:rPr>
        <w:t>, University Press</w:t>
      </w:r>
      <w:r w:rsidR="00DB7B77">
        <w:rPr>
          <w:lang w:val="en-US"/>
        </w:rPr>
        <w:t>, Princeton.</w:t>
      </w:r>
    </w:p>
    <w:p w:rsidR="00C10DE5" w:rsidRDefault="00C10DE5" w:rsidP="00761FA1">
      <w:pPr>
        <w:spacing w:after="120" w:line="240" w:lineRule="auto"/>
        <w:jc w:val="both"/>
        <w:rPr>
          <w:i/>
          <w:lang w:val="en-US"/>
        </w:rPr>
      </w:pPr>
      <w:r w:rsidRPr="00EF0643">
        <w:rPr>
          <w:lang w:val="en-US"/>
        </w:rPr>
        <w:t>Eurostat</w:t>
      </w:r>
      <w:r w:rsidR="00EF0643" w:rsidRPr="00EF0643">
        <w:rPr>
          <w:lang w:val="en-US"/>
        </w:rPr>
        <w:t>,</w:t>
      </w:r>
      <w:r w:rsidRPr="00EF0643">
        <w:rPr>
          <w:lang w:val="en-US"/>
        </w:rPr>
        <w:t xml:space="preserve"> </w:t>
      </w:r>
      <w:r w:rsidR="00EF0643" w:rsidRPr="00EF0643">
        <w:rPr>
          <w:lang w:val="en-US"/>
        </w:rPr>
        <w:t xml:space="preserve">2011, </w:t>
      </w:r>
      <w:r w:rsidR="00EF0643" w:rsidRPr="00EF0643">
        <w:rPr>
          <w:i/>
          <w:lang w:val="en-US"/>
        </w:rPr>
        <w:t xml:space="preserve">New </w:t>
      </w:r>
      <w:proofErr w:type="spellStart"/>
      <w:r w:rsidR="00EF0643" w:rsidRPr="00EF0643">
        <w:rPr>
          <w:i/>
          <w:lang w:val="en-US"/>
        </w:rPr>
        <w:t>Chronos</w:t>
      </w:r>
      <w:proofErr w:type="spellEnd"/>
      <w:r w:rsidR="00EF0643" w:rsidRPr="00EF0643">
        <w:rPr>
          <w:i/>
          <w:lang w:val="en-US"/>
        </w:rPr>
        <w:t xml:space="preserve"> </w:t>
      </w:r>
      <w:proofErr w:type="spellStart"/>
      <w:r w:rsidR="00EF0643" w:rsidRPr="00EF0643">
        <w:rPr>
          <w:i/>
          <w:lang w:val="en-US"/>
        </w:rPr>
        <w:t>Database</w:t>
      </w:r>
      <w:proofErr w:type="gramStart"/>
      <w:r w:rsidR="00EF0643" w:rsidRPr="00EF0643">
        <w:rPr>
          <w:i/>
          <w:lang w:val="en-US"/>
        </w:rPr>
        <w:t>,URL</w:t>
      </w:r>
      <w:proofErr w:type="spellEnd"/>
      <w:proofErr w:type="gramEnd"/>
      <w:r w:rsidR="00EF0643" w:rsidRPr="00EF0643">
        <w:rPr>
          <w:i/>
          <w:lang w:val="en-US"/>
        </w:rPr>
        <w:t>: http://epp.eurostat.ec.europa.eu/portal/page/ portal/statistics/</w:t>
      </w:r>
      <w:proofErr w:type="spellStart"/>
      <w:r w:rsidR="00EF0643" w:rsidRPr="00EF0643">
        <w:rPr>
          <w:i/>
          <w:lang w:val="en-US"/>
        </w:rPr>
        <w:t>search_database</w:t>
      </w:r>
      <w:proofErr w:type="spellEnd"/>
      <w:r w:rsidR="00EF0643">
        <w:rPr>
          <w:i/>
          <w:lang w:val="en-US"/>
        </w:rPr>
        <w:t xml:space="preserve"> </w:t>
      </w:r>
      <w:r w:rsidR="00EF0643" w:rsidRPr="00EF0643">
        <w:rPr>
          <w:i/>
          <w:lang w:val="en-US"/>
        </w:rPr>
        <w:t>(Retrieved: March 1, 2012)</w:t>
      </w:r>
      <w:r w:rsidR="00EF0643">
        <w:rPr>
          <w:i/>
          <w:lang w:val="en-US"/>
        </w:rPr>
        <w:t>.</w:t>
      </w:r>
    </w:p>
    <w:p w:rsidR="00D061FC" w:rsidRPr="00D061FC" w:rsidRDefault="00D061FC" w:rsidP="00761FA1">
      <w:pPr>
        <w:spacing w:after="120" w:line="240" w:lineRule="auto"/>
        <w:jc w:val="both"/>
        <w:rPr>
          <w:lang w:val="en-US"/>
        </w:rPr>
      </w:pPr>
      <w:r w:rsidRPr="00D061FC">
        <w:rPr>
          <w:lang w:val="en-US"/>
        </w:rPr>
        <w:t xml:space="preserve">Eurostat, 1998, </w:t>
      </w:r>
      <w:r w:rsidRPr="00D061FC">
        <w:rPr>
          <w:i/>
          <w:lang w:val="en-US"/>
        </w:rPr>
        <w:t xml:space="preserve">The European Union </w:t>
      </w:r>
      <w:proofErr w:type="spellStart"/>
      <w:r w:rsidRPr="00D061FC">
        <w:rPr>
          <w:i/>
          <w:lang w:val="en-US"/>
        </w:rPr>
        <w:t>Labour</w:t>
      </w:r>
      <w:proofErr w:type="spellEnd"/>
      <w:r w:rsidRPr="00D061FC">
        <w:rPr>
          <w:i/>
          <w:lang w:val="en-US"/>
        </w:rPr>
        <w:t xml:space="preserve"> Force Survey: Methods and Definitions</w:t>
      </w:r>
      <w:r w:rsidRPr="00D061FC">
        <w:rPr>
          <w:lang w:val="en-US"/>
        </w:rPr>
        <w:t>, 1998 edition, Eurostat: Luxembourg.</w:t>
      </w:r>
    </w:p>
    <w:p w:rsidR="00203546" w:rsidRPr="00203546" w:rsidRDefault="00203546" w:rsidP="00761FA1">
      <w:pPr>
        <w:pStyle w:val="berschrift1"/>
        <w:spacing w:before="0" w:beforeAutospacing="0" w:after="120" w:afterAutospacing="0"/>
        <w:jc w:val="both"/>
        <w:rPr>
          <w:rFonts w:asciiTheme="minorHAnsi" w:eastAsiaTheme="minorHAnsi" w:hAnsiTheme="minorHAnsi" w:cstheme="minorBidi"/>
          <w:b w:val="0"/>
          <w:bCs w:val="0"/>
          <w:kern w:val="0"/>
          <w:sz w:val="22"/>
          <w:szCs w:val="22"/>
          <w:lang w:val="en-US" w:eastAsia="en-US"/>
        </w:rPr>
      </w:pPr>
      <w:proofErr w:type="spellStart"/>
      <w:r w:rsidRPr="00203546">
        <w:rPr>
          <w:rFonts w:asciiTheme="minorHAnsi" w:eastAsiaTheme="minorHAnsi" w:hAnsiTheme="minorHAnsi" w:cstheme="minorBidi"/>
          <w:b w:val="0"/>
          <w:bCs w:val="0"/>
          <w:kern w:val="0"/>
          <w:sz w:val="22"/>
          <w:szCs w:val="22"/>
          <w:lang w:val="en-US" w:eastAsia="en-US"/>
        </w:rPr>
        <w:t>Ferrera</w:t>
      </w:r>
      <w:proofErr w:type="spellEnd"/>
      <w:r w:rsidRPr="00203546">
        <w:rPr>
          <w:rFonts w:asciiTheme="minorHAnsi" w:eastAsiaTheme="minorHAnsi" w:hAnsiTheme="minorHAnsi" w:cstheme="minorBidi"/>
          <w:b w:val="0"/>
          <w:bCs w:val="0"/>
          <w:kern w:val="0"/>
          <w:sz w:val="22"/>
          <w:szCs w:val="22"/>
          <w:lang w:val="en-US" w:eastAsia="en-US"/>
        </w:rPr>
        <w:t>, M.</w:t>
      </w:r>
      <w:r w:rsidR="00BD0812">
        <w:rPr>
          <w:rFonts w:asciiTheme="minorHAnsi" w:eastAsiaTheme="minorHAnsi" w:hAnsiTheme="minorHAnsi" w:cstheme="minorBidi"/>
          <w:b w:val="0"/>
          <w:bCs w:val="0"/>
          <w:kern w:val="0"/>
          <w:sz w:val="22"/>
          <w:szCs w:val="22"/>
          <w:lang w:val="en-US" w:eastAsia="en-US"/>
        </w:rPr>
        <w:t xml:space="preserve"> </w:t>
      </w:r>
      <w:r w:rsidRPr="00203546">
        <w:rPr>
          <w:rFonts w:asciiTheme="minorHAnsi" w:eastAsiaTheme="minorHAnsi" w:hAnsiTheme="minorHAnsi" w:cstheme="minorBidi"/>
          <w:b w:val="0"/>
          <w:bCs w:val="0"/>
          <w:kern w:val="0"/>
          <w:sz w:val="22"/>
          <w:szCs w:val="22"/>
          <w:lang w:val="en-US" w:eastAsia="en-US"/>
        </w:rPr>
        <w:t>(1996)</w:t>
      </w:r>
      <w:r w:rsidR="00F563DD">
        <w:rPr>
          <w:rFonts w:asciiTheme="minorHAnsi" w:eastAsiaTheme="minorHAnsi" w:hAnsiTheme="minorHAnsi" w:cstheme="minorBidi"/>
          <w:b w:val="0"/>
          <w:bCs w:val="0"/>
          <w:kern w:val="0"/>
          <w:sz w:val="22"/>
          <w:szCs w:val="22"/>
          <w:lang w:val="en-US" w:eastAsia="en-US"/>
        </w:rPr>
        <w:t>,</w:t>
      </w:r>
      <w:r w:rsidRPr="00203546">
        <w:rPr>
          <w:rFonts w:asciiTheme="minorHAnsi" w:eastAsiaTheme="minorHAnsi" w:hAnsiTheme="minorHAnsi" w:cstheme="minorBidi"/>
          <w:b w:val="0"/>
          <w:bCs w:val="0"/>
          <w:kern w:val="0"/>
          <w:sz w:val="22"/>
          <w:szCs w:val="22"/>
          <w:lang w:val="en-US" w:eastAsia="en-US"/>
        </w:rPr>
        <w:t xml:space="preserve"> The 'Southern Model' of Welfare in Social Europe, </w:t>
      </w:r>
      <w:r w:rsidRPr="00203546">
        <w:rPr>
          <w:rFonts w:asciiTheme="minorHAnsi" w:eastAsiaTheme="minorHAnsi" w:hAnsiTheme="minorHAnsi" w:cstheme="minorBidi"/>
          <w:b w:val="0"/>
          <w:bCs w:val="0"/>
          <w:i/>
          <w:kern w:val="0"/>
          <w:sz w:val="22"/>
          <w:szCs w:val="22"/>
          <w:lang w:val="en-US" w:eastAsia="en-US"/>
        </w:rPr>
        <w:t>Journal of European Social Policy</w:t>
      </w:r>
      <w:r>
        <w:rPr>
          <w:rFonts w:asciiTheme="minorHAnsi" w:eastAsiaTheme="minorHAnsi" w:hAnsiTheme="minorHAnsi" w:cstheme="minorBidi"/>
          <w:b w:val="0"/>
          <w:bCs w:val="0"/>
          <w:i/>
          <w:kern w:val="0"/>
          <w:sz w:val="22"/>
          <w:szCs w:val="22"/>
          <w:lang w:val="en-US" w:eastAsia="en-US"/>
        </w:rPr>
        <w:t>,</w:t>
      </w:r>
      <w:r w:rsidRPr="00203546">
        <w:rPr>
          <w:rFonts w:asciiTheme="minorHAnsi" w:eastAsiaTheme="minorHAnsi" w:hAnsiTheme="minorHAnsi" w:cstheme="minorBidi"/>
          <w:b w:val="0"/>
          <w:bCs w:val="0"/>
          <w:kern w:val="0"/>
          <w:sz w:val="22"/>
          <w:szCs w:val="22"/>
          <w:lang w:val="en-US" w:eastAsia="en-US"/>
        </w:rPr>
        <w:t xml:space="preserve"> </w:t>
      </w:r>
      <w:r w:rsidR="00F563DD">
        <w:rPr>
          <w:rFonts w:asciiTheme="minorHAnsi" w:eastAsiaTheme="minorHAnsi" w:hAnsiTheme="minorHAnsi" w:cstheme="minorBidi"/>
          <w:b w:val="0"/>
          <w:bCs w:val="0"/>
          <w:kern w:val="0"/>
          <w:sz w:val="22"/>
          <w:szCs w:val="22"/>
          <w:lang w:val="en-US" w:eastAsia="en-US"/>
        </w:rPr>
        <w:t xml:space="preserve">Vol. </w:t>
      </w:r>
      <w:r w:rsidRPr="00203546">
        <w:rPr>
          <w:rFonts w:asciiTheme="minorHAnsi" w:eastAsiaTheme="minorHAnsi" w:hAnsiTheme="minorHAnsi" w:cstheme="minorBidi"/>
          <w:b w:val="0"/>
          <w:bCs w:val="0"/>
          <w:kern w:val="0"/>
          <w:sz w:val="22"/>
          <w:szCs w:val="22"/>
          <w:lang w:val="en-US" w:eastAsia="en-US"/>
        </w:rPr>
        <w:t>6</w:t>
      </w:r>
      <w:r>
        <w:rPr>
          <w:rFonts w:asciiTheme="minorHAnsi" w:eastAsiaTheme="minorHAnsi" w:hAnsiTheme="minorHAnsi" w:cstheme="minorBidi"/>
          <w:b w:val="0"/>
          <w:bCs w:val="0"/>
          <w:kern w:val="0"/>
          <w:sz w:val="22"/>
          <w:szCs w:val="22"/>
          <w:lang w:val="en-US" w:eastAsia="en-US"/>
        </w:rPr>
        <w:t xml:space="preserve">, </w:t>
      </w:r>
      <w:r w:rsidR="00F563DD">
        <w:rPr>
          <w:rFonts w:asciiTheme="minorHAnsi" w:eastAsiaTheme="minorHAnsi" w:hAnsiTheme="minorHAnsi" w:cstheme="minorBidi"/>
          <w:b w:val="0"/>
          <w:bCs w:val="0"/>
          <w:kern w:val="0"/>
          <w:sz w:val="22"/>
          <w:szCs w:val="22"/>
          <w:lang w:val="en-US" w:eastAsia="en-US"/>
        </w:rPr>
        <w:t xml:space="preserve">No. </w:t>
      </w:r>
      <w:r w:rsidRPr="00203546">
        <w:rPr>
          <w:rFonts w:asciiTheme="minorHAnsi" w:eastAsiaTheme="minorHAnsi" w:hAnsiTheme="minorHAnsi" w:cstheme="minorBidi"/>
          <w:b w:val="0"/>
          <w:bCs w:val="0"/>
          <w:kern w:val="0"/>
          <w:sz w:val="22"/>
          <w:szCs w:val="22"/>
          <w:lang w:val="en-US" w:eastAsia="en-US"/>
        </w:rPr>
        <w:t>1</w:t>
      </w:r>
      <w:r>
        <w:rPr>
          <w:rFonts w:asciiTheme="minorHAnsi" w:eastAsiaTheme="minorHAnsi" w:hAnsiTheme="minorHAnsi" w:cstheme="minorBidi"/>
          <w:b w:val="0"/>
          <w:bCs w:val="0"/>
          <w:kern w:val="0"/>
          <w:sz w:val="22"/>
          <w:szCs w:val="22"/>
          <w:lang w:val="en-US" w:eastAsia="en-US"/>
        </w:rPr>
        <w:t>,</w:t>
      </w:r>
      <w:r w:rsidRPr="00203546">
        <w:rPr>
          <w:rFonts w:asciiTheme="minorHAnsi" w:eastAsiaTheme="minorHAnsi" w:hAnsiTheme="minorHAnsi" w:cstheme="minorBidi"/>
          <w:b w:val="0"/>
          <w:bCs w:val="0"/>
          <w:kern w:val="0"/>
          <w:sz w:val="22"/>
          <w:szCs w:val="22"/>
          <w:lang w:val="en-US" w:eastAsia="en-US"/>
        </w:rPr>
        <w:t xml:space="preserve"> </w:t>
      </w:r>
      <w:r w:rsidR="00F563DD">
        <w:rPr>
          <w:rFonts w:asciiTheme="minorHAnsi" w:eastAsiaTheme="minorHAnsi" w:hAnsiTheme="minorHAnsi" w:cstheme="minorBidi"/>
          <w:b w:val="0"/>
          <w:bCs w:val="0"/>
          <w:kern w:val="0"/>
          <w:sz w:val="22"/>
          <w:szCs w:val="22"/>
          <w:lang w:val="en-US" w:eastAsia="en-US"/>
        </w:rPr>
        <w:t xml:space="preserve">pp. </w:t>
      </w:r>
      <w:r w:rsidRPr="00203546">
        <w:rPr>
          <w:rFonts w:asciiTheme="minorHAnsi" w:eastAsiaTheme="minorHAnsi" w:hAnsiTheme="minorHAnsi" w:cstheme="minorBidi"/>
          <w:b w:val="0"/>
          <w:bCs w:val="0"/>
          <w:kern w:val="0"/>
          <w:sz w:val="22"/>
          <w:szCs w:val="22"/>
          <w:lang w:val="en-US" w:eastAsia="en-US"/>
        </w:rPr>
        <w:t>17-37</w:t>
      </w:r>
      <w:r>
        <w:rPr>
          <w:rFonts w:asciiTheme="minorHAnsi" w:eastAsiaTheme="minorHAnsi" w:hAnsiTheme="minorHAnsi" w:cstheme="minorBidi"/>
          <w:b w:val="0"/>
          <w:bCs w:val="0"/>
          <w:kern w:val="0"/>
          <w:sz w:val="22"/>
          <w:szCs w:val="22"/>
          <w:lang w:val="en-US" w:eastAsia="en-US"/>
        </w:rPr>
        <w:t>.</w:t>
      </w:r>
    </w:p>
    <w:p w:rsidR="0084058A" w:rsidRPr="0084058A" w:rsidRDefault="0084058A" w:rsidP="00761FA1">
      <w:pPr>
        <w:spacing w:after="120" w:line="240" w:lineRule="auto"/>
        <w:jc w:val="both"/>
        <w:rPr>
          <w:lang w:val="en-US"/>
        </w:rPr>
      </w:pPr>
      <w:r w:rsidRPr="0084058A">
        <w:rPr>
          <w:lang w:val="en-US"/>
        </w:rPr>
        <w:t xml:space="preserve">Fischer, J.A.V. </w:t>
      </w:r>
      <w:r w:rsidR="00737771">
        <w:rPr>
          <w:lang w:val="en-US"/>
        </w:rPr>
        <w:t>and</w:t>
      </w:r>
      <w:r w:rsidRPr="0084058A">
        <w:rPr>
          <w:lang w:val="en-US"/>
        </w:rPr>
        <w:t xml:space="preserve"> Sousa-Poza, A. (2010)</w:t>
      </w:r>
      <w:r w:rsidR="00F563DD">
        <w:rPr>
          <w:lang w:val="en-US"/>
        </w:rPr>
        <w:t>,</w:t>
      </w:r>
      <w:r w:rsidRPr="0084058A">
        <w:rPr>
          <w:lang w:val="en-US"/>
        </w:rPr>
        <w:t xml:space="preserve"> </w:t>
      </w:r>
      <w:proofErr w:type="gramStart"/>
      <w:r w:rsidRPr="0084058A">
        <w:rPr>
          <w:bCs/>
          <w:lang w:val="en-US"/>
        </w:rPr>
        <w:t>The</w:t>
      </w:r>
      <w:proofErr w:type="gramEnd"/>
      <w:r w:rsidRPr="0084058A">
        <w:rPr>
          <w:bCs/>
          <w:lang w:val="en-US"/>
        </w:rPr>
        <w:t xml:space="preserve"> Impact of Institutions on Firms’ Rejuvenation Policies: Early Retirement with Severance Pay versus Simple Lay-Off. A Cross-European Analysis</w:t>
      </w:r>
      <w:r w:rsidRPr="0084058A">
        <w:rPr>
          <w:lang w:val="en-US"/>
        </w:rPr>
        <w:t xml:space="preserve">," </w:t>
      </w:r>
      <w:r w:rsidRPr="0084058A">
        <w:rPr>
          <w:i/>
          <w:lang w:val="en-US"/>
        </w:rPr>
        <w:t>Working Paper 034</w:t>
      </w:r>
      <w:r w:rsidRPr="0084058A">
        <w:rPr>
          <w:lang w:val="en-US"/>
        </w:rPr>
        <w:t>, University of Hamburg</w:t>
      </w:r>
      <w:r>
        <w:rPr>
          <w:lang w:val="en-US"/>
        </w:rPr>
        <w:t xml:space="preserve">: </w:t>
      </w:r>
      <w:r w:rsidRPr="0084058A">
        <w:rPr>
          <w:lang w:val="en-US"/>
        </w:rPr>
        <w:t>Chair for Economic Policy.</w:t>
      </w:r>
    </w:p>
    <w:p w:rsidR="0084058A" w:rsidRPr="0084058A" w:rsidRDefault="00DE23EA" w:rsidP="00761FA1">
      <w:pPr>
        <w:spacing w:after="120" w:line="240" w:lineRule="auto"/>
        <w:jc w:val="both"/>
        <w:rPr>
          <w:lang w:val="en-US"/>
        </w:rPr>
      </w:pPr>
      <w:proofErr w:type="spellStart"/>
      <w:proofErr w:type="gramStart"/>
      <w:r w:rsidRPr="0084058A">
        <w:rPr>
          <w:lang w:val="en-US"/>
        </w:rPr>
        <w:t>Guillemard</w:t>
      </w:r>
      <w:proofErr w:type="spellEnd"/>
      <w:r w:rsidR="0084058A">
        <w:rPr>
          <w:lang w:val="en-US"/>
        </w:rPr>
        <w:t>, A.-M.</w:t>
      </w:r>
      <w:proofErr w:type="gramEnd"/>
      <w:r w:rsidRPr="0084058A">
        <w:rPr>
          <w:lang w:val="en-US"/>
        </w:rPr>
        <w:t xml:space="preserve"> </w:t>
      </w:r>
      <w:proofErr w:type="gramStart"/>
      <w:r w:rsidR="00737771">
        <w:rPr>
          <w:lang w:val="en-US"/>
        </w:rPr>
        <w:t>and</w:t>
      </w:r>
      <w:proofErr w:type="gramEnd"/>
      <w:r w:rsidRPr="0084058A">
        <w:rPr>
          <w:lang w:val="en-US"/>
        </w:rPr>
        <w:t xml:space="preserve"> van </w:t>
      </w:r>
      <w:proofErr w:type="spellStart"/>
      <w:r w:rsidRPr="0084058A">
        <w:rPr>
          <w:lang w:val="en-US"/>
        </w:rPr>
        <w:t>Gunsteren</w:t>
      </w:r>
      <w:proofErr w:type="spellEnd"/>
      <w:r w:rsidR="0084058A">
        <w:rPr>
          <w:lang w:val="en-US"/>
        </w:rPr>
        <w:t>, H.</w:t>
      </w:r>
      <w:r w:rsidRPr="0084058A">
        <w:rPr>
          <w:lang w:val="en-US"/>
        </w:rPr>
        <w:t xml:space="preserve"> </w:t>
      </w:r>
      <w:r w:rsidR="0084058A">
        <w:rPr>
          <w:lang w:val="en-US"/>
        </w:rPr>
        <w:t>(</w:t>
      </w:r>
      <w:r w:rsidRPr="0084058A">
        <w:rPr>
          <w:lang w:val="en-US"/>
        </w:rPr>
        <w:t>1991</w:t>
      </w:r>
      <w:r w:rsidR="0084058A">
        <w:rPr>
          <w:lang w:val="en-US"/>
        </w:rPr>
        <w:t>)</w:t>
      </w:r>
      <w:r w:rsidR="00F563DD">
        <w:rPr>
          <w:lang w:val="en-US"/>
        </w:rPr>
        <w:t>,</w:t>
      </w:r>
      <w:r w:rsidR="0084058A">
        <w:rPr>
          <w:lang w:val="en-US"/>
        </w:rPr>
        <w:t xml:space="preserve"> </w:t>
      </w:r>
      <w:r w:rsidR="009A4BFA">
        <w:rPr>
          <w:lang w:val="en-US"/>
        </w:rPr>
        <w:t>“</w:t>
      </w:r>
      <w:r w:rsidR="0084058A" w:rsidRPr="0084058A">
        <w:rPr>
          <w:lang w:val="en-US"/>
        </w:rPr>
        <w:t>Pathways and their Prospects: A Comparative Interpretation of the Meaning of Early Exit</w:t>
      </w:r>
      <w:r w:rsidR="009A4BFA">
        <w:rPr>
          <w:lang w:val="en-US"/>
        </w:rPr>
        <w:t>”,</w:t>
      </w:r>
      <w:r w:rsidR="0084058A" w:rsidRPr="0084058A">
        <w:rPr>
          <w:lang w:val="en-US"/>
        </w:rPr>
        <w:t xml:space="preserve"> </w:t>
      </w:r>
      <w:r w:rsidR="009A4BFA">
        <w:rPr>
          <w:lang w:val="en-US"/>
        </w:rPr>
        <w:t>i</w:t>
      </w:r>
      <w:r w:rsidR="0084058A" w:rsidRPr="0084058A">
        <w:rPr>
          <w:lang w:val="en-US"/>
        </w:rPr>
        <w:t xml:space="preserve">n </w:t>
      </w:r>
      <w:proofErr w:type="spellStart"/>
      <w:r w:rsidR="0084058A" w:rsidRPr="0084058A">
        <w:rPr>
          <w:lang w:val="en-US"/>
        </w:rPr>
        <w:t>Kohli</w:t>
      </w:r>
      <w:proofErr w:type="spellEnd"/>
      <w:r w:rsidR="0084058A" w:rsidRPr="0084058A">
        <w:rPr>
          <w:lang w:val="en-US"/>
        </w:rPr>
        <w:t xml:space="preserve">, </w:t>
      </w:r>
      <w:r w:rsidR="0084058A">
        <w:rPr>
          <w:lang w:val="en-US"/>
        </w:rPr>
        <w:t>M.,</w:t>
      </w:r>
      <w:r w:rsidR="0084058A" w:rsidRPr="0084058A">
        <w:rPr>
          <w:lang w:val="en-US"/>
        </w:rPr>
        <w:t xml:space="preserve"> Rein, M</w:t>
      </w:r>
      <w:r w:rsidR="0084058A">
        <w:rPr>
          <w:lang w:val="en-US"/>
        </w:rPr>
        <w:t>.,</w:t>
      </w:r>
      <w:r w:rsidR="0084058A" w:rsidRPr="0084058A">
        <w:rPr>
          <w:lang w:val="en-US"/>
        </w:rPr>
        <w:t xml:space="preserve"> </w:t>
      </w:r>
      <w:proofErr w:type="spellStart"/>
      <w:r w:rsidR="0084058A" w:rsidRPr="0084058A">
        <w:rPr>
          <w:lang w:val="en-US"/>
        </w:rPr>
        <w:t>Guillemard</w:t>
      </w:r>
      <w:proofErr w:type="spellEnd"/>
      <w:r w:rsidR="0084058A" w:rsidRPr="0084058A">
        <w:rPr>
          <w:lang w:val="en-US"/>
        </w:rPr>
        <w:t>, A</w:t>
      </w:r>
      <w:r w:rsidR="0084058A">
        <w:rPr>
          <w:lang w:val="en-US"/>
        </w:rPr>
        <w:t>.</w:t>
      </w:r>
      <w:r w:rsidR="0084058A" w:rsidRPr="0084058A">
        <w:rPr>
          <w:lang w:val="en-US"/>
        </w:rPr>
        <w:t>-M</w:t>
      </w:r>
      <w:r w:rsidR="0084058A">
        <w:rPr>
          <w:lang w:val="en-US"/>
        </w:rPr>
        <w:t xml:space="preserve">. </w:t>
      </w:r>
      <w:proofErr w:type="gramStart"/>
      <w:r w:rsidR="00737771">
        <w:rPr>
          <w:lang w:val="en-US"/>
        </w:rPr>
        <w:t>and</w:t>
      </w:r>
      <w:proofErr w:type="gramEnd"/>
      <w:r w:rsidR="0084058A" w:rsidRPr="0084058A">
        <w:rPr>
          <w:lang w:val="en-US"/>
        </w:rPr>
        <w:t xml:space="preserve"> van </w:t>
      </w:r>
      <w:proofErr w:type="spellStart"/>
      <w:r w:rsidR="0084058A" w:rsidRPr="0084058A">
        <w:rPr>
          <w:lang w:val="en-US"/>
        </w:rPr>
        <w:t>Gunsteren</w:t>
      </w:r>
      <w:proofErr w:type="spellEnd"/>
      <w:r w:rsidR="0084058A" w:rsidRPr="0084058A">
        <w:rPr>
          <w:lang w:val="en-US"/>
        </w:rPr>
        <w:t>, H (eds.)</w:t>
      </w:r>
      <w:r w:rsidR="00DB7B77">
        <w:rPr>
          <w:lang w:val="en-US"/>
        </w:rPr>
        <w:t>,</w:t>
      </w:r>
      <w:r w:rsidR="0084058A" w:rsidRPr="0084058A">
        <w:rPr>
          <w:lang w:val="en-US"/>
        </w:rPr>
        <w:t xml:space="preserve"> </w:t>
      </w:r>
      <w:r w:rsidR="0084058A" w:rsidRPr="0084058A">
        <w:rPr>
          <w:i/>
          <w:lang w:val="en-US"/>
        </w:rPr>
        <w:t>Time for Retirement: Comparative Studies on Early Exit from the Labor Force</w:t>
      </w:r>
      <w:r w:rsidR="0084058A" w:rsidRPr="0084058A">
        <w:rPr>
          <w:lang w:val="en-US"/>
        </w:rPr>
        <w:t>. Cambridge University Press,</w:t>
      </w:r>
      <w:r w:rsidR="00DB7B77">
        <w:rPr>
          <w:lang w:val="en-US"/>
        </w:rPr>
        <w:t xml:space="preserve"> New York, NY, </w:t>
      </w:r>
      <w:r w:rsidR="009A4BFA">
        <w:rPr>
          <w:lang w:val="en-US"/>
        </w:rPr>
        <w:t>pp.</w:t>
      </w:r>
      <w:r w:rsidR="0084058A" w:rsidRPr="0084058A">
        <w:rPr>
          <w:lang w:val="en-US"/>
        </w:rPr>
        <w:t xml:space="preserve"> 362-87.</w:t>
      </w:r>
    </w:p>
    <w:p w:rsidR="0084058A" w:rsidRDefault="0084058A" w:rsidP="00761FA1">
      <w:pPr>
        <w:spacing w:after="120" w:line="240" w:lineRule="auto"/>
        <w:ind w:hanging="11"/>
        <w:jc w:val="both"/>
        <w:rPr>
          <w:lang w:val="en-US"/>
        </w:rPr>
      </w:pPr>
      <w:proofErr w:type="spellStart"/>
      <w:r w:rsidRPr="0084058A">
        <w:rPr>
          <w:lang w:val="en-US"/>
        </w:rPr>
        <w:t>Hofäcker</w:t>
      </w:r>
      <w:proofErr w:type="spellEnd"/>
      <w:r w:rsidRPr="0084058A">
        <w:rPr>
          <w:lang w:val="en-US"/>
        </w:rPr>
        <w:t xml:space="preserve">, </w:t>
      </w:r>
      <w:r>
        <w:rPr>
          <w:lang w:val="en-US"/>
        </w:rPr>
        <w:t>D. (</w:t>
      </w:r>
      <w:r w:rsidRPr="0084058A">
        <w:rPr>
          <w:lang w:val="en-US"/>
        </w:rPr>
        <w:t>2010</w:t>
      </w:r>
      <w:r w:rsidR="00DB7B77">
        <w:rPr>
          <w:lang w:val="en-US"/>
        </w:rPr>
        <w:t>),</w:t>
      </w:r>
      <w:r w:rsidRPr="0084058A">
        <w:rPr>
          <w:lang w:val="en-US"/>
        </w:rPr>
        <w:t xml:space="preserve"> </w:t>
      </w:r>
      <w:r w:rsidRPr="0084058A">
        <w:rPr>
          <w:i/>
          <w:lang w:val="en-US"/>
        </w:rPr>
        <w:t xml:space="preserve">Older Workers in a Globalizing World. </w:t>
      </w:r>
      <w:proofErr w:type="gramStart"/>
      <w:r w:rsidRPr="0084058A">
        <w:rPr>
          <w:i/>
          <w:lang w:val="en-US"/>
        </w:rPr>
        <w:t>An International Comparison of Retirement and Late-Career Patterns in Western Industrialized Societies</w:t>
      </w:r>
      <w:r w:rsidR="00DB7B77">
        <w:rPr>
          <w:lang w:val="en-US"/>
        </w:rPr>
        <w:t>.</w:t>
      </w:r>
      <w:proofErr w:type="gramEnd"/>
      <w:r w:rsidR="00DB7B77">
        <w:rPr>
          <w:lang w:val="en-US"/>
        </w:rPr>
        <w:t xml:space="preserve"> Cheltenham, UK,</w:t>
      </w:r>
      <w:r w:rsidRPr="0084058A">
        <w:rPr>
          <w:lang w:val="en-US"/>
        </w:rPr>
        <w:t xml:space="preserve"> Edward Elgar.</w:t>
      </w:r>
    </w:p>
    <w:p w:rsidR="0084058A" w:rsidRPr="0084058A" w:rsidRDefault="00C10DE5" w:rsidP="00761FA1">
      <w:pPr>
        <w:spacing w:after="120" w:line="240" w:lineRule="auto"/>
        <w:jc w:val="both"/>
        <w:rPr>
          <w:lang w:val="en-US"/>
        </w:rPr>
      </w:pPr>
      <w:proofErr w:type="spellStart"/>
      <w:proofErr w:type="gramStart"/>
      <w:r w:rsidRPr="0084058A">
        <w:rPr>
          <w:lang w:val="en-US"/>
        </w:rPr>
        <w:t>Hofäcker</w:t>
      </w:r>
      <w:proofErr w:type="spellEnd"/>
      <w:r w:rsidR="0084058A">
        <w:rPr>
          <w:lang w:val="en-US"/>
        </w:rPr>
        <w:t>, D.</w:t>
      </w:r>
      <w:r w:rsidRPr="0084058A">
        <w:rPr>
          <w:lang w:val="en-US"/>
        </w:rPr>
        <w:t xml:space="preserve"> </w:t>
      </w:r>
      <w:r w:rsidR="00737771">
        <w:rPr>
          <w:lang w:val="en-US"/>
        </w:rPr>
        <w:t>and</w:t>
      </w:r>
      <w:r w:rsidRPr="0084058A">
        <w:rPr>
          <w:lang w:val="en-US"/>
        </w:rPr>
        <w:t xml:space="preserve"> </w:t>
      </w:r>
      <w:proofErr w:type="spellStart"/>
      <w:r w:rsidRPr="0084058A">
        <w:rPr>
          <w:lang w:val="en-US"/>
        </w:rPr>
        <w:t>Pollnerová</w:t>
      </w:r>
      <w:proofErr w:type="spellEnd"/>
      <w:r w:rsidR="0084058A" w:rsidRPr="0084058A">
        <w:rPr>
          <w:lang w:val="en-US"/>
        </w:rPr>
        <w:t>, Š.</w:t>
      </w:r>
      <w:r w:rsidRPr="0084058A">
        <w:rPr>
          <w:lang w:val="en-US"/>
        </w:rPr>
        <w:t xml:space="preserve"> </w:t>
      </w:r>
      <w:r w:rsidR="0084058A">
        <w:rPr>
          <w:lang w:val="en-US"/>
        </w:rPr>
        <w:t>(</w:t>
      </w:r>
      <w:r w:rsidRPr="0084058A">
        <w:rPr>
          <w:lang w:val="en-US"/>
        </w:rPr>
        <w:t>2006</w:t>
      </w:r>
      <w:r w:rsidR="0084058A">
        <w:rPr>
          <w:lang w:val="en-US"/>
        </w:rPr>
        <w:t>)</w:t>
      </w:r>
      <w:r w:rsidR="00F563DD">
        <w:rPr>
          <w:lang w:val="en-US"/>
        </w:rPr>
        <w:t>,</w:t>
      </w:r>
      <w:r w:rsidR="0084058A">
        <w:rPr>
          <w:lang w:val="en-US"/>
        </w:rPr>
        <w:t xml:space="preserve"> </w:t>
      </w:r>
      <w:r w:rsidR="009A4BFA">
        <w:rPr>
          <w:lang w:val="en-US"/>
        </w:rPr>
        <w:t>“</w:t>
      </w:r>
      <w:r w:rsidR="0084058A" w:rsidRPr="0084058A">
        <w:rPr>
          <w:lang w:val="en-US"/>
        </w:rPr>
        <w:t>Late careers and career exits.</w:t>
      </w:r>
      <w:proofErr w:type="gramEnd"/>
      <w:r w:rsidR="0084058A" w:rsidRPr="0084058A">
        <w:rPr>
          <w:lang w:val="en-US"/>
        </w:rPr>
        <w:t xml:space="preserve"> An international comparison of trends and institutional background patterns</w:t>
      </w:r>
      <w:r w:rsidR="009A4BFA">
        <w:rPr>
          <w:lang w:val="en-US"/>
        </w:rPr>
        <w:t>”,</w:t>
      </w:r>
      <w:r w:rsidR="0084058A" w:rsidRPr="0084058A">
        <w:rPr>
          <w:lang w:val="en-US"/>
        </w:rPr>
        <w:t xml:space="preserve"> </w:t>
      </w:r>
      <w:r w:rsidR="009A4BFA">
        <w:rPr>
          <w:lang w:val="en-US"/>
        </w:rPr>
        <w:t>i</w:t>
      </w:r>
      <w:r w:rsidR="0084058A" w:rsidRPr="0084058A">
        <w:rPr>
          <w:lang w:val="en-US"/>
        </w:rPr>
        <w:t xml:space="preserve">n </w:t>
      </w:r>
      <w:proofErr w:type="spellStart"/>
      <w:r w:rsidR="0084058A" w:rsidRPr="00BE786E">
        <w:rPr>
          <w:lang w:val="en-US"/>
        </w:rPr>
        <w:t>Blossfeld</w:t>
      </w:r>
      <w:proofErr w:type="spellEnd"/>
      <w:r w:rsidR="0084058A" w:rsidRPr="00BE786E">
        <w:rPr>
          <w:lang w:val="en-US"/>
        </w:rPr>
        <w:t xml:space="preserve">, H.-P., Buchholz, S. and </w:t>
      </w:r>
      <w:proofErr w:type="spellStart"/>
      <w:r w:rsidR="0084058A" w:rsidRPr="00BE786E">
        <w:rPr>
          <w:lang w:val="en-US"/>
        </w:rPr>
        <w:t>Hofäcker</w:t>
      </w:r>
      <w:proofErr w:type="spellEnd"/>
      <w:r w:rsidR="0084058A" w:rsidRPr="00BE786E">
        <w:rPr>
          <w:lang w:val="en-US"/>
        </w:rPr>
        <w:t>, D. (</w:t>
      </w:r>
      <w:proofErr w:type="spellStart"/>
      <w:r w:rsidR="00DB7B77">
        <w:rPr>
          <w:lang w:val="en-US"/>
        </w:rPr>
        <w:t>eds</w:t>
      </w:r>
      <w:proofErr w:type="spellEnd"/>
      <w:r w:rsidR="00DB7B77">
        <w:rPr>
          <w:lang w:val="en-US"/>
        </w:rPr>
        <w:t>),</w:t>
      </w:r>
      <w:r w:rsidR="0084058A" w:rsidRPr="00BE786E">
        <w:rPr>
          <w:lang w:val="en-US"/>
        </w:rPr>
        <w:t xml:space="preserve"> </w:t>
      </w:r>
      <w:r w:rsidR="0084058A" w:rsidRPr="00BE786E">
        <w:rPr>
          <w:i/>
          <w:lang w:val="en-US"/>
        </w:rPr>
        <w:t>Globalization, uncertainty and late careers in society</w:t>
      </w:r>
      <w:r w:rsidR="0084058A" w:rsidRPr="00BE786E">
        <w:rPr>
          <w:lang w:val="en-US"/>
        </w:rPr>
        <w:t xml:space="preserve">, </w:t>
      </w:r>
      <w:proofErr w:type="spellStart"/>
      <w:r w:rsidR="00DB7B77" w:rsidRPr="00BE786E">
        <w:rPr>
          <w:lang w:val="en-US"/>
        </w:rPr>
        <w:t>Routledge</w:t>
      </w:r>
      <w:proofErr w:type="spellEnd"/>
      <w:r w:rsidR="00DB7B77">
        <w:rPr>
          <w:lang w:val="en-US"/>
        </w:rPr>
        <w:t xml:space="preserve">, </w:t>
      </w:r>
      <w:r w:rsidR="0084058A" w:rsidRPr="00BE786E">
        <w:rPr>
          <w:lang w:val="en-US"/>
        </w:rPr>
        <w:t>London et al</w:t>
      </w:r>
      <w:r w:rsidR="00F563DD">
        <w:rPr>
          <w:lang w:val="en-US"/>
        </w:rPr>
        <w:t>.</w:t>
      </w:r>
      <w:r w:rsidR="00DB7B77">
        <w:rPr>
          <w:lang w:val="en-US"/>
        </w:rPr>
        <w:t>,</w:t>
      </w:r>
      <w:r w:rsidR="0084058A" w:rsidRPr="0084058A">
        <w:rPr>
          <w:lang w:val="en-US"/>
        </w:rPr>
        <w:t xml:space="preserve"> </w:t>
      </w:r>
      <w:r w:rsidR="009A4BFA">
        <w:rPr>
          <w:lang w:val="en-US"/>
        </w:rPr>
        <w:t xml:space="preserve">pp. </w:t>
      </w:r>
      <w:r w:rsidR="0084058A" w:rsidRPr="0084058A">
        <w:rPr>
          <w:lang w:val="en-US"/>
        </w:rPr>
        <w:t>25-53.</w:t>
      </w:r>
    </w:p>
    <w:p w:rsidR="0039549D" w:rsidRPr="0039549D" w:rsidRDefault="0039549D" w:rsidP="00761FA1">
      <w:pPr>
        <w:spacing w:after="120" w:line="240" w:lineRule="auto"/>
        <w:jc w:val="both"/>
        <w:rPr>
          <w:lang w:val="en-US"/>
        </w:rPr>
      </w:pPr>
      <w:r w:rsidRPr="0039549D">
        <w:rPr>
          <w:lang w:val="en-US"/>
        </w:rPr>
        <w:t>Hutchens, R. (1999)</w:t>
      </w:r>
      <w:r w:rsidR="00F563DD">
        <w:rPr>
          <w:lang w:val="en-US"/>
        </w:rPr>
        <w:t>,</w:t>
      </w:r>
      <w:r w:rsidRPr="0039549D">
        <w:rPr>
          <w:lang w:val="en-US"/>
        </w:rPr>
        <w:t xml:space="preserve"> </w:t>
      </w:r>
      <w:r w:rsidR="00F563DD">
        <w:rPr>
          <w:lang w:val="en-US"/>
        </w:rPr>
        <w:t>“</w:t>
      </w:r>
      <w:r w:rsidRPr="0039549D">
        <w:rPr>
          <w:lang w:val="en-US"/>
        </w:rPr>
        <w:t xml:space="preserve">Social security benefits and employer </w:t>
      </w:r>
      <w:proofErr w:type="spellStart"/>
      <w:r w:rsidRPr="0039549D">
        <w:rPr>
          <w:lang w:val="en-US"/>
        </w:rPr>
        <w:t>behaviour</w:t>
      </w:r>
      <w:proofErr w:type="spellEnd"/>
      <w:r w:rsidRPr="0039549D">
        <w:rPr>
          <w:lang w:val="en-US"/>
        </w:rPr>
        <w:t>: Evaluating social security early retirement benefits as a form of unemployment insurance</w:t>
      </w:r>
      <w:r w:rsidR="00F563DD">
        <w:rPr>
          <w:lang w:val="en-US"/>
        </w:rPr>
        <w:t>”</w:t>
      </w:r>
      <w:r>
        <w:rPr>
          <w:lang w:val="en-US"/>
        </w:rPr>
        <w:t xml:space="preserve">, </w:t>
      </w:r>
      <w:r w:rsidRPr="0039549D">
        <w:rPr>
          <w:i/>
          <w:lang w:val="en-US"/>
        </w:rPr>
        <w:t>International Economic Review</w:t>
      </w:r>
      <w:r w:rsidR="00F563DD">
        <w:rPr>
          <w:i/>
          <w:lang w:val="en-US"/>
        </w:rPr>
        <w:t xml:space="preserve">, </w:t>
      </w:r>
      <w:r w:rsidR="00F563DD" w:rsidRPr="00F563DD">
        <w:rPr>
          <w:lang w:val="en-US"/>
        </w:rPr>
        <w:t>Vol.</w:t>
      </w:r>
      <w:r w:rsidRPr="0039549D">
        <w:rPr>
          <w:lang w:val="en-US"/>
        </w:rPr>
        <w:t xml:space="preserve"> 40, </w:t>
      </w:r>
      <w:r w:rsidR="00F563DD">
        <w:rPr>
          <w:lang w:val="en-US"/>
        </w:rPr>
        <w:t xml:space="preserve">No. </w:t>
      </w:r>
      <w:r w:rsidRPr="0039549D">
        <w:rPr>
          <w:lang w:val="en-US"/>
        </w:rPr>
        <w:t xml:space="preserve">3, </w:t>
      </w:r>
      <w:r w:rsidR="00F563DD">
        <w:rPr>
          <w:lang w:val="en-US"/>
        </w:rPr>
        <w:t xml:space="preserve">pp. </w:t>
      </w:r>
      <w:r w:rsidRPr="0039549D">
        <w:rPr>
          <w:lang w:val="en-US"/>
        </w:rPr>
        <w:t xml:space="preserve">659-678. </w:t>
      </w:r>
    </w:p>
    <w:p w:rsidR="000F61CD" w:rsidRPr="00DB7B77" w:rsidRDefault="000F61CD" w:rsidP="00761FA1">
      <w:pPr>
        <w:spacing w:after="120" w:line="240" w:lineRule="auto"/>
        <w:jc w:val="both"/>
        <w:rPr>
          <w:lang w:val="en-US"/>
        </w:rPr>
      </w:pPr>
      <w:proofErr w:type="spellStart"/>
      <w:r w:rsidRPr="006B0A3E">
        <w:rPr>
          <w:lang w:val="en-US"/>
        </w:rPr>
        <w:t>Jepsen</w:t>
      </w:r>
      <w:proofErr w:type="spellEnd"/>
      <w:r w:rsidRPr="006B0A3E">
        <w:rPr>
          <w:lang w:val="en-US"/>
        </w:rPr>
        <w:t xml:space="preserve">, </w:t>
      </w:r>
      <w:r w:rsidR="00C10DE5" w:rsidRPr="006B0A3E">
        <w:rPr>
          <w:lang w:val="en-US"/>
        </w:rPr>
        <w:t xml:space="preserve">M., </w:t>
      </w:r>
      <w:proofErr w:type="spellStart"/>
      <w:r w:rsidRPr="006B0A3E">
        <w:rPr>
          <w:lang w:val="en-US"/>
        </w:rPr>
        <w:t>Foden</w:t>
      </w:r>
      <w:proofErr w:type="spellEnd"/>
      <w:r w:rsidR="00C10DE5" w:rsidRPr="006B0A3E">
        <w:rPr>
          <w:lang w:val="en-US"/>
        </w:rPr>
        <w:t>, D.</w:t>
      </w:r>
      <w:r w:rsidRPr="006B0A3E">
        <w:rPr>
          <w:lang w:val="en-US"/>
        </w:rPr>
        <w:t xml:space="preserve"> </w:t>
      </w:r>
      <w:r w:rsidR="00737771">
        <w:rPr>
          <w:lang w:val="en-US"/>
        </w:rPr>
        <w:t xml:space="preserve">and </w:t>
      </w:r>
      <w:proofErr w:type="spellStart"/>
      <w:r w:rsidRPr="006B0A3E">
        <w:rPr>
          <w:lang w:val="en-US"/>
        </w:rPr>
        <w:t>Hutsebaut</w:t>
      </w:r>
      <w:proofErr w:type="spellEnd"/>
      <w:r w:rsidRPr="006B0A3E">
        <w:rPr>
          <w:lang w:val="en-US"/>
        </w:rPr>
        <w:t xml:space="preserve">, </w:t>
      </w:r>
      <w:r w:rsidR="00C10DE5" w:rsidRPr="006B0A3E">
        <w:rPr>
          <w:lang w:val="en-US"/>
        </w:rPr>
        <w:t xml:space="preserve">M. </w:t>
      </w:r>
      <w:r w:rsidRPr="006B0A3E">
        <w:rPr>
          <w:lang w:val="en-US"/>
        </w:rPr>
        <w:t xml:space="preserve">(eds.) </w:t>
      </w:r>
      <w:r w:rsidRPr="00AA5756">
        <w:rPr>
          <w:lang w:val="en-GB"/>
        </w:rPr>
        <w:t>(2002)</w:t>
      </w:r>
      <w:proofErr w:type="gramStart"/>
      <w:r w:rsidR="00DB7B77">
        <w:rPr>
          <w:lang w:val="en-GB"/>
        </w:rPr>
        <w:t>,</w:t>
      </w:r>
      <w:r w:rsidRPr="00AA5756">
        <w:rPr>
          <w:lang w:val="en-GB"/>
        </w:rPr>
        <w:t xml:space="preserve">  </w:t>
      </w:r>
      <w:r w:rsidRPr="00AA5756">
        <w:rPr>
          <w:rStyle w:val="Hervorhebung"/>
          <w:lang w:val="en-GB"/>
        </w:rPr>
        <w:t>Active</w:t>
      </w:r>
      <w:proofErr w:type="gramEnd"/>
      <w:r w:rsidRPr="00AA5756">
        <w:rPr>
          <w:rStyle w:val="Hervorhebung"/>
          <w:lang w:val="en-GB"/>
        </w:rPr>
        <w:t xml:space="preserve"> Strategies for Older Workers</w:t>
      </w:r>
      <w:r w:rsidR="00DB7B77">
        <w:rPr>
          <w:lang w:val="en-GB"/>
        </w:rPr>
        <w:t>,</w:t>
      </w:r>
      <w:r w:rsidRPr="00AA5756">
        <w:rPr>
          <w:lang w:val="en-GB"/>
        </w:rPr>
        <w:t xml:space="preserve"> </w:t>
      </w:r>
      <w:r w:rsidRPr="00DB7B77">
        <w:rPr>
          <w:lang w:val="en-US"/>
        </w:rPr>
        <w:t>European Trade Union Institute</w:t>
      </w:r>
      <w:r w:rsidR="00DB7B77">
        <w:rPr>
          <w:lang w:val="en-US"/>
        </w:rPr>
        <w:t>, Brussels</w:t>
      </w:r>
      <w:r w:rsidRPr="00DB7B77">
        <w:rPr>
          <w:lang w:val="en-US"/>
        </w:rPr>
        <w:t>.</w:t>
      </w:r>
    </w:p>
    <w:p w:rsidR="006B5FCC" w:rsidRPr="006B0A3E" w:rsidRDefault="006B5FCC" w:rsidP="00761FA1">
      <w:pPr>
        <w:spacing w:after="120" w:line="240" w:lineRule="auto"/>
        <w:jc w:val="both"/>
        <w:rPr>
          <w:lang w:val="en-US"/>
        </w:rPr>
      </w:pPr>
      <w:r w:rsidRPr="0084058A">
        <w:t>Koenen</w:t>
      </w:r>
      <w:r w:rsidR="0084058A" w:rsidRPr="0084058A">
        <w:t xml:space="preserve">, F., Reichert, T. </w:t>
      </w:r>
      <w:proofErr w:type="spellStart"/>
      <w:r w:rsidR="00737771" w:rsidRPr="00737771">
        <w:t>and</w:t>
      </w:r>
      <w:proofErr w:type="spellEnd"/>
      <w:r w:rsidR="00737771" w:rsidRPr="00737771">
        <w:t xml:space="preserve"> </w:t>
      </w:r>
      <w:r w:rsidR="0084058A" w:rsidRPr="0084058A">
        <w:t>Zapf, I. (</w:t>
      </w:r>
      <w:r w:rsidRPr="0084058A">
        <w:t>2009</w:t>
      </w:r>
      <w:r w:rsidR="0084058A" w:rsidRPr="0084058A">
        <w:t>)</w:t>
      </w:r>
      <w:r w:rsidR="00F563DD">
        <w:t>,</w:t>
      </w:r>
      <w:r w:rsidRPr="0084058A">
        <w:t xml:space="preserve"> </w:t>
      </w:r>
      <w:r w:rsidR="009A4BFA">
        <w:t>„</w:t>
      </w:r>
      <w:r w:rsidR="0084058A" w:rsidRPr="0084058A">
        <w:t>Freiwillige und unfreiwillige Frühverrentung in Deutschland: Effekte von Arbeitsmarktstrukturen und Geschlecht</w:t>
      </w:r>
      <w:r w:rsidR="009A4BFA">
        <w:t>“,</w:t>
      </w:r>
      <w:r w:rsidR="0084058A" w:rsidRPr="0084058A">
        <w:t xml:space="preserve"> in </w:t>
      </w:r>
      <w:r w:rsidR="0084058A">
        <w:t>Engelhardt, H</w:t>
      </w:r>
      <w:r w:rsidR="009A4BFA">
        <w:t>.</w:t>
      </w:r>
      <w:r w:rsidR="0084058A">
        <w:t xml:space="preserve"> (</w:t>
      </w:r>
      <w:proofErr w:type="spellStart"/>
      <w:r w:rsidR="009A4BFA">
        <w:t>e</w:t>
      </w:r>
      <w:r w:rsidR="0084058A">
        <w:t>d</w:t>
      </w:r>
      <w:proofErr w:type="spellEnd"/>
      <w:r w:rsidR="0084058A">
        <w:t xml:space="preserve">.): </w:t>
      </w:r>
      <w:r w:rsidR="003072D7">
        <w:t xml:space="preserve"> Altern in Europa:</w:t>
      </w:r>
      <w:r w:rsidR="0084058A" w:rsidRPr="0084058A">
        <w:t xml:space="preserve"> Empirische Analysen mit dem Survey </w:t>
      </w:r>
      <w:proofErr w:type="spellStart"/>
      <w:r w:rsidR="0084058A" w:rsidRPr="0084058A">
        <w:t>of</w:t>
      </w:r>
      <w:proofErr w:type="spellEnd"/>
      <w:r w:rsidR="0084058A" w:rsidRPr="0084058A">
        <w:t xml:space="preserve"> </w:t>
      </w:r>
      <w:proofErr w:type="spellStart"/>
      <w:r w:rsidR="0084058A" w:rsidRPr="0084058A">
        <w:t>Health</w:t>
      </w:r>
      <w:proofErr w:type="spellEnd"/>
      <w:r w:rsidR="0084058A" w:rsidRPr="0084058A">
        <w:t xml:space="preserve">, </w:t>
      </w:r>
      <w:proofErr w:type="spellStart"/>
      <w:r w:rsidR="0084058A" w:rsidRPr="0084058A">
        <w:t>Ageing</w:t>
      </w:r>
      <w:proofErr w:type="spellEnd"/>
      <w:r w:rsidR="0084058A" w:rsidRPr="0084058A">
        <w:t xml:space="preserve"> </w:t>
      </w:r>
      <w:proofErr w:type="spellStart"/>
      <w:r w:rsidR="0084058A" w:rsidRPr="0084058A">
        <w:t>and</w:t>
      </w:r>
      <w:proofErr w:type="spellEnd"/>
      <w:r w:rsidR="0084058A" w:rsidRPr="0084058A">
        <w:t xml:space="preserve"> </w:t>
      </w:r>
      <w:proofErr w:type="spellStart"/>
      <w:r w:rsidR="0084058A" w:rsidRPr="0084058A">
        <w:t>Retirement</w:t>
      </w:r>
      <w:proofErr w:type="spellEnd"/>
      <w:r w:rsidR="0084058A" w:rsidRPr="0084058A">
        <w:t xml:space="preserve"> in Europe</w:t>
      </w:r>
      <w:r w:rsidR="0084058A">
        <w:t xml:space="preserve">", </w:t>
      </w:r>
      <w:r w:rsidR="0084058A">
        <w:rPr>
          <w:rStyle w:val="Hervorhebung"/>
        </w:rPr>
        <w:t xml:space="preserve">Bamberger </w:t>
      </w:r>
      <w:r w:rsidR="0084058A" w:rsidRPr="00122679">
        <w:rPr>
          <w:i/>
          <w:iCs/>
        </w:rPr>
        <w:t xml:space="preserve">Beiträge zur Soziologie </w:t>
      </w:r>
      <w:proofErr w:type="spellStart"/>
      <w:r w:rsidR="00122679" w:rsidRPr="00122679">
        <w:rPr>
          <w:i/>
          <w:iCs/>
        </w:rPr>
        <w:t>No</w:t>
      </w:r>
      <w:proofErr w:type="spellEnd"/>
      <w:r w:rsidR="00122679" w:rsidRPr="00122679">
        <w:rPr>
          <w:i/>
          <w:iCs/>
        </w:rPr>
        <w:t xml:space="preserve">. </w:t>
      </w:r>
      <w:r w:rsidR="0084058A" w:rsidRPr="00122679">
        <w:rPr>
          <w:i/>
          <w:iCs/>
        </w:rPr>
        <w:t>1</w:t>
      </w:r>
      <w:r w:rsidR="00122679" w:rsidRPr="00122679">
        <w:rPr>
          <w:i/>
          <w:iCs/>
        </w:rPr>
        <w:t xml:space="preserve">, </w:t>
      </w:r>
      <w:r w:rsidR="0084058A">
        <w:t xml:space="preserve">. </w:t>
      </w:r>
      <w:r w:rsidR="0084058A" w:rsidRPr="006B0A3E">
        <w:rPr>
          <w:lang w:val="en-US"/>
        </w:rPr>
        <w:t>University of Bamberg Pres</w:t>
      </w:r>
      <w:r w:rsidR="00122679" w:rsidRPr="006B0A3E">
        <w:rPr>
          <w:lang w:val="en-US"/>
        </w:rPr>
        <w:t>s,</w:t>
      </w:r>
      <w:r w:rsidR="00DB7B77" w:rsidRPr="006B0A3E">
        <w:rPr>
          <w:lang w:val="en-US"/>
        </w:rPr>
        <w:t xml:space="preserve"> Bamberg,</w:t>
      </w:r>
      <w:r w:rsidR="00122679" w:rsidRPr="006B0A3E">
        <w:rPr>
          <w:lang w:val="en-US"/>
        </w:rPr>
        <w:t xml:space="preserve"> </w:t>
      </w:r>
      <w:r w:rsidR="009A4BFA" w:rsidRPr="006B0A3E">
        <w:rPr>
          <w:lang w:val="en-US"/>
        </w:rPr>
        <w:t xml:space="preserve">pp. </w:t>
      </w:r>
      <w:r w:rsidR="00122679" w:rsidRPr="006B0A3E">
        <w:rPr>
          <w:lang w:val="en-US"/>
        </w:rPr>
        <w:t>57-91.</w:t>
      </w:r>
    </w:p>
    <w:p w:rsidR="00122679" w:rsidRPr="00122679" w:rsidRDefault="00122679" w:rsidP="00761FA1">
      <w:pPr>
        <w:spacing w:after="120" w:line="240" w:lineRule="auto"/>
        <w:ind w:hanging="11"/>
        <w:jc w:val="both"/>
        <w:rPr>
          <w:lang w:val="en-US"/>
        </w:rPr>
      </w:pPr>
      <w:proofErr w:type="spellStart"/>
      <w:r w:rsidRPr="00122679">
        <w:rPr>
          <w:lang w:val="en-US"/>
        </w:rPr>
        <w:t>Kohli</w:t>
      </w:r>
      <w:proofErr w:type="spellEnd"/>
      <w:r w:rsidRPr="00122679">
        <w:rPr>
          <w:lang w:val="en-US"/>
        </w:rPr>
        <w:t>, M.</w:t>
      </w:r>
      <w:r>
        <w:rPr>
          <w:lang w:val="en-US"/>
        </w:rPr>
        <w:t>,</w:t>
      </w:r>
      <w:r w:rsidRPr="00122679">
        <w:rPr>
          <w:lang w:val="en-US"/>
        </w:rPr>
        <w:t xml:space="preserve"> Rein, M</w:t>
      </w:r>
      <w:r>
        <w:rPr>
          <w:lang w:val="en-US"/>
        </w:rPr>
        <w:t>.,</w:t>
      </w:r>
      <w:r w:rsidRPr="00122679">
        <w:rPr>
          <w:lang w:val="en-US"/>
        </w:rPr>
        <w:t xml:space="preserve"> </w:t>
      </w:r>
      <w:proofErr w:type="spellStart"/>
      <w:r w:rsidRPr="00122679">
        <w:rPr>
          <w:lang w:val="en-US"/>
        </w:rPr>
        <w:t>Guillemard</w:t>
      </w:r>
      <w:proofErr w:type="spellEnd"/>
      <w:r w:rsidRPr="00122679">
        <w:rPr>
          <w:lang w:val="en-US"/>
        </w:rPr>
        <w:t>, A</w:t>
      </w:r>
      <w:r>
        <w:rPr>
          <w:lang w:val="en-US"/>
        </w:rPr>
        <w:t>.</w:t>
      </w:r>
      <w:r w:rsidRPr="00122679">
        <w:rPr>
          <w:lang w:val="en-US"/>
        </w:rPr>
        <w:t>-M</w:t>
      </w:r>
      <w:r>
        <w:rPr>
          <w:lang w:val="en-US"/>
        </w:rPr>
        <w:t xml:space="preserve">. </w:t>
      </w:r>
      <w:proofErr w:type="gramStart"/>
      <w:r w:rsidR="00737771">
        <w:rPr>
          <w:lang w:val="en-US"/>
        </w:rPr>
        <w:t>and</w:t>
      </w:r>
      <w:proofErr w:type="gramEnd"/>
      <w:r w:rsidR="00737771">
        <w:rPr>
          <w:lang w:val="en-US"/>
        </w:rPr>
        <w:t xml:space="preserve"> </w:t>
      </w:r>
      <w:r w:rsidRPr="00122679">
        <w:rPr>
          <w:lang w:val="en-US"/>
        </w:rPr>
        <w:t xml:space="preserve">van </w:t>
      </w:r>
      <w:proofErr w:type="spellStart"/>
      <w:r w:rsidRPr="00122679">
        <w:rPr>
          <w:lang w:val="en-US"/>
        </w:rPr>
        <w:t>Gunsteren</w:t>
      </w:r>
      <w:proofErr w:type="spellEnd"/>
      <w:r w:rsidRPr="00122679">
        <w:rPr>
          <w:lang w:val="en-US"/>
        </w:rPr>
        <w:t>, H</w:t>
      </w:r>
      <w:r>
        <w:rPr>
          <w:lang w:val="en-US"/>
        </w:rPr>
        <w:t>.</w:t>
      </w:r>
      <w:r w:rsidRPr="00122679">
        <w:rPr>
          <w:lang w:val="en-US"/>
        </w:rPr>
        <w:t xml:space="preserve"> (eds.) </w:t>
      </w:r>
      <w:r>
        <w:rPr>
          <w:lang w:val="en-US"/>
        </w:rPr>
        <w:t>(</w:t>
      </w:r>
      <w:r w:rsidRPr="00122679">
        <w:rPr>
          <w:lang w:val="en-US"/>
        </w:rPr>
        <w:t>1991</w:t>
      </w:r>
      <w:r>
        <w:rPr>
          <w:lang w:val="en-US"/>
        </w:rPr>
        <w:t>)</w:t>
      </w:r>
      <w:r w:rsidR="00DB7B77">
        <w:rPr>
          <w:lang w:val="en-US"/>
        </w:rPr>
        <w:t>,</w:t>
      </w:r>
      <w:r w:rsidRPr="00122679">
        <w:rPr>
          <w:lang w:val="en-US"/>
        </w:rPr>
        <w:t xml:space="preserve"> </w:t>
      </w:r>
      <w:r w:rsidRPr="00122679">
        <w:rPr>
          <w:i/>
          <w:lang w:val="en-US"/>
        </w:rPr>
        <w:t>Time for Retirement: Comparative Studies on Early Exit from the Labor Force</w:t>
      </w:r>
      <w:r>
        <w:rPr>
          <w:i/>
          <w:lang w:val="en-US"/>
        </w:rPr>
        <w:t>,</w:t>
      </w:r>
      <w:r w:rsidRPr="00122679">
        <w:rPr>
          <w:lang w:val="en-US"/>
        </w:rPr>
        <w:t xml:space="preserve"> Cambridge University Press</w:t>
      </w:r>
      <w:r w:rsidR="00DB7B77">
        <w:rPr>
          <w:lang w:val="en-US"/>
        </w:rPr>
        <w:t>, New York, NY</w:t>
      </w:r>
      <w:r w:rsidRPr="00122679">
        <w:rPr>
          <w:lang w:val="en-US"/>
        </w:rPr>
        <w:t>.</w:t>
      </w:r>
    </w:p>
    <w:p w:rsidR="004B1B4D" w:rsidRPr="004B1B4D" w:rsidRDefault="00B24201" w:rsidP="00761FA1">
      <w:pPr>
        <w:spacing w:after="120" w:line="240" w:lineRule="auto"/>
        <w:ind w:hanging="11"/>
        <w:jc w:val="both"/>
        <w:rPr>
          <w:lang w:val="en-US"/>
        </w:rPr>
      </w:pPr>
      <w:proofErr w:type="spellStart"/>
      <w:r w:rsidRPr="004B1B4D">
        <w:rPr>
          <w:lang w:val="en-US"/>
        </w:rPr>
        <w:t>Kohli</w:t>
      </w:r>
      <w:proofErr w:type="spellEnd"/>
      <w:r w:rsidRPr="004B1B4D">
        <w:rPr>
          <w:lang w:val="en-US"/>
        </w:rPr>
        <w:t>, M</w:t>
      </w:r>
      <w:r w:rsidR="0057074F">
        <w:rPr>
          <w:lang w:val="en-US"/>
        </w:rPr>
        <w:t xml:space="preserve">. </w:t>
      </w:r>
      <w:r w:rsidRPr="004B1B4D">
        <w:rPr>
          <w:lang w:val="en-US"/>
        </w:rPr>
        <w:t>(1987)</w:t>
      </w:r>
      <w:r w:rsidR="00F563DD">
        <w:rPr>
          <w:lang w:val="en-US"/>
        </w:rPr>
        <w:t>,</w:t>
      </w:r>
      <w:r w:rsidRPr="004B1B4D">
        <w:rPr>
          <w:lang w:val="en-US"/>
        </w:rPr>
        <w:t xml:space="preserve"> </w:t>
      </w:r>
      <w:r w:rsidR="00F563DD">
        <w:rPr>
          <w:lang w:val="en-US"/>
        </w:rPr>
        <w:t>“</w:t>
      </w:r>
      <w:r w:rsidR="004B1B4D" w:rsidRPr="004B1B4D">
        <w:rPr>
          <w:lang w:val="en-US"/>
        </w:rPr>
        <w:t>Retirement and the moral economy: An historical interpretation of the German case</w:t>
      </w:r>
      <w:r w:rsidR="00F563DD">
        <w:rPr>
          <w:lang w:val="en-US"/>
        </w:rPr>
        <w:t>”,</w:t>
      </w:r>
      <w:r w:rsidR="004B1B4D">
        <w:rPr>
          <w:lang w:val="en-US"/>
        </w:rPr>
        <w:t xml:space="preserve"> </w:t>
      </w:r>
      <w:r w:rsidR="000928A5">
        <w:fldChar w:fldCharType="begin"/>
      </w:r>
      <w:r w:rsidR="000928A5" w:rsidRPr="000928A5">
        <w:rPr>
          <w:lang w:val="en-US"/>
        </w:rPr>
        <w:instrText xml:space="preserve"> HYPERLINK "http://www.sciencedirect.com/science/journal/08904065" \o "Go to Journal of Aging Studies on SciVerse ScienceDirect" </w:instrText>
      </w:r>
      <w:r w:rsidR="000928A5">
        <w:fldChar w:fldCharType="separate"/>
      </w:r>
      <w:r w:rsidR="004B1B4D" w:rsidRPr="004B1B4D">
        <w:rPr>
          <w:i/>
          <w:lang w:val="en-US"/>
        </w:rPr>
        <w:t>Journal of Aging Studies</w:t>
      </w:r>
      <w:r w:rsidR="000928A5">
        <w:rPr>
          <w:i/>
          <w:lang w:val="en-US"/>
        </w:rPr>
        <w:fldChar w:fldCharType="end"/>
      </w:r>
      <w:r w:rsidR="004B1B4D">
        <w:rPr>
          <w:lang w:val="en-US"/>
        </w:rPr>
        <w:t xml:space="preserve">, </w:t>
      </w:r>
      <w:r w:rsidR="000928A5">
        <w:fldChar w:fldCharType="begin"/>
      </w:r>
      <w:r w:rsidR="000928A5" w:rsidRPr="000928A5">
        <w:rPr>
          <w:lang w:val="en-US"/>
        </w:rPr>
        <w:instrText xml:space="preserve"> HYPERLINK "http://www.sciencedirect.com/science/journal/08904065/1/2" \o "Go to table of contents for this volume/issue" </w:instrText>
      </w:r>
      <w:r w:rsidR="000928A5">
        <w:fldChar w:fldCharType="separate"/>
      </w:r>
      <w:r w:rsidR="004B1B4D" w:rsidRPr="004B1B4D">
        <w:rPr>
          <w:lang w:val="en-US"/>
        </w:rPr>
        <w:t>Vol</w:t>
      </w:r>
      <w:r w:rsidR="00F563DD">
        <w:rPr>
          <w:lang w:val="en-US"/>
        </w:rPr>
        <w:t>.</w:t>
      </w:r>
      <w:r w:rsidR="004B1B4D" w:rsidRPr="004B1B4D">
        <w:rPr>
          <w:lang w:val="en-US"/>
        </w:rPr>
        <w:t xml:space="preserve"> 1</w:t>
      </w:r>
      <w:proofErr w:type="gramStart"/>
      <w:r w:rsidR="00F563DD">
        <w:rPr>
          <w:lang w:val="en-US"/>
        </w:rPr>
        <w:t xml:space="preserve">, </w:t>
      </w:r>
      <w:r w:rsidR="004B1B4D">
        <w:rPr>
          <w:lang w:val="en-US"/>
        </w:rPr>
        <w:t xml:space="preserve"> </w:t>
      </w:r>
      <w:r w:rsidR="00F563DD">
        <w:rPr>
          <w:lang w:val="en-US"/>
        </w:rPr>
        <w:t>No</w:t>
      </w:r>
      <w:proofErr w:type="gramEnd"/>
      <w:r w:rsidR="00F563DD">
        <w:rPr>
          <w:lang w:val="en-US"/>
        </w:rPr>
        <w:t xml:space="preserve">. </w:t>
      </w:r>
      <w:r w:rsidR="004B1B4D" w:rsidRPr="004B1B4D">
        <w:rPr>
          <w:lang w:val="en-US"/>
        </w:rPr>
        <w:t>2</w:t>
      </w:r>
      <w:r w:rsidR="000928A5">
        <w:rPr>
          <w:lang w:val="en-US"/>
        </w:rPr>
        <w:fldChar w:fldCharType="end"/>
      </w:r>
      <w:r w:rsidR="004B1B4D" w:rsidRPr="004B1B4D">
        <w:rPr>
          <w:lang w:val="en-US"/>
        </w:rPr>
        <w:t xml:space="preserve">, </w:t>
      </w:r>
      <w:r w:rsidR="00F563DD">
        <w:rPr>
          <w:lang w:val="en-US"/>
        </w:rPr>
        <w:t xml:space="preserve">pp. </w:t>
      </w:r>
      <w:r w:rsidR="004B1B4D" w:rsidRPr="004B1B4D">
        <w:rPr>
          <w:lang w:val="en-US"/>
        </w:rPr>
        <w:t>125–144</w:t>
      </w:r>
      <w:r w:rsidR="004B1B4D">
        <w:rPr>
          <w:lang w:val="en-US"/>
        </w:rPr>
        <w:t>.</w:t>
      </w:r>
    </w:p>
    <w:p w:rsidR="00744677" w:rsidRDefault="00744677" w:rsidP="00761FA1">
      <w:pPr>
        <w:spacing w:after="120" w:line="240" w:lineRule="auto"/>
        <w:jc w:val="both"/>
        <w:rPr>
          <w:lang w:val="en-US"/>
        </w:rPr>
      </w:pPr>
      <w:r w:rsidRPr="00744677">
        <w:rPr>
          <w:lang w:val="en-US"/>
        </w:rPr>
        <w:t>Mayer, K. U. (2009)</w:t>
      </w:r>
      <w:r>
        <w:rPr>
          <w:lang w:val="en-US"/>
        </w:rPr>
        <w:t>,</w:t>
      </w:r>
      <w:r w:rsidRPr="00744677">
        <w:rPr>
          <w:lang w:val="en-US"/>
        </w:rPr>
        <w:t xml:space="preserve"> </w:t>
      </w:r>
      <w:r>
        <w:rPr>
          <w:lang w:val="en-US"/>
        </w:rPr>
        <w:t>“</w:t>
      </w:r>
      <w:r w:rsidRPr="00744677">
        <w:rPr>
          <w:lang w:val="en-US"/>
        </w:rPr>
        <w:t>New Trends in Life Course Research</w:t>
      </w:r>
      <w:r>
        <w:rPr>
          <w:lang w:val="en-US"/>
        </w:rPr>
        <w:t>”,</w:t>
      </w:r>
      <w:r w:rsidRPr="00744677">
        <w:rPr>
          <w:lang w:val="en-US"/>
        </w:rPr>
        <w:t xml:space="preserve"> </w:t>
      </w:r>
      <w:r w:rsidRPr="00744677">
        <w:rPr>
          <w:i/>
          <w:lang w:val="en-US"/>
        </w:rPr>
        <w:t>Annual Review of Sociology</w:t>
      </w:r>
      <w:r>
        <w:rPr>
          <w:lang w:val="en-US"/>
        </w:rPr>
        <w:t>, Vol.</w:t>
      </w:r>
      <w:r w:rsidRPr="00744677">
        <w:rPr>
          <w:lang w:val="en-US"/>
        </w:rPr>
        <w:t xml:space="preserve"> </w:t>
      </w:r>
      <w:proofErr w:type="gramStart"/>
      <w:r w:rsidRPr="00744677">
        <w:rPr>
          <w:lang w:val="en-US"/>
        </w:rPr>
        <w:t xml:space="preserve">35 </w:t>
      </w:r>
      <w:r>
        <w:rPr>
          <w:lang w:val="en-US"/>
        </w:rPr>
        <w:t>,</w:t>
      </w:r>
      <w:proofErr w:type="gramEnd"/>
      <w:r>
        <w:rPr>
          <w:lang w:val="en-US"/>
        </w:rPr>
        <w:t xml:space="preserve"> pp. </w:t>
      </w:r>
      <w:r w:rsidRPr="00744677">
        <w:rPr>
          <w:lang w:val="en-US"/>
        </w:rPr>
        <w:t>493-514</w:t>
      </w:r>
      <w:r>
        <w:rPr>
          <w:lang w:val="en-US"/>
        </w:rPr>
        <w:t>.</w:t>
      </w:r>
    </w:p>
    <w:p w:rsidR="005F7672" w:rsidRPr="00761FA1" w:rsidRDefault="005F7672" w:rsidP="00761FA1">
      <w:pPr>
        <w:spacing w:after="120" w:line="240" w:lineRule="auto"/>
        <w:jc w:val="both"/>
        <w:rPr>
          <w:lang w:val="en-US"/>
        </w:rPr>
      </w:pPr>
      <w:r w:rsidRPr="00761FA1">
        <w:rPr>
          <w:lang w:val="en-US"/>
        </w:rPr>
        <w:t xml:space="preserve">OECD </w:t>
      </w:r>
      <w:r w:rsidR="009269D0" w:rsidRPr="00761FA1">
        <w:rPr>
          <w:lang w:val="en-US"/>
        </w:rPr>
        <w:t>(</w:t>
      </w:r>
      <w:r w:rsidRPr="00761FA1">
        <w:rPr>
          <w:lang w:val="en-US"/>
        </w:rPr>
        <w:t>2011</w:t>
      </w:r>
      <w:r w:rsidR="00E95335" w:rsidRPr="00761FA1">
        <w:rPr>
          <w:lang w:val="en-US"/>
        </w:rPr>
        <w:t>a</w:t>
      </w:r>
      <w:r w:rsidR="009269D0" w:rsidRPr="00761FA1">
        <w:rPr>
          <w:lang w:val="en-US"/>
        </w:rPr>
        <w:t>)</w:t>
      </w:r>
      <w:r w:rsidR="00F563DD">
        <w:rPr>
          <w:lang w:val="en-US"/>
        </w:rPr>
        <w:t>,</w:t>
      </w:r>
      <w:r w:rsidR="00761FA1" w:rsidRPr="00761FA1">
        <w:rPr>
          <w:lang w:val="en-US"/>
        </w:rPr>
        <w:t xml:space="preserve"> </w:t>
      </w:r>
      <w:r w:rsidR="00761FA1" w:rsidRPr="00761FA1">
        <w:rPr>
          <w:i/>
          <w:lang w:val="en-US"/>
        </w:rPr>
        <w:t>OECD Stat Extracts</w:t>
      </w:r>
      <w:r w:rsidR="00761FA1" w:rsidRPr="00761FA1">
        <w:rPr>
          <w:lang w:val="en-US"/>
        </w:rPr>
        <w:t xml:space="preserve">, </w:t>
      </w:r>
      <w:proofErr w:type="gramStart"/>
      <w:r w:rsidR="00761FA1" w:rsidRPr="00761FA1">
        <w:rPr>
          <w:lang w:val="en-US"/>
        </w:rPr>
        <w:t>URL</w:t>
      </w:r>
      <w:proofErr w:type="gramEnd"/>
      <w:r w:rsidR="00761FA1" w:rsidRPr="00761FA1">
        <w:rPr>
          <w:lang w:val="en-US"/>
        </w:rPr>
        <w:t>: http://stats.oecd.org/ (Retrieved: March 1, 2012)</w:t>
      </w:r>
      <w:r w:rsidR="00761FA1">
        <w:rPr>
          <w:lang w:val="en-US"/>
        </w:rPr>
        <w:t>.</w:t>
      </w:r>
    </w:p>
    <w:p w:rsidR="00E95335" w:rsidRPr="00761FA1" w:rsidRDefault="00E95335" w:rsidP="00761FA1">
      <w:pPr>
        <w:spacing w:after="120" w:line="240" w:lineRule="auto"/>
        <w:jc w:val="both"/>
        <w:rPr>
          <w:lang w:val="en-US"/>
        </w:rPr>
      </w:pPr>
      <w:r w:rsidRPr="00761FA1">
        <w:rPr>
          <w:lang w:val="en-US"/>
        </w:rPr>
        <w:t>OECD (2011</w:t>
      </w:r>
      <w:r w:rsidR="00761FA1" w:rsidRPr="00761FA1">
        <w:rPr>
          <w:lang w:val="en-US"/>
        </w:rPr>
        <w:t>b</w:t>
      </w:r>
      <w:r w:rsidRPr="00761FA1">
        <w:rPr>
          <w:lang w:val="en-US"/>
        </w:rPr>
        <w:t>)</w:t>
      </w:r>
      <w:r w:rsidR="00F563DD">
        <w:rPr>
          <w:lang w:val="en-US"/>
        </w:rPr>
        <w:t>,</w:t>
      </w:r>
      <w:r w:rsidR="00761FA1" w:rsidRPr="00761FA1">
        <w:rPr>
          <w:lang w:val="en-US"/>
        </w:rPr>
        <w:t xml:space="preserve"> </w:t>
      </w:r>
      <w:r w:rsidR="00761FA1" w:rsidRPr="00761FA1">
        <w:rPr>
          <w:i/>
          <w:lang w:val="en-US"/>
        </w:rPr>
        <w:t>Pensions at a Glance: Retirement Income Systems in OECD and G20 Countries</w:t>
      </w:r>
      <w:r w:rsidR="00761FA1" w:rsidRPr="00761FA1">
        <w:rPr>
          <w:lang w:val="en-US"/>
        </w:rPr>
        <w:t>, OECD</w:t>
      </w:r>
      <w:r w:rsidR="00DB7B77">
        <w:rPr>
          <w:lang w:val="en-US"/>
        </w:rPr>
        <w:t>, Paris</w:t>
      </w:r>
      <w:r w:rsidR="00761FA1" w:rsidRPr="00761FA1">
        <w:rPr>
          <w:lang w:val="en-US"/>
        </w:rPr>
        <w:t>.</w:t>
      </w:r>
    </w:p>
    <w:p w:rsidR="00A237E7" w:rsidRPr="00761FA1" w:rsidRDefault="00A237E7" w:rsidP="00761FA1">
      <w:pPr>
        <w:spacing w:after="120" w:line="240" w:lineRule="auto"/>
        <w:jc w:val="both"/>
        <w:rPr>
          <w:lang w:val="en-US"/>
        </w:rPr>
      </w:pPr>
      <w:r w:rsidRPr="00761FA1">
        <w:rPr>
          <w:lang w:val="en-US"/>
        </w:rPr>
        <w:t>OECD</w:t>
      </w:r>
      <w:r w:rsidR="009269D0" w:rsidRPr="00761FA1">
        <w:rPr>
          <w:lang w:val="en-US"/>
        </w:rPr>
        <w:t xml:space="preserve"> (20</w:t>
      </w:r>
      <w:r w:rsidRPr="00761FA1">
        <w:rPr>
          <w:lang w:val="en-US"/>
        </w:rPr>
        <w:t>06</w:t>
      </w:r>
      <w:r w:rsidR="009269D0" w:rsidRPr="00761FA1">
        <w:rPr>
          <w:lang w:val="en-US"/>
        </w:rPr>
        <w:t>)</w:t>
      </w:r>
      <w:r w:rsidR="00F563DD">
        <w:rPr>
          <w:lang w:val="en-US"/>
        </w:rPr>
        <w:t>,</w:t>
      </w:r>
      <w:r w:rsidR="00761FA1" w:rsidRPr="00761FA1">
        <w:rPr>
          <w:lang w:val="en-US"/>
        </w:rPr>
        <w:t xml:space="preserve"> </w:t>
      </w:r>
      <w:r w:rsidR="00761FA1" w:rsidRPr="00761FA1">
        <w:rPr>
          <w:i/>
          <w:lang w:val="en-US"/>
        </w:rPr>
        <w:t>Live Longer, Work Longer: A synthesis report</w:t>
      </w:r>
      <w:r w:rsidR="00761FA1" w:rsidRPr="00761FA1">
        <w:rPr>
          <w:lang w:val="en-US"/>
        </w:rPr>
        <w:t>, OECD</w:t>
      </w:r>
      <w:r w:rsidR="00DB7B77">
        <w:rPr>
          <w:lang w:val="en-US"/>
        </w:rPr>
        <w:t>, Paris</w:t>
      </w:r>
      <w:r w:rsidR="00761FA1" w:rsidRPr="00761FA1">
        <w:rPr>
          <w:lang w:val="en-US"/>
        </w:rPr>
        <w:t>.</w:t>
      </w:r>
    </w:p>
    <w:p w:rsidR="0057074F" w:rsidRPr="00122679" w:rsidRDefault="00E95335" w:rsidP="003F2928">
      <w:pPr>
        <w:autoSpaceDE w:val="0"/>
        <w:autoSpaceDN w:val="0"/>
        <w:adjustRightInd w:val="0"/>
        <w:spacing w:after="120" w:line="240" w:lineRule="auto"/>
        <w:jc w:val="both"/>
        <w:rPr>
          <w:lang w:val="en-US"/>
        </w:rPr>
      </w:pPr>
      <w:r w:rsidRPr="00E95335">
        <w:rPr>
          <w:lang w:val="en-US"/>
        </w:rPr>
        <w:t>OECD (2004)</w:t>
      </w:r>
      <w:r w:rsidR="00F070F4">
        <w:rPr>
          <w:lang w:val="en-US"/>
        </w:rPr>
        <w:t>,</w:t>
      </w:r>
      <w:r w:rsidRPr="00E95335">
        <w:rPr>
          <w:lang w:val="en-US"/>
        </w:rPr>
        <w:t xml:space="preserve"> Employment Protection Regulation and </w:t>
      </w:r>
      <w:proofErr w:type="spellStart"/>
      <w:r w:rsidRPr="00E95335">
        <w:rPr>
          <w:lang w:val="en-US"/>
        </w:rPr>
        <w:t>Labour</w:t>
      </w:r>
      <w:proofErr w:type="spellEnd"/>
      <w:r w:rsidRPr="00E95335">
        <w:rPr>
          <w:lang w:val="en-US"/>
        </w:rPr>
        <w:t xml:space="preserve"> Market Performance; in: </w:t>
      </w:r>
      <w:r w:rsidRPr="00761FA1">
        <w:rPr>
          <w:i/>
          <w:lang w:val="en-US"/>
        </w:rPr>
        <w:t>OECD Employment Outlook</w:t>
      </w:r>
      <w:r w:rsidRPr="00E95335">
        <w:rPr>
          <w:lang w:val="en-US"/>
        </w:rPr>
        <w:t>, OECD</w:t>
      </w:r>
      <w:r w:rsidR="00761FA1">
        <w:rPr>
          <w:lang w:val="en-US"/>
        </w:rPr>
        <w:t>,</w:t>
      </w:r>
      <w:r w:rsidR="00DB7B77">
        <w:rPr>
          <w:lang w:val="en-US"/>
        </w:rPr>
        <w:t xml:space="preserve"> Paris,</w:t>
      </w:r>
      <w:r w:rsidR="00761FA1">
        <w:rPr>
          <w:lang w:val="en-US"/>
        </w:rPr>
        <w:t xml:space="preserve"> </w:t>
      </w:r>
      <w:r w:rsidR="009A4BFA">
        <w:rPr>
          <w:lang w:val="en-US"/>
        </w:rPr>
        <w:t xml:space="preserve">pp. </w:t>
      </w:r>
      <w:r w:rsidR="00761FA1">
        <w:rPr>
          <w:lang w:val="en-US"/>
        </w:rPr>
        <w:t>61-125</w:t>
      </w:r>
      <w:r w:rsidR="003F2928">
        <w:rPr>
          <w:lang w:val="en-US"/>
        </w:rPr>
        <w:t>.</w:t>
      </w:r>
    </w:p>
    <w:sectPr w:rsidR="0057074F" w:rsidRPr="00122679" w:rsidSect="00572AE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9D4" w:rsidRDefault="00D919D4" w:rsidP="00C10DE5">
      <w:pPr>
        <w:spacing w:after="0" w:line="240" w:lineRule="auto"/>
      </w:pPr>
      <w:r>
        <w:separator/>
      </w:r>
    </w:p>
  </w:endnote>
  <w:endnote w:type="continuationSeparator" w:id="0">
    <w:p w:rsidR="00D919D4" w:rsidRDefault="00D919D4" w:rsidP="00C10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1006506"/>
      <w:docPartObj>
        <w:docPartGallery w:val="Page Numbers (Bottom of Page)"/>
        <w:docPartUnique/>
      </w:docPartObj>
    </w:sdtPr>
    <w:sdtEndPr/>
    <w:sdtContent>
      <w:p w:rsidR="00744677" w:rsidRDefault="00744677">
        <w:pPr>
          <w:pStyle w:val="Fuzeile"/>
          <w:jc w:val="center"/>
        </w:pPr>
        <w:r>
          <w:fldChar w:fldCharType="begin"/>
        </w:r>
        <w:r>
          <w:instrText>PAGE   \* MERGEFORMAT</w:instrText>
        </w:r>
        <w:r>
          <w:fldChar w:fldCharType="separate"/>
        </w:r>
        <w:r w:rsidR="000928A5">
          <w:rPr>
            <w:noProof/>
          </w:rPr>
          <w:t>1</w:t>
        </w:r>
        <w:r>
          <w:fldChar w:fldCharType="end"/>
        </w:r>
      </w:p>
    </w:sdtContent>
  </w:sdt>
  <w:p w:rsidR="00744677" w:rsidRDefault="0074467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9D4" w:rsidRDefault="00D919D4" w:rsidP="00C10DE5">
      <w:pPr>
        <w:spacing w:after="0" w:line="240" w:lineRule="auto"/>
      </w:pPr>
      <w:r>
        <w:separator/>
      </w:r>
    </w:p>
  </w:footnote>
  <w:footnote w:type="continuationSeparator" w:id="0">
    <w:p w:rsidR="00D919D4" w:rsidRDefault="00D919D4" w:rsidP="00C10DE5">
      <w:pPr>
        <w:spacing w:after="0" w:line="240" w:lineRule="auto"/>
      </w:pPr>
      <w:r>
        <w:continuationSeparator/>
      </w:r>
    </w:p>
  </w:footnote>
  <w:footnote w:id="1">
    <w:p w:rsidR="00744677" w:rsidRPr="00C10DE5" w:rsidRDefault="00744677" w:rsidP="00D061FC">
      <w:pPr>
        <w:pStyle w:val="Funotentext"/>
        <w:jc w:val="both"/>
        <w:rPr>
          <w:lang w:val="en-US"/>
        </w:rPr>
      </w:pPr>
      <w:r>
        <w:rPr>
          <w:rStyle w:val="Funotenzeichen"/>
        </w:rPr>
        <w:footnoteRef/>
      </w:r>
      <w:r w:rsidRPr="00C10DE5">
        <w:rPr>
          <w:lang w:val="en-US"/>
        </w:rPr>
        <w:t xml:space="preserve"> </w:t>
      </w:r>
      <w:r>
        <w:rPr>
          <w:lang w:val="en-GB"/>
        </w:rPr>
        <w:t xml:space="preserve">Age-specific </w:t>
      </w:r>
      <w:r>
        <w:rPr>
          <w:i/>
          <w:lang w:val="en-GB"/>
        </w:rPr>
        <w:t>employment rates</w:t>
      </w:r>
      <w:r>
        <w:rPr>
          <w:lang w:val="en-GB"/>
        </w:rPr>
        <w:t xml:space="preserve"> are defined as the ratio of persons in active employment as a percentage of the population in the respective age group (see Eurostat, 1998). The </w:t>
      </w:r>
      <w:r>
        <w:rPr>
          <w:i/>
          <w:lang w:val="en-GB"/>
        </w:rPr>
        <w:t>age group 60-64 years</w:t>
      </w:r>
      <w:r>
        <w:rPr>
          <w:lang w:val="en-GB"/>
        </w:rPr>
        <w:t xml:space="preserve"> was chosen as, for many countries,  this 5-year time-span reflects the period almost immediately before early retirement and thus represents the age span in which most labour force exits occur (</w:t>
      </w:r>
      <w:proofErr w:type="spellStart"/>
      <w:r>
        <w:rPr>
          <w:lang w:val="en-GB"/>
        </w:rPr>
        <w:t>Ebbinghaus</w:t>
      </w:r>
      <w:proofErr w:type="spellEnd"/>
      <w:r>
        <w:rPr>
          <w:lang w:val="en-GB"/>
        </w:rPr>
        <w:t xml:space="preserve">, 2006, </w:t>
      </w:r>
      <w:proofErr w:type="spellStart"/>
      <w:r>
        <w:rPr>
          <w:lang w:val="en-GB"/>
        </w:rPr>
        <w:t>Hofäcker</w:t>
      </w:r>
      <w:proofErr w:type="spellEnd"/>
      <w:r>
        <w:rPr>
          <w:lang w:val="en-GB"/>
        </w:rPr>
        <w:t xml:space="preserve"> &amp; </w:t>
      </w:r>
      <w:proofErr w:type="spellStart"/>
      <w:r>
        <w:rPr>
          <w:lang w:val="en-GB"/>
        </w:rPr>
        <w:t>Pollnerov</w:t>
      </w:r>
      <w:r>
        <w:rPr>
          <w:rFonts w:cstheme="minorHAnsi"/>
          <w:lang w:val="en-GB"/>
        </w:rPr>
        <w:t>á</w:t>
      </w:r>
      <w:proofErr w:type="spellEnd"/>
      <w:r>
        <w:rPr>
          <w:rFonts w:cstheme="minorHAnsi"/>
          <w:lang w:val="en-GB"/>
        </w:rPr>
        <w:t>,</w:t>
      </w:r>
      <w:r>
        <w:rPr>
          <w:lang w:val="en-GB"/>
        </w:rPr>
        <w:t xml:space="preserve"> 2006). </w:t>
      </w:r>
      <w:r>
        <w:rPr>
          <w:i/>
          <w:lang w:val="en-GB"/>
        </w:rPr>
        <w:t>Male</w:t>
      </w:r>
      <w:r>
        <w:rPr>
          <w:lang w:val="en-GB"/>
        </w:rPr>
        <w:t xml:space="preserve"> rates were chosen for illustrative reasons to more clearly illustrate actual early exit trends, as female employment rates in alt career often are compounded by the opposed trends of increasing labour force participation across cohorts and early employment exit.</w:t>
      </w:r>
    </w:p>
  </w:footnote>
  <w:footnote w:id="2">
    <w:p w:rsidR="00744677" w:rsidRPr="00C10DE5" w:rsidRDefault="00744677" w:rsidP="00E95335">
      <w:pPr>
        <w:pStyle w:val="Funotentext"/>
        <w:jc w:val="both"/>
        <w:rPr>
          <w:lang w:val="en-US"/>
        </w:rPr>
      </w:pPr>
      <w:r>
        <w:rPr>
          <w:rStyle w:val="Funotenzeichen"/>
        </w:rPr>
        <w:footnoteRef/>
      </w:r>
      <w:r w:rsidRPr="00C10DE5">
        <w:rPr>
          <w:lang w:val="en-US"/>
        </w:rPr>
        <w:t xml:space="preserve"> For a more explicit discussion of th</w:t>
      </w:r>
      <w:r>
        <w:rPr>
          <w:lang w:val="en-US"/>
        </w:rPr>
        <w:t>e</w:t>
      </w:r>
      <w:r w:rsidRPr="00C10DE5">
        <w:rPr>
          <w:lang w:val="en-US"/>
        </w:rPr>
        <w:t xml:space="preserve">se </w:t>
      </w:r>
      <w:r>
        <w:rPr>
          <w:lang w:val="en-US"/>
        </w:rPr>
        <w:t xml:space="preserve">characteristic </w:t>
      </w:r>
      <w:r w:rsidRPr="00C10DE5">
        <w:rPr>
          <w:lang w:val="en-US"/>
        </w:rPr>
        <w:t>institutional differences, see section 2.</w:t>
      </w:r>
      <w:r>
        <w:rPr>
          <w:lang w:val="en-US"/>
        </w:rPr>
        <w:t>2.</w:t>
      </w:r>
    </w:p>
  </w:footnote>
  <w:footnote w:id="3">
    <w:p w:rsidR="00744677" w:rsidRPr="009C647B" w:rsidRDefault="00744677" w:rsidP="00E95335">
      <w:pPr>
        <w:pStyle w:val="Funotentext"/>
        <w:jc w:val="both"/>
        <w:rPr>
          <w:lang w:val="en-US"/>
        </w:rPr>
      </w:pPr>
      <w:r>
        <w:rPr>
          <w:rStyle w:val="Funotenzeichen"/>
        </w:rPr>
        <w:footnoteRef/>
      </w:r>
      <w:r w:rsidRPr="009C647B">
        <w:rPr>
          <w:lang w:val="en-US"/>
        </w:rPr>
        <w:t xml:space="preserve"> </w:t>
      </w:r>
      <w:r>
        <w:rPr>
          <w:lang w:val="en-US"/>
        </w:rPr>
        <w:t xml:space="preserve">This may </w:t>
      </w:r>
      <w:proofErr w:type="gramStart"/>
      <w:r>
        <w:rPr>
          <w:lang w:val="en-US"/>
        </w:rPr>
        <w:t xml:space="preserve">hold </w:t>
      </w:r>
      <w:r>
        <w:rPr>
          <w:lang w:val="en-GB"/>
        </w:rPr>
        <w:t xml:space="preserve"> </w:t>
      </w:r>
      <w:r w:rsidRPr="00AA5756">
        <w:rPr>
          <w:lang w:val="en-GB"/>
        </w:rPr>
        <w:t>especially</w:t>
      </w:r>
      <w:proofErr w:type="gramEnd"/>
      <w:r w:rsidRPr="00AA5756">
        <w:rPr>
          <w:lang w:val="en-GB"/>
        </w:rPr>
        <w:t xml:space="preserve"> </w:t>
      </w:r>
      <w:r>
        <w:rPr>
          <w:lang w:val="en-GB"/>
        </w:rPr>
        <w:t>for</w:t>
      </w:r>
      <w:r w:rsidRPr="00AA5756">
        <w:rPr>
          <w:lang w:val="en-GB"/>
        </w:rPr>
        <w:t xml:space="preserve"> Ireland which was most se</w:t>
      </w:r>
      <w:r>
        <w:rPr>
          <w:lang w:val="en-GB"/>
        </w:rPr>
        <w:t>riously hit by this development, and where older workers’ employment rates have fallen most considerably between 2005 and 2010.</w:t>
      </w:r>
    </w:p>
  </w:footnote>
  <w:footnote w:id="4">
    <w:p w:rsidR="00744677" w:rsidRPr="00373882" w:rsidRDefault="00744677" w:rsidP="00E95335">
      <w:pPr>
        <w:pStyle w:val="Funotentext"/>
        <w:jc w:val="both"/>
        <w:rPr>
          <w:lang w:val="en-US"/>
        </w:rPr>
      </w:pPr>
      <w:r>
        <w:rPr>
          <w:rStyle w:val="Funotenzeichen"/>
        </w:rPr>
        <w:footnoteRef/>
      </w:r>
      <w:r w:rsidRPr="00373882">
        <w:rPr>
          <w:lang w:val="en-US"/>
        </w:rPr>
        <w:t xml:space="preserve"> </w:t>
      </w:r>
      <w:r>
        <w:rPr>
          <w:lang w:val="en-US"/>
        </w:rPr>
        <w:t>Examples of such alternative</w:t>
      </w:r>
      <w:r w:rsidRPr="00324FE7">
        <w:rPr>
          <w:lang w:val="en-US"/>
        </w:rPr>
        <w:t xml:space="preserve"> “</w:t>
      </w:r>
      <w:r>
        <w:rPr>
          <w:lang w:val="en-US"/>
        </w:rPr>
        <w:t>welfare state subsystems</w:t>
      </w:r>
      <w:r w:rsidRPr="00324FE7">
        <w:rPr>
          <w:lang w:val="en-US"/>
        </w:rPr>
        <w:t>”</w:t>
      </w:r>
      <w:r>
        <w:rPr>
          <w:lang w:val="en-US"/>
        </w:rPr>
        <w:t xml:space="preserve"> to early retirement are </w:t>
      </w:r>
      <w:r w:rsidRPr="00324FE7">
        <w:rPr>
          <w:lang w:val="en-US"/>
        </w:rPr>
        <w:t xml:space="preserve">disability benefits and unemployment pay </w:t>
      </w:r>
      <w:r>
        <w:rPr>
          <w:lang w:val="en-US"/>
        </w:rPr>
        <w:t>schemes (</w:t>
      </w:r>
      <w:proofErr w:type="spellStart"/>
      <w:r w:rsidRPr="00EF0643">
        <w:rPr>
          <w:i/>
          <w:lang w:val="en-US"/>
        </w:rPr>
        <w:t>Guillemard</w:t>
      </w:r>
      <w:proofErr w:type="spellEnd"/>
      <w:r>
        <w:rPr>
          <w:lang w:val="en-US"/>
        </w:rPr>
        <w:t xml:space="preserve">, 1989, </w:t>
      </w:r>
      <w:proofErr w:type="spellStart"/>
      <w:r w:rsidRPr="00EF0643">
        <w:rPr>
          <w:i/>
          <w:lang w:val="en-US"/>
        </w:rPr>
        <w:t>Kohli</w:t>
      </w:r>
      <w:proofErr w:type="spellEnd"/>
      <w:r w:rsidRPr="00EF0643">
        <w:rPr>
          <w:i/>
          <w:lang w:val="en-US"/>
        </w:rPr>
        <w:t xml:space="preserve"> et al.</w:t>
      </w:r>
      <w:r>
        <w:rPr>
          <w:lang w:val="en-US"/>
        </w:rPr>
        <w:t>, 1991).</w:t>
      </w:r>
    </w:p>
  </w:footnote>
  <w:footnote w:id="5">
    <w:p w:rsidR="00744677" w:rsidRPr="00571B88" w:rsidRDefault="00744677" w:rsidP="00E95335">
      <w:pPr>
        <w:pStyle w:val="Funotentext"/>
        <w:jc w:val="both"/>
        <w:rPr>
          <w:lang w:val="en-US"/>
        </w:rPr>
      </w:pPr>
      <w:r>
        <w:rPr>
          <w:rStyle w:val="Funotenzeichen"/>
        </w:rPr>
        <w:footnoteRef/>
      </w:r>
      <w:r w:rsidRPr="00571B88">
        <w:rPr>
          <w:lang w:val="en-US"/>
        </w:rPr>
        <w:t xml:space="preserve"> </w:t>
      </w:r>
      <w:r>
        <w:rPr>
          <w:lang w:val="en-US"/>
        </w:rPr>
        <w:t xml:space="preserve">International Social Survey </w:t>
      </w:r>
      <w:proofErr w:type="spellStart"/>
      <w:r>
        <w:rPr>
          <w:lang w:val="en-US"/>
        </w:rPr>
        <w:t>Programme</w:t>
      </w:r>
      <w:proofErr w:type="spellEnd"/>
    </w:p>
  </w:footnote>
  <w:footnote w:id="6">
    <w:p w:rsidR="00744677" w:rsidRPr="002D2CDC" w:rsidRDefault="00744677" w:rsidP="00E95335">
      <w:pPr>
        <w:pStyle w:val="Funotentext"/>
        <w:jc w:val="both"/>
        <w:rPr>
          <w:lang w:val="en-US"/>
        </w:rPr>
      </w:pPr>
      <w:r>
        <w:rPr>
          <w:rStyle w:val="Funotenzeichen"/>
        </w:rPr>
        <w:footnoteRef/>
      </w:r>
      <w:r w:rsidRPr="002D2CDC">
        <w:rPr>
          <w:lang w:val="en-US"/>
        </w:rPr>
        <w:t xml:space="preserve"> Indicated by those stating that they </w:t>
      </w:r>
      <w:r>
        <w:rPr>
          <w:lang w:val="en-US"/>
        </w:rPr>
        <w:t>“retired early, not by choice” when being asked about the main reason why the last job ended</w:t>
      </w:r>
    </w:p>
  </w:footnote>
  <w:footnote w:id="7">
    <w:p w:rsidR="00744677" w:rsidRPr="006B5FCC" w:rsidRDefault="00744677" w:rsidP="00E95335">
      <w:pPr>
        <w:pStyle w:val="Listenabsatz"/>
        <w:tabs>
          <w:tab w:val="left" w:pos="6900"/>
        </w:tabs>
        <w:spacing w:after="0" w:line="240" w:lineRule="auto"/>
        <w:ind w:left="0"/>
        <w:jc w:val="both"/>
        <w:rPr>
          <w:sz w:val="20"/>
          <w:szCs w:val="20"/>
          <w:lang w:val="en-US"/>
        </w:rPr>
      </w:pPr>
      <w:r>
        <w:rPr>
          <w:rStyle w:val="Funotenzeichen"/>
        </w:rPr>
        <w:footnoteRef/>
      </w:r>
      <w:r w:rsidRPr="002D2CDC">
        <w:rPr>
          <w:lang w:val="en-US"/>
        </w:rPr>
        <w:t xml:space="preserve"> </w:t>
      </w:r>
      <w:r>
        <w:rPr>
          <w:sz w:val="20"/>
          <w:szCs w:val="20"/>
          <w:lang w:val="en-US"/>
        </w:rPr>
        <w:t>F</w:t>
      </w:r>
      <w:r w:rsidRPr="002D2CDC">
        <w:rPr>
          <w:sz w:val="20"/>
          <w:szCs w:val="20"/>
          <w:lang w:val="en-US"/>
        </w:rPr>
        <w:t xml:space="preserve">or example, there is no information </w:t>
      </w:r>
      <w:r w:rsidRPr="002D2CDC">
        <w:rPr>
          <w:i/>
          <w:sz w:val="20"/>
          <w:szCs w:val="20"/>
          <w:lang w:val="en-US"/>
        </w:rPr>
        <w:t>why</w:t>
      </w:r>
      <w:r w:rsidRPr="002D2CDC">
        <w:rPr>
          <w:sz w:val="20"/>
          <w:szCs w:val="20"/>
          <w:lang w:val="en-US"/>
        </w:rPr>
        <w:t xml:space="preserve"> </w:t>
      </w:r>
      <w:r>
        <w:rPr>
          <w:sz w:val="20"/>
          <w:szCs w:val="20"/>
          <w:lang w:val="en-US"/>
        </w:rPr>
        <w:t>individuals had to retire against their deliberate will (e.g. for health reasons, for company –based reasons etc.).</w:t>
      </w:r>
    </w:p>
  </w:footnote>
  <w:footnote w:id="8">
    <w:p w:rsidR="00744677" w:rsidRPr="00645380" w:rsidRDefault="00744677" w:rsidP="00645380">
      <w:pPr>
        <w:pStyle w:val="Funotentext"/>
        <w:jc w:val="both"/>
        <w:rPr>
          <w:lang w:val="en-US"/>
        </w:rPr>
      </w:pPr>
      <w:r>
        <w:rPr>
          <w:rStyle w:val="Funotenzeichen"/>
        </w:rPr>
        <w:footnoteRef/>
      </w:r>
      <w:r w:rsidRPr="00645380">
        <w:rPr>
          <w:lang w:val="en-US"/>
        </w:rPr>
        <w:t xml:space="preserve"> “This paper uses data from SHARELIFE release 1, as of November 24th 2010 or SHARE release 2.5.0, as of May 24th 2011. The SHARE data collection has been primarily funded by the European Commission through the 5th framework </w:t>
      </w:r>
      <w:proofErr w:type="spellStart"/>
      <w:r w:rsidRPr="00645380">
        <w:rPr>
          <w:lang w:val="en-US"/>
        </w:rPr>
        <w:t>programme</w:t>
      </w:r>
      <w:proofErr w:type="spellEnd"/>
      <w:r w:rsidRPr="00645380">
        <w:rPr>
          <w:lang w:val="en-US"/>
        </w:rPr>
        <w:t xml:space="preserve"> (project QLK6-CT-2001- 00360 in the thematic </w:t>
      </w:r>
      <w:proofErr w:type="spellStart"/>
      <w:r w:rsidRPr="00645380">
        <w:rPr>
          <w:lang w:val="en-US"/>
        </w:rPr>
        <w:t>programme</w:t>
      </w:r>
      <w:proofErr w:type="spellEnd"/>
      <w:r w:rsidRPr="00645380">
        <w:rPr>
          <w:lang w:val="en-US"/>
        </w:rPr>
        <w:t xml:space="preserve"> Quality of Life), through the 6th framework </w:t>
      </w:r>
      <w:proofErr w:type="spellStart"/>
      <w:r w:rsidRPr="00645380">
        <w:rPr>
          <w:lang w:val="en-US"/>
        </w:rPr>
        <w:t>programme</w:t>
      </w:r>
      <w:proofErr w:type="spellEnd"/>
      <w:r w:rsidRPr="00645380">
        <w:rPr>
          <w:lang w:val="en-US"/>
        </w:rPr>
        <w:t xml:space="preserve"> (projects SHARE-I3, RII-CT- 2006-062193, COMPARE, CIT5-CT-2005-028857, and SHARELIFE, CIT4-CT-2006-028812) and through the 7th framework </w:t>
      </w:r>
      <w:proofErr w:type="spellStart"/>
      <w:r w:rsidRPr="00645380">
        <w:rPr>
          <w:lang w:val="en-US"/>
        </w:rPr>
        <w:t>programme</w:t>
      </w:r>
      <w:proofErr w:type="spellEnd"/>
      <w:r w:rsidRPr="00645380">
        <w:rPr>
          <w:lang w:val="en-US"/>
        </w:rPr>
        <w:t xml:space="preserve"> (SHARE-PREP, 211909 and SHARE-LEAP, 227822). Additional funding from the U.S. National Institute on Aging (U01 AG09740-13S2, P01 AG005842, P01 AG08291, P30 AG12815, Y1-AG-4553-01 and OGHA 04-064, IAG BSR06-11, R21 AG025169) as well as from various national sources is gratefully acknowledged (see </w:t>
      </w:r>
      <w:hyperlink r:id="rId1" w:tgtFrame="_blank" w:history="1">
        <w:r w:rsidRPr="00645380">
          <w:rPr>
            <w:rStyle w:val="Hyperlink"/>
            <w:lang w:val="en-US"/>
          </w:rPr>
          <w:t>www.share-project.org</w:t>
        </w:r>
      </w:hyperlink>
      <w:r w:rsidRPr="00645380">
        <w:rPr>
          <w:lang w:val="en-US"/>
        </w:rPr>
        <w:t> for a full list of funding institutions).”</w:t>
      </w:r>
    </w:p>
  </w:footnote>
  <w:footnote w:id="9">
    <w:p w:rsidR="00744677" w:rsidRPr="0057074F" w:rsidRDefault="00744677" w:rsidP="00E95335">
      <w:pPr>
        <w:pStyle w:val="Funotentext"/>
        <w:jc w:val="both"/>
        <w:rPr>
          <w:lang w:val="en-US"/>
        </w:rPr>
      </w:pPr>
      <w:r>
        <w:rPr>
          <w:rStyle w:val="Funotenzeichen"/>
        </w:rPr>
        <w:footnoteRef/>
      </w:r>
      <w:r w:rsidRPr="0057074F">
        <w:rPr>
          <w:lang w:val="en-US"/>
        </w:rPr>
        <w:t xml:space="preserve"> For a detailed overview, see </w:t>
      </w:r>
      <w:proofErr w:type="spellStart"/>
      <w:r w:rsidRPr="00333BC1">
        <w:rPr>
          <w:i/>
          <w:lang w:val="en-US"/>
        </w:rPr>
        <w:t>Börsch-Supan</w:t>
      </w:r>
      <w:proofErr w:type="spellEnd"/>
      <w:r w:rsidRPr="00333BC1">
        <w:rPr>
          <w:i/>
          <w:lang w:val="en-US"/>
        </w:rPr>
        <w:t xml:space="preserve"> et al.</w:t>
      </w:r>
      <w:r>
        <w:rPr>
          <w:lang w:val="en-US"/>
        </w:rPr>
        <w:t>, 2009.</w:t>
      </w:r>
    </w:p>
  </w:footnote>
  <w:footnote w:id="10">
    <w:p w:rsidR="00744677" w:rsidRPr="005C4B42" w:rsidRDefault="00744677" w:rsidP="00E95335">
      <w:pPr>
        <w:pStyle w:val="Funotentext"/>
        <w:jc w:val="both"/>
        <w:rPr>
          <w:lang w:val="en-US"/>
        </w:rPr>
      </w:pPr>
      <w:r>
        <w:rPr>
          <w:rStyle w:val="Funotenzeichen"/>
        </w:rPr>
        <w:footnoteRef/>
      </w:r>
      <w:r w:rsidRPr="005C4B42">
        <w:rPr>
          <w:lang w:val="en-US"/>
        </w:rPr>
        <w:t xml:space="preserve"> Due to the fact that </w:t>
      </w:r>
      <w:r>
        <w:rPr>
          <w:lang w:val="en-US"/>
        </w:rPr>
        <w:t>E</w:t>
      </w:r>
      <w:r w:rsidRPr="005C4B42">
        <w:rPr>
          <w:lang w:val="en-US"/>
        </w:rPr>
        <w:t>astern Eu</w:t>
      </w:r>
      <w:r>
        <w:rPr>
          <w:lang w:val="en-US"/>
        </w:rPr>
        <w:t xml:space="preserve">ropean countries were only included in the second SHARE wave, we unfortunately cannot </w:t>
      </w:r>
      <w:proofErr w:type="spellStart"/>
      <w:r>
        <w:rPr>
          <w:lang w:val="en-US"/>
        </w:rPr>
        <w:t>analyse</w:t>
      </w:r>
      <w:proofErr w:type="spellEnd"/>
      <w:r>
        <w:rPr>
          <w:lang w:val="en-US"/>
        </w:rPr>
        <w:t xml:space="preserve"> trends in these countries. </w:t>
      </w:r>
    </w:p>
  </w:footnote>
  <w:footnote w:id="11">
    <w:p w:rsidR="00744677" w:rsidRPr="00E95335" w:rsidRDefault="00744677" w:rsidP="00E95335">
      <w:pPr>
        <w:pStyle w:val="Funotentext"/>
        <w:jc w:val="both"/>
        <w:rPr>
          <w:lang w:val="en-US"/>
        </w:rPr>
      </w:pPr>
      <w:r>
        <w:rPr>
          <w:rStyle w:val="Funotenzeichen"/>
        </w:rPr>
        <w:footnoteRef/>
      </w:r>
      <w:r w:rsidRPr="00E95335">
        <w:rPr>
          <w:lang w:val="en-US"/>
        </w:rPr>
        <w:t xml:space="preserve"> As no comparable cross-national data is available for occupational pension benefits,</w:t>
      </w:r>
      <w:r>
        <w:rPr>
          <w:lang w:val="en-US"/>
        </w:rPr>
        <w:t xml:space="preserve"> </w:t>
      </w:r>
      <w:r w:rsidRPr="00E95335">
        <w:rPr>
          <w:lang w:val="en-US"/>
        </w:rPr>
        <w:t>we have to r</w:t>
      </w:r>
      <w:r>
        <w:rPr>
          <w:lang w:val="en-US"/>
        </w:rPr>
        <w:t>e</w:t>
      </w:r>
      <w:r w:rsidRPr="00E95335">
        <w:rPr>
          <w:lang w:val="en-US"/>
        </w:rPr>
        <w:t>strict our analyses to</w:t>
      </w:r>
      <w:r>
        <w:rPr>
          <w:lang w:val="en-US"/>
        </w:rPr>
        <w:t xml:space="preserve"> </w:t>
      </w:r>
      <w:r w:rsidRPr="00E95335">
        <w:rPr>
          <w:lang w:val="en-US"/>
        </w:rPr>
        <w:t>the publ</w:t>
      </w:r>
      <w:r>
        <w:rPr>
          <w:lang w:val="en-US"/>
        </w:rPr>
        <w:t>ic dimension.</w:t>
      </w:r>
    </w:p>
  </w:footnote>
  <w:footnote w:id="12">
    <w:p w:rsidR="00744677" w:rsidRPr="00594AED" w:rsidRDefault="00744677" w:rsidP="00594AED">
      <w:pPr>
        <w:pStyle w:val="Funotentext"/>
        <w:jc w:val="both"/>
        <w:rPr>
          <w:lang w:val="en-US"/>
        </w:rPr>
      </w:pPr>
      <w:r>
        <w:rPr>
          <w:rStyle w:val="Funotenzeichen"/>
        </w:rPr>
        <w:footnoteRef/>
      </w:r>
      <w:r w:rsidRPr="00594AED">
        <w:rPr>
          <w:lang w:val="en-US"/>
        </w:rPr>
        <w:t xml:space="preserve"> </w:t>
      </w:r>
      <w:r>
        <w:rPr>
          <w:lang w:val="en-US"/>
        </w:rPr>
        <w:t>Further analysis (results not shown here) revealed only little variation in exit behavior among educational levels lower than ISCED 5/6. For the purpose of parsimonious regression models, we thus include only the tertiary level.</w:t>
      </w:r>
    </w:p>
  </w:footnote>
  <w:footnote w:id="13">
    <w:p w:rsidR="00744677" w:rsidRPr="00CC3C8D" w:rsidRDefault="00744677" w:rsidP="003072D7">
      <w:pPr>
        <w:pStyle w:val="Funotentext"/>
        <w:jc w:val="both"/>
        <w:rPr>
          <w:lang w:val="en-US"/>
        </w:rPr>
      </w:pPr>
      <w:r>
        <w:rPr>
          <w:rStyle w:val="Funotenzeichen"/>
        </w:rPr>
        <w:footnoteRef/>
      </w:r>
      <w:r w:rsidRPr="00CC3C8D">
        <w:rPr>
          <w:lang w:val="en-US"/>
        </w:rPr>
        <w:t xml:space="preserve"> </w:t>
      </w:r>
      <w:r>
        <w:rPr>
          <w:lang w:val="en-GB"/>
        </w:rPr>
        <w:t xml:space="preserve">Even though the effect of the public sector is not significant when simultaneously controlling for tertiary sector employment, more parsimonious models only including the public/private divide (results not shown here) confirm the expected sheltering effect of public sector employment as well.  </w:t>
      </w:r>
    </w:p>
  </w:footnote>
  <w:footnote w:id="14">
    <w:p w:rsidR="00744677" w:rsidRPr="0002568E" w:rsidRDefault="00744677" w:rsidP="008C232A">
      <w:pPr>
        <w:pStyle w:val="Funotentext"/>
        <w:rPr>
          <w:lang w:val="en-US"/>
        </w:rPr>
      </w:pPr>
      <w:r>
        <w:rPr>
          <w:rStyle w:val="Funotenzeichen"/>
        </w:rPr>
        <w:footnoteRef/>
      </w:r>
      <w:r w:rsidRPr="0002568E">
        <w:rPr>
          <w:lang w:val="en-US"/>
        </w:rPr>
        <w:t xml:space="preserve"> Again, exits due to health reasons w</w:t>
      </w:r>
      <w:r>
        <w:rPr>
          <w:lang w:val="en-US"/>
        </w:rPr>
        <w:t>ere excluded from the analysis.</w:t>
      </w:r>
      <w:r w:rsidRPr="0002568E">
        <w:rPr>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25630"/>
    <w:multiLevelType w:val="hybridMultilevel"/>
    <w:tmpl w:val="1BFCE644"/>
    <w:lvl w:ilvl="0" w:tplc="2B247DAE">
      <w:start w:val="1"/>
      <w:numFmt w:val="lowerRoman"/>
      <w:lvlText w:val="%1)"/>
      <w:lvlJc w:val="left"/>
      <w:pPr>
        <w:ind w:left="1077" w:hanging="72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
    <w:nsid w:val="23426547"/>
    <w:multiLevelType w:val="hybridMultilevel"/>
    <w:tmpl w:val="303E0DC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47B7E7F"/>
    <w:multiLevelType w:val="hybridMultilevel"/>
    <w:tmpl w:val="21DC4D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CB0728E"/>
    <w:multiLevelType w:val="hybridMultilevel"/>
    <w:tmpl w:val="31422980"/>
    <w:lvl w:ilvl="0" w:tplc="5C905E9E">
      <w:start w:val="1"/>
      <w:numFmt w:val="decimal"/>
      <w:lvlText w:val="%1)"/>
      <w:lvlJc w:val="left"/>
      <w:pPr>
        <w:tabs>
          <w:tab w:val="num" w:pos="720"/>
        </w:tabs>
        <w:ind w:left="720" w:hanging="360"/>
      </w:pPr>
      <w:rPr>
        <w:rFonts w:asciiTheme="minorHAnsi" w:eastAsiaTheme="minorHAnsi" w:hAnsiTheme="minorHAnsi" w:cstheme="minorBidi"/>
        <w:lang w:val="en-US"/>
      </w:rPr>
    </w:lvl>
    <w:lvl w:ilvl="1" w:tplc="AE9C2F80" w:tentative="1">
      <w:start w:val="1"/>
      <w:numFmt w:val="bullet"/>
      <w:lvlText w:val="•"/>
      <w:lvlJc w:val="left"/>
      <w:pPr>
        <w:tabs>
          <w:tab w:val="num" w:pos="1440"/>
        </w:tabs>
        <w:ind w:left="1440" w:hanging="360"/>
      </w:pPr>
      <w:rPr>
        <w:rFonts w:ascii="Arial" w:hAnsi="Arial" w:hint="default"/>
      </w:rPr>
    </w:lvl>
    <w:lvl w:ilvl="2" w:tplc="B1E4193C" w:tentative="1">
      <w:start w:val="1"/>
      <w:numFmt w:val="bullet"/>
      <w:lvlText w:val="•"/>
      <w:lvlJc w:val="left"/>
      <w:pPr>
        <w:tabs>
          <w:tab w:val="num" w:pos="2160"/>
        </w:tabs>
        <w:ind w:left="2160" w:hanging="360"/>
      </w:pPr>
      <w:rPr>
        <w:rFonts w:ascii="Arial" w:hAnsi="Arial" w:hint="default"/>
      </w:rPr>
    </w:lvl>
    <w:lvl w:ilvl="3" w:tplc="7C8462BC" w:tentative="1">
      <w:start w:val="1"/>
      <w:numFmt w:val="bullet"/>
      <w:lvlText w:val="•"/>
      <w:lvlJc w:val="left"/>
      <w:pPr>
        <w:tabs>
          <w:tab w:val="num" w:pos="2880"/>
        </w:tabs>
        <w:ind w:left="2880" w:hanging="360"/>
      </w:pPr>
      <w:rPr>
        <w:rFonts w:ascii="Arial" w:hAnsi="Arial" w:hint="default"/>
      </w:rPr>
    </w:lvl>
    <w:lvl w:ilvl="4" w:tplc="3CFCE356" w:tentative="1">
      <w:start w:val="1"/>
      <w:numFmt w:val="bullet"/>
      <w:lvlText w:val="•"/>
      <w:lvlJc w:val="left"/>
      <w:pPr>
        <w:tabs>
          <w:tab w:val="num" w:pos="3600"/>
        </w:tabs>
        <w:ind w:left="3600" w:hanging="360"/>
      </w:pPr>
      <w:rPr>
        <w:rFonts w:ascii="Arial" w:hAnsi="Arial" w:hint="default"/>
      </w:rPr>
    </w:lvl>
    <w:lvl w:ilvl="5" w:tplc="17E04B46" w:tentative="1">
      <w:start w:val="1"/>
      <w:numFmt w:val="bullet"/>
      <w:lvlText w:val="•"/>
      <w:lvlJc w:val="left"/>
      <w:pPr>
        <w:tabs>
          <w:tab w:val="num" w:pos="4320"/>
        </w:tabs>
        <w:ind w:left="4320" w:hanging="360"/>
      </w:pPr>
      <w:rPr>
        <w:rFonts w:ascii="Arial" w:hAnsi="Arial" w:hint="default"/>
      </w:rPr>
    </w:lvl>
    <w:lvl w:ilvl="6" w:tplc="19240450" w:tentative="1">
      <w:start w:val="1"/>
      <w:numFmt w:val="bullet"/>
      <w:lvlText w:val="•"/>
      <w:lvlJc w:val="left"/>
      <w:pPr>
        <w:tabs>
          <w:tab w:val="num" w:pos="5040"/>
        </w:tabs>
        <w:ind w:left="5040" w:hanging="360"/>
      </w:pPr>
      <w:rPr>
        <w:rFonts w:ascii="Arial" w:hAnsi="Arial" w:hint="default"/>
      </w:rPr>
    </w:lvl>
    <w:lvl w:ilvl="7" w:tplc="F20ECD96" w:tentative="1">
      <w:start w:val="1"/>
      <w:numFmt w:val="bullet"/>
      <w:lvlText w:val="•"/>
      <w:lvlJc w:val="left"/>
      <w:pPr>
        <w:tabs>
          <w:tab w:val="num" w:pos="5760"/>
        </w:tabs>
        <w:ind w:left="5760" w:hanging="360"/>
      </w:pPr>
      <w:rPr>
        <w:rFonts w:ascii="Arial" w:hAnsi="Arial" w:hint="default"/>
      </w:rPr>
    </w:lvl>
    <w:lvl w:ilvl="8" w:tplc="B07C2592" w:tentative="1">
      <w:start w:val="1"/>
      <w:numFmt w:val="bullet"/>
      <w:lvlText w:val="•"/>
      <w:lvlJc w:val="left"/>
      <w:pPr>
        <w:tabs>
          <w:tab w:val="num" w:pos="6480"/>
        </w:tabs>
        <w:ind w:left="6480" w:hanging="360"/>
      </w:pPr>
      <w:rPr>
        <w:rFonts w:ascii="Arial" w:hAnsi="Arial" w:hint="default"/>
      </w:rPr>
    </w:lvl>
  </w:abstractNum>
  <w:abstractNum w:abstractNumId="4">
    <w:nsid w:val="3EEE7853"/>
    <w:multiLevelType w:val="hybridMultilevel"/>
    <w:tmpl w:val="A6CC52E6"/>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5">
    <w:nsid w:val="3FBE0F79"/>
    <w:multiLevelType w:val="multilevel"/>
    <w:tmpl w:val="477CBC2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1306DE5"/>
    <w:multiLevelType w:val="hybridMultilevel"/>
    <w:tmpl w:val="535A3198"/>
    <w:lvl w:ilvl="0" w:tplc="E6AC107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0277C10"/>
    <w:multiLevelType w:val="multilevel"/>
    <w:tmpl w:val="477CBC2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66412477"/>
    <w:multiLevelType w:val="hybridMultilevel"/>
    <w:tmpl w:val="232E182C"/>
    <w:lvl w:ilvl="0" w:tplc="B15A48BA">
      <w:start w:val="1"/>
      <w:numFmt w:val="bullet"/>
      <w:lvlText w:val="•"/>
      <w:lvlJc w:val="left"/>
      <w:pPr>
        <w:tabs>
          <w:tab w:val="num" w:pos="720"/>
        </w:tabs>
        <w:ind w:left="720" w:hanging="360"/>
      </w:pPr>
      <w:rPr>
        <w:rFonts w:ascii="Arial" w:hAnsi="Arial" w:hint="default"/>
      </w:rPr>
    </w:lvl>
    <w:lvl w:ilvl="1" w:tplc="96ACB972" w:tentative="1">
      <w:start w:val="1"/>
      <w:numFmt w:val="bullet"/>
      <w:lvlText w:val="•"/>
      <w:lvlJc w:val="left"/>
      <w:pPr>
        <w:tabs>
          <w:tab w:val="num" w:pos="1440"/>
        </w:tabs>
        <w:ind w:left="1440" w:hanging="360"/>
      </w:pPr>
      <w:rPr>
        <w:rFonts w:ascii="Arial" w:hAnsi="Arial" w:hint="default"/>
      </w:rPr>
    </w:lvl>
    <w:lvl w:ilvl="2" w:tplc="D982F000" w:tentative="1">
      <w:start w:val="1"/>
      <w:numFmt w:val="bullet"/>
      <w:lvlText w:val="•"/>
      <w:lvlJc w:val="left"/>
      <w:pPr>
        <w:tabs>
          <w:tab w:val="num" w:pos="2160"/>
        </w:tabs>
        <w:ind w:left="2160" w:hanging="360"/>
      </w:pPr>
      <w:rPr>
        <w:rFonts w:ascii="Arial" w:hAnsi="Arial" w:hint="default"/>
      </w:rPr>
    </w:lvl>
    <w:lvl w:ilvl="3" w:tplc="E67015F8" w:tentative="1">
      <w:start w:val="1"/>
      <w:numFmt w:val="bullet"/>
      <w:lvlText w:val="•"/>
      <w:lvlJc w:val="left"/>
      <w:pPr>
        <w:tabs>
          <w:tab w:val="num" w:pos="2880"/>
        </w:tabs>
        <w:ind w:left="2880" w:hanging="360"/>
      </w:pPr>
      <w:rPr>
        <w:rFonts w:ascii="Arial" w:hAnsi="Arial" w:hint="default"/>
      </w:rPr>
    </w:lvl>
    <w:lvl w:ilvl="4" w:tplc="2F645E24" w:tentative="1">
      <w:start w:val="1"/>
      <w:numFmt w:val="bullet"/>
      <w:lvlText w:val="•"/>
      <w:lvlJc w:val="left"/>
      <w:pPr>
        <w:tabs>
          <w:tab w:val="num" w:pos="3600"/>
        </w:tabs>
        <w:ind w:left="3600" w:hanging="360"/>
      </w:pPr>
      <w:rPr>
        <w:rFonts w:ascii="Arial" w:hAnsi="Arial" w:hint="default"/>
      </w:rPr>
    </w:lvl>
    <w:lvl w:ilvl="5" w:tplc="20D03C38" w:tentative="1">
      <w:start w:val="1"/>
      <w:numFmt w:val="bullet"/>
      <w:lvlText w:val="•"/>
      <w:lvlJc w:val="left"/>
      <w:pPr>
        <w:tabs>
          <w:tab w:val="num" w:pos="4320"/>
        </w:tabs>
        <w:ind w:left="4320" w:hanging="360"/>
      </w:pPr>
      <w:rPr>
        <w:rFonts w:ascii="Arial" w:hAnsi="Arial" w:hint="default"/>
      </w:rPr>
    </w:lvl>
    <w:lvl w:ilvl="6" w:tplc="BDA88DDC" w:tentative="1">
      <w:start w:val="1"/>
      <w:numFmt w:val="bullet"/>
      <w:lvlText w:val="•"/>
      <w:lvlJc w:val="left"/>
      <w:pPr>
        <w:tabs>
          <w:tab w:val="num" w:pos="5040"/>
        </w:tabs>
        <w:ind w:left="5040" w:hanging="360"/>
      </w:pPr>
      <w:rPr>
        <w:rFonts w:ascii="Arial" w:hAnsi="Arial" w:hint="default"/>
      </w:rPr>
    </w:lvl>
    <w:lvl w:ilvl="7" w:tplc="ACBE7928" w:tentative="1">
      <w:start w:val="1"/>
      <w:numFmt w:val="bullet"/>
      <w:lvlText w:val="•"/>
      <w:lvlJc w:val="left"/>
      <w:pPr>
        <w:tabs>
          <w:tab w:val="num" w:pos="5760"/>
        </w:tabs>
        <w:ind w:left="5760" w:hanging="360"/>
      </w:pPr>
      <w:rPr>
        <w:rFonts w:ascii="Arial" w:hAnsi="Arial" w:hint="default"/>
      </w:rPr>
    </w:lvl>
    <w:lvl w:ilvl="8" w:tplc="8F4CD652" w:tentative="1">
      <w:start w:val="1"/>
      <w:numFmt w:val="bullet"/>
      <w:lvlText w:val="•"/>
      <w:lvlJc w:val="left"/>
      <w:pPr>
        <w:tabs>
          <w:tab w:val="num" w:pos="6480"/>
        </w:tabs>
        <w:ind w:left="6480" w:hanging="360"/>
      </w:pPr>
      <w:rPr>
        <w:rFonts w:ascii="Arial" w:hAnsi="Arial" w:hint="default"/>
      </w:rPr>
    </w:lvl>
  </w:abstractNum>
  <w:abstractNum w:abstractNumId="9">
    <w:nsid w:val="6FD50E76"/>
    <w:multiLevelType w:val="multilevel"/>
    <w:tmpl w:val="FFE20884"/>
    <w:lvl w:ilvl="0">
      <w:start w:val="2"/>
      <w:numFmt w:val="decimal"/>
      <w:lvlText w:val="%1."/>
      <w:lvlJc w:val="left"/>
      <w:pPr>
        <w:ind w:left="495" w:hanging="495"/>
      </w:pPr>
      <w:rPr>
        <w:rFonts w:hint="default"/>
      </w:rPr>
    </w:lvl>
    <w:lvl w:ilvl="1">
      <w:start w:val="2"/>
      <w:numFmt w:val="decimal"/>
      <w:lvlText w:val="%1.%2."/>
      <w:lvlJc w:val="left"/>
      <w:pPr>
        <w:ind w:left="1035" w:hanging="495"/>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nsid w:val="72F74770"/>
    <w:multiLevelType w:val="hybridMultilevel"/>
    <w:tmpl w:val="C178BA00"/>
    <w:lvl w:ilvl="0" w:tplc="495A9A58">
      <w:start w:val="1"/>
      <w:numFmt w:val="bullet"/>
      <w:lvlText w:val="•"/>
      <w:lvlJc w:val="left"/>
      <w:pPr>
        <w:tabs>
          <w:tab w:val="num" w:pos="720"/>
        </w:tabs>
        <w:ind w:left="720" w:hanging="360"/>
      </w:pPr>
      <w:rPr>
        <w:rFonts w:ascii="Arial" w:hAnsi="Arial" w:hint="default"/>
      </w:rPr>
    </w:lvl>
    <w:lvl w:ilvl="1" w:tplc="93DC0356" w:tentative="1">
      <w:start w:val="1"/>
      <w:numFmt w:val="bullet"/>
      <w:lvlText w:val="•"/>
      <w:lvlJc w:val="left"/>
      <w:pPr>
        <w:tabs>
          <w:tab w:val="num" w:pos="1440"/>
        </w:tabs>
        <w:ind w:left="1440" w:hanging="360"/>
      </w:pPr>
      <w:rPr>
        <w:rFonts w:ascii="Arial" w:hAnsi="Arial" w:hint="default"/>
      </w:rPr>
    </w:lvl>
    <w:lvl w:ilvl="2" w:tplc="372E64D6" w:tentative="1">
      <w:start w:val="1"/>
      <w:numFmt w:val="bullet"/>
      <w:lvlText w:val="•"/>
      <w:lvlJc w:val="left"/>
      <w:pPr>
        <w:tabs>
          <w:tab w:val="num" w:pos="2160"/>
        </w:tabs>
        <w:ind w:left="2160" w:hanging="360"/>
      </w:pPr>
      <w:rPr>
        <w:rFonts w:ascii="Arial" w:hAnsi="Arial" w:hint="default"/>
      </w:rPr>
    </w:lvl>
    <w:lvl w:ilvl="3" w:tplc="02968370" w:tentative="1">
      <w:start w:val="1"/>
      <w:numFmt w:val="bullet"/>
      <w:lvlText w:val="•"/>
      <w:lvlJc w:val="left"/>
      <w:pPr>
        <w:tabs>
          <w:tab w:val="num" w:pos="2880"/>
        </w:tabs>
        <w:ind w:left="2880" w:hanging="360"/>
      </w:pPr>
      <w:rPr>
        <w:rFonts w:ascii="Arial" w:hAnsi="Arial" w:hint="default"/>
      </w:rPr>
    </w:lvl>
    <w:lvl w:ilvl="4" w:tplc="C4EE6BCE" w:tentative="1">
      <w:start w:val="1"/>
      <w:numFmt w:val="bullet"/>
      <w:lvlText w:val="•"/>
      <w:lvlJc w:val="left"/>
      <w:pPr>
        <w:tabs>
          <w:tab w:val="num" w:pos="3600"/>
        </w:tabs>
        <w:ind w:left="3600" w:hanging="360"/>
      </w:pPr>
      <w:rPr>
        <w:rFonts w:ascii="Arial" w:hAnsi="Arial" w:hint="default"/>
      </w:rPr>
    </w:lvl>
    <w:lvl w:ilvl="5" w:tplc="3A147E9E" w:tentative="1">
      <w:start w:val="1"/>
      <w:numFmt w:val="bullet"/>
      <w:lvlText w:val="•"/>
      <w:lvlJc w:val="left"/>
      <w:pPr>
        <w:tabs>
          <w:tab w:val="num" w:pos="4320"/>
        </w:tabs>
        <w:ind w:left="4320" w:hanging="360"/>
      </w:pPr>
      <w:rPr>
        <w:rFonts w:ascii="Arial" w:hAnsi="Arial" w:hint="default"/>
      </w:rPr>
    </w:lvl>
    <w:lvl w:ilvl="6" w:tplc="13AC126C" w:tentative="1">
      <w:start w:val="1"/>
      <w:numFmt w:val="bullet"/>
      <w:lvlText w:val="•"/>
      <w:lvlJc w:val="left"/>
      <w:pPr>
        <w:tabs>
          <w:tab w:val="num" w:pos="5040"/>
        </w:tabs>
        <w:ind w:left="5040" w:hanging="360"/>
      </w:pPr>
      <w:rPr>
        <w:rFonts w:ascii="Arial" w:hAnsi="Arial" w:hint="default"/>
      </w:rPr>
    </w:lvl>
    <w:lvl w:ilvl="7" w:tplc="3E92DF60" w:tentative="1">
      <w:start w:val="1"/>
      <w:numFmt w:val="bullet"/>
      <w:lvlText w:val="•"/>
      <w:lvlJc w:val="left"/>
      <w:pPr>
        <w:tabs>
          <w:tab w:val="num" w:pos="5760"/>
        </w:tabs>
        <w:ind w:left="5760" w:hanging="360"/>
      </w:pPr>
      <w:rPr>
        <w:rFonts w:ascii="Arial" w:hAnsi="Arial" w:hint="default"/>
      </w:rPr>
    </w:lvl>
    <w:lvl w:ilvl="8" w:tplc="150E3EE2" w:tentative="1">
      <w:start w:val="1"/>
      <w:numFmt w:val="bullet"/>
      <w:lvlText w:val="•"/>
      <w:lvlJc w:val="left"/>
      <w:pPr>
        <w:tabs>
          <w:tab w:val="num" w:pos="6480"/>
        </w:tabs>
        <w:ind w:left="6480" w:hanging="360"/>
      </w:pPr>
      <w:rPr>
        <w:rFonts w:ascii="Arial" w:hAnsi="Arial" w:hint="default"/>
      </w:rPr>
    </w:lvl>
  </w:abstractNum>
  <w:abstractNum w:abstractNumId="11">
    <w:nsid w:val="753954F6"/>
    <w:multiLevelType w:val="hybridMultilevel"/>
    <w:tmpl w:val="3B86E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5"/>
  </w:num>
  <w:num w:numId="5">
    <w:abstractNumId w:val="9"/>
  </w:num>
  <w:num w:numId="6">
    <w:abstractNumId w:val="1"/>
  </w:num>
  <w:num w:numId="7">
    <w:abstractNumId w:val="3"/>
  </w:num>
  <w:num w:numId="8">
    <w:abstractNumId w:val="8"/>
  </w:num>
  <w:num w:numId="9">
    <w:abstractNumId w:val="10"/>
  </w:num>
  <w:num w:numId="10">
    <w:abstractNumId w:val="4"/>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BAF"/>
    <w:rsid w:val="00002879"/>
    <w:rsid w:val="00005DB5"/>
    <w:rsid w:val="00020F57"/>
    <w:rsid w:val="00021713"/>
    <w:rsid w:val="000520B7"/>
    <w:rsid w:val="0005652A"/>
    <w:rsid w:val="000668D9"/>
    <w:rsid w:val="00075733"/>
    <w:rsid w:val="000815A5"/>
    <w:rsid w:val="000857FB"/>
    <w:rsid w:val="00086AF1"/>
    <w:rsid w:val="000874CA"/>
    <w:rsid w:val="000928A5"/>
    <w:rsid w:val="000A0E93"/>
    <w:rsid w:val="000B0ECE"/>
    <w:rsid w:val="000F61CD"/>
    <w:rsid w:val="00105725"/>
    <w:rsid w:val="00111CB9"/>
    <w:rsid w:val="00115B6A"/>
    <w:rsid w:val="001175E9"/>
    <w:rsid w:val="00117E05"/>
    <w:rsid w:val="001215F0"/>
    <w:rsid w:val="00122679"/>
    <w:rsid w:val="001344E7"/>
    <w:rsid w:val="00134905"/>
    <w:rsid w:val="00137794"/>
    <w:rsid w:val="00170E90"/>
    <w:rsid w:val="00187656"/>
    <w:rsid w:val="00190891"/>
    <w:rsid w:val="00194626"/>
    <w:rsid w:val="00196A79"/>
    <w:rsid w:val="001A3026"/>
    <w:rsid w:val="001A388A"/>
    <w:rsid w:val="001E5069"/>
    <w:rsid w:val="001E6086"/>
    <w:rsid w:val="001F0AA5"/>
    <w:rsid w:val="001F2A1B"/>
    <w:rsid w:val="00203546"/>
    <w:rsid w:val="002117FC"/>
    <w:rsid w:val="00214913"/>
    <w:rsid w:val="00236C94"/>
    <w:rsid w:val="0024032B"/>
    <w:rsid w:val="00241742"/>
    <w:rsid w:val="00244567"/>
    <w:rsid w:val="00247FE5"/>
    <w:rsid w:val="00267B2E"/>
    <w:rsid w:val="00277BA1"/>
    <w:rsid w:val="002848E5"/>
    <w:rsid w:val="002A484D"/>
    <w:rsid w:val="002B6DCF"/>
    <w:rsid w:val="002C4618"/>
    <w:rsid w:val="002D0D3E"/>
    <w:rsid w:val="002D0F7F"/>
    <w:rsid w:val="002D2CDC"/>
    <w:rsid w:val="002D66B3"/>
    <w:rsid w:val="002E1A1E"/>
    <w:rsid w:val="003072D7"/>
    <w:rsid w:val="0031504D"/>
    <w:rsid w:val="00321BF2"/>
    <w:rsid w:val="00323E6E"/>
    <w:rsid w:val="00324CD5"/>
    <w:rsid w:val="00324FE7"/>
    <w:rsid w:val="00333BC1"/>
    <w:rsid w:val="0034159C"/>
    <w:rsid w:val="0034720A"/>
    <w:rsid w:val="00373882"/>
    <w:rsid w:val="00387EFD"/>
    <w:rsid w:val="0039549D"/>
    <w:rsid w:val="003965EB"/>
    <w:rsid w:val="0039782F"/>
    <w:rsid w:val="00397865"/>
    <w:rsid w:val="003A2F9D"/>
    <w:rsid w:val="003B01CF"/>
    <w:rsid w:val="003B7BBE"/>
    <w:rsid w:val="003C2D34"/>
    <w:rsid w:val="003C6BEA"/>
    <w:rsid w:val="003E2663"/>
    <w:rsid w:val="003E64B8"/>
    <w:rsid w:val="003F1AF6"/>
    <w:rsid w:val="003F2928"/>
    <w:rsid w:val="004330A0"/>
    <w:rsid w:val="00461AEA"/>
    <w:rsid w:val="00462B30"/>
    <w:rsid w:val="00467AEB"/>
    <w:rsid w:val="0048615F"/>
    <w:rsid w:val="004A3FE5"/>
    <w:rsid w:val="004B0D84"/>
    <w:rsid w:val="004B1B4D"/>
    <w:rsid w:val="004B3483"/>
    <w:rsid w:val="004B55AC"/>
    <w:rsid w:val="004C0FE9"/>
    <w:rsid w:val="004C61F0"/>
    <w:rsid w:val="004C6CD6"/>
    <w:rsid w:val="004D4C45"/>
    <w:rsid w:val="004F74AE"/>
    <w:rsid w:val="005342DE"/>
    <w:rsid w:val="00534EB9"/>
    <w:rsid w:val="005359DB"/>
    <w:rsid w:val="00554AD6"/>
    <w:rsid w:val="005621DA"/>
    <w:rsid w:val="0057074F"/>
    <w:rsid w:val="00570945"/>
    <w:rsid w:val="00571B88"/>
    <w:rsid w:val="00572AE0"/>
    <w:rsid w:val="005730A8"/>
    <w:rsid w:val="00594AED"/>
    <w:rsid w:val="005974F3"/>
    <w:rsid w:val="005A0C35"/>
    <w:rsid w:val="005B5059"/>
    <w:rsid w:val="005B68ED"/>
    <w:rsid w:val="005C0058"/>
    <w:rsid w:val="005C3A24"/>
    <w:rsid w:val="005C4B42"/>
    <w:rsid w:val="005E07CF"/>
    <w:rsid w:val="005E0D4E"/>
    <w:rsid w:val="005F5A94"/>
    <w:rsid w:val="005F7672"/>
    <w:rsid w:val="0060244F"/>
    <w:rsid w:val="00605E50"/>
    <w:rsid w:val="00645380"/>
    <w:rsid w:val="0064713B"/>
    <w:rsid w:val="00674DFA"/>
    <w:rsid w:val="006758B8"/>
    <w:rsid w:val="00676EC6"/>
    <w:rsid w:val="00690BB5"/>
    <w:rsid w:val="00692941"/>
    <w:rsid w:val="006B0A3E"/>
    <w:rsid w:val="006B4154"/>
    <w:rsid w:val="006B5FCC"/>
    <w:rsid w:val="006C0A60"/>
    <w:rsid w:val="006C48D5"/>
    <w:rsid w:val="006C5C6F"/>
    <w:rsid w:val="006D35D3"/>
    <w:rsid w:val="006D3950"/>
    <w:rsid w:val="006F2055"/>
    <w:rsid w:val="007003E9"/>
    <w:rsid w:val="00705D69"/>
    <w:rsid w:val="00707466"/>
    <w:rsid w:val="00713627"/>
    <w:rsid w:val="007177EE"/>
    <w:rsid w:val="00721872"/>
    <w:rsid w:val="00723F70"/>
    <w:rsid w:val="0072554F"/>
    <w:rsid w:val="00737771"/>
    <w:rsid w:val="0074366E"/>
    <w:rsid w:val="00744677"/>
    <w:rsid w:val="00746FB3"/>
    <w:rsid w:val="007572CE"/>
    <w:rsid w:val="0076105B"/>
    <w:rsid w:val="00761FA1"/>
    <w:rsid w:val="007650E9"/>
    <w:rsid w:val="00770D7D"/>
    <w:rsid w:val="007C6693"/>
    <w:rsid w:val="007F12E5"/>
    <w:rsid w:val="008142DB"/>
    <w:rsid w:val="0083526E"/>
    <w:rsid w:val="00835462"/>
    <w:rsid w:val="0084058A"/>
    <w:rsid w:val="00856EA4"/>
    <w:rsid w:val="00874427"/>
    <w:rsid w:val="00880397"/>
    <w:rsid w:val="00887E30"/>
    <w:rsid w:val="0089293D"/>
    <w:rsid w:val="00893357"/>
    <w:rsid w:val="008B2965"/>
    <w:rsid w:val="008B3D19"/>
    <w:rsid w:val="008C232A"/>
    <w:rsid w:val="008C3B18"/>
    <w:rsid w:val="008D3F8F"/>
    <w:rsid w:val="008D6865"/>
    <w:rsid w:val="008F2E92"/>
    <w:rsid w:val="008F3050"/>
    <w:rsid w:val="008F4662"/>
    <w:rsid w:val="0090094D"/>
    <w:rsid w:val="0091166E"/>
    <w:rsid w:val="0091304C"/>
    <w:rsid w:val="0091777F"/>
    <w:rsid w:val="00925125"/>
    <w:rsid w:val="009269D0"/>
    <w:rsid w:val="00940A5E"/>
    <w:rsid w:val="009736B7"/>
    <w:rsid w:val="00974DDB"/>
    <w:rsid w:val="0097571B"/>
    <w:rsid w:val="00976409"/>
    <w:rsid w:val="0098486E"/>
    <w:rsid w:val="009A41F0"/>
    <w:rsid w:val="009A4BFA"/>
    <w:rsid w:val="009A53F6"/>
    <w:rsid w:val="009B6A74"/>
    <w:rsid w:val="009C647B"/>
    <w:rsid w:val="009D299B"/>
    <w:rsid w:val="009F0B7E"/>
    <w:rsid w:val="009F2E42"/>
    <w:rsid w:val="00A06F30"/>
    <w:rsid w:val="00A1299F"/>
    <w:rsid w:val="00A237E7"/>
    <w:rsid w:val="00A35695"/>
    <w:rsid w:val="00A45F59"/>
    <w:rsid w:val="00A472FC"/>
    <w:rsid w:val="00A51EF0"/>
    <w:rsid w:val="00A530ED"/>
    <w:rsid w:val="00A54E16"/>
    <w:rsid w:val="00A71E52"/>
    <w:rsid w:val="00A72BAF"/>
    <w:rsid w:val="00A74E52"/>
    <w:rsid w:val="00AA2059"/>
    <w:rsid w:val="00AA5756"/>
    <w:rsid w:val="00AD13A9"/>
    <w:rsid w:val="00AE3512"/>
    <w:rsid w:val="00AE61E6"/>
    <w:rsid w:val="00AF39D6"/>
    <w:rsid w:val="00AF43F3"/>
    <w:rsid w:val="00B13024"/>
    <w:rsid w:val="00B24201"/>
    <w:rsid w:val="00B24D0B"/>
    <w:rsid w:val="00B40726"/>
    <w:rsid w:val="00B42FB1"/>
    <w:rsid w:val="00B5751E"/>
    <w:rsid w:val="00B577F7"/>
    <w:rsid w:val="00BA528E"/>
    <w:rsid w:val="00BC7515"/>
    <w:rsid w:val="00BD0812"/>
    <w:rsid w:val="00BD0EC7"/>
    <w:rsid w:val="00BD4EBB"/>
    <w:rsid w:val="00BD5ED6"/>
    <w:rsid w:val="00BE786E"/>
    <w:rsid w:val="00BE7C59"/>
    <w:rsid w:val="00BF2810"/>
    <w:rsid w:val="00BF3FBD"/>
    <w:rsid w:val="00C0599E"/>
    <w:rsid w:val="00C0640C"/>
    <w:rsid w:val="00C07C70"/>
    <w:rsid w:val="00C10DE5"/>
    <w:rsid w:val="00C23417"/>
    <w:rsid w:val="00C23FCD"/>
    <w:rsid w:val="00C33B7C"/>
    <w:rsid w:val="00C40100"/>
    <w:rsid w:val="00C433A6"/>
    <w:rsid w:val="00C453F7"/>
    <w:rsid w:val="00C50C00"/>
    <w:rsid w:val="00C52535"/>
    <w:rsid w:val="00C55B2F"/>
    <w:rsid w:val="00C56DB6"/>
    <w:rsid w:val="00C60CC6"/>
    <w:rsid w:val="00C63FF1"/>
    <w:rsid w:val="00C65B2F"/>
    <w:rsid w:val="00C71D05"/>
    <w:rsid w:val="00C733FC"/>
    <w:rsid w:val="00C7450C"/>
    <w:rsid w:val="00C96280"/>
    <w:rsid w:val="00CA645F"/>
    <w:rsid w:val="00CC01C6"/>
    <w:rsid w:val="00CC2B2B"/>
    <w:rsid w:val="00D01F15"/>
    <w:rsid w:val="00D061FC"/>
    <w:rsid w:val="00D1794B"/>
    <w:rsid w:val="00D314AE"/>
    <w:rsid w:val="00D32DE7"/>
    <w:rsid w:val="00D43E0F"/>
    <w:rsid w:val="00D60C0D"/>
    <w:rsid w:val="00D60D84"/>
    <w:rsid w:val="00D77CA0"/>
    <w:rsid w:val="00D81562"/>
    <w:rsid w:val="00D82548"/>
    <w:rsid w:val="00D86DDB"/>
    <w:rsid w:val="00D919D4"/>
    <w:rsid w:val="00D93C6B"/>
    <w:rsid w:val="00D9602E"/>
    <w:rsid w:val="00D976A1"/>
    <w:rsid w:val="00DA026E"/>
    <w:rsid w:val="00DB4B9D"/>
    <w:rsid w:val="00DB7B77"/>
    <w:rsid w:val="00DB7CC8"/>
    <w:rsid w:val="00DE23EA"/>
    <w:rsid w:val="00DE45E0"/>
    <w:rsid w:val="00DF1B4D"/>
    <w:rsid w:val="00DF335D"/>
    <w:rsid w:val="00DF4559"/>
    <w:rsid w:val="00E0415F"/>
    <w:rsid w:val="00E14A70"/>
    <w:rsid w:val="00E26EBC"/>
    <w:rsid w:val="00E4643A"/>
    <w:rsid w:val="00E600D1"/>
    <w:rsid w:val="00E65E3A"/>
    <w:rsid w:val="00E95335"/>
    <w:rsid w:val="00EA3A0D"/>
    <w:rsid w:val="00EB1F19"/>
    <w:rsid w:val="00EB643F"/>
    <w:rsid w:val="00EB69C2"/>
    <w:rsid w:val="00ED2614"/>
    <w:rsid w:val="00ED2C3F"/>
    <w:rsid w:val="00EF0643"/>
    <w:rsid w:val="00EF48DC"/>
    <w:rsid w:val="00F070F4"/>
    <w:rsid w:val="00F27289"/>
    <w:rsid w:val="00F4412D"/>
    <w:rsid w:val="00F44B70"/>
    <w:rsid w:val="00F563DD"/>
    <w:rsid w:val="00F57163"/>
    <w:rsid w:val="00F83E71"/>
    <w:rsid w:val="00F84024"/>
    <w:rsid w:val="00FB4389"/>
    <w:rsid w:val="00FC25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4B1B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8D3F8F"/>
    <w:rPr>
      <w:b/>
      <w:bCs/>
    </w:rPr>
  </w:style>
  <w:style w:type="paragraph" w:styleId="Listenabsatz">
    <w:name w:val="List Paragraph"/>
    <w:basedOn w:val="Standard"/>
    <w:uiPriority w:val="34"/>
    <w:qFormat/>
    <w:rsid w:val="008D3F8F"/>
    <w:pPr>
      <w:ind w:left="720"/>
      <w:contextualSpacing/>
    </w:pPr>
  </w:style>
  <w:style w:type="character" w:styleId="Hervorhebung">
    <w:name w:val="Emphasis"/>
    <w:basedOn w:val="Absatz-Standardschriftart"/>
    <w:uiPriority w:val="20"/>
    <w:qFormat/>
    <w:rsid w:val="000F61CD"/>
    <w:rPr>
      <w:i/>
      <w:iCs/>
    </w:rPr>
  </w:style>
  <w:style w:type="character" w:styleId="Hyperlink">
    <w:name w:val="Hyperlink"/>
    <w:basedOn w:val="Absatz-Standardschriftart"/>
    <w:uiPriority w:val="99"/>
    <w:unhideWhenUsed/>
    <w:rsid w:val="00B577F7"/>
    <w:rPr>
      <w:color w:val="0000FF"/>
      <w:u w:val="single"/>
    </w:rPr>
  </w:style>
  <w:style w:type="table" w:styleId="HelleSchattierung">
    <w:name w:val="Light Shading"/>
    <w:basedOn w:val="NormaleTabelle"/>
    <w:uiPriority w:val="60"/>
    <w:rsid w:val="00B577F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Funotentext">
    <w:name w:val="footnote text"/>
    <w:basedOn w:val="Standard"/>
    <w:link w:val="FunotentextZchn"/>
    <w:uiPriority w:val="99"/>
    <w:semiHidden/>
    <w:unhideWhenUsed/>
    <w:rsid w:val="00C10DE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10DE5"/>
    <w:rPr>
      <w:sz w:val="20"/>
      <w:szCs w:val="20"/>
    </w:rPr>
  </w:style>
  <w:style w:type="character" w:styleId="Funotenzeichen">
    <w:name w:val="footnote reference"/>
    <w:basedOn w:val="Absatz-Standardschriftart"/>
    <w:uiPriority w:val="99"/>
    <w:semiHidden/>
    <w:unhideWhenUsed/>
    <w:rsid w:val="00C10DE5"/>
    <w:rPr>
      <w:vertAlign w:val="superscript"/>
    </w:rPr>
  </w:style>
  <w:style w:type="table" w:styleId="Tabellenraster">
    <w:name w:val="Table Grid"/>
    <w:basedOn w:val="NormaleTabelle"/>
    <w:uiPriority w:val="59"/>
    <w:rsid w:val="00562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lug-doi-wrapper">
    <w:name w:val="slug-doi-wrapper"/>
    <w:basedOn w:val="Absatz-Standardschriftart"/>
    <w:rsid w:val="0084058A"/>
  </w:style>
  <w:style w:type="character" w:customStyle="1" w:styleId="slug-doi">
    <w:name w:val="slug-doi"/>
    <w:basedOn w:val="Absatz-Standardschriftart"/>
    <w:rsid w:val="0084058A"/>
  </w:style>
  <w:style w:type="paragraph" w:styleId="Sprechblasentext">
    <w:name w:val="Balloon Text"/>
    <w:basedOn w:val="Standard"/>
    <w:link w:val="SprechblasentextZchn"/>
    <w:uiPriority w:val="99"/>
    <w:semiHidden/>
    <w:unhideWhenUsed/>
    <w:rsid w:val="0084058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058A"/>
    <w:rPr>
      <w:rFonts w:ascii="Tahoma" w:hAnsi="Tahoma" w:cs="Tahoma"/>
      <w:sz w:val="16"/>
      <w:szCs w:val="16"/>
    </w:rPr>
  </w:style>
  <w:style w:type="paragraph" w:styleId="StandardWeb">
    <w:name w:val="Normal (Web)"/>
    <w:basedOn w:val="Standard"/>
    <w:uiPriority w:val="99"/>
    <w:semiHidden/>
    <w:unhideWhenUsed/>
    <w:rsid w:val="0024456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4B1B4D"/>
    <w:rPr>
      <w:rFonts w:ascii="Times New Roman" w:eastAsia="Times New Roman" w:hAnsi="Times New Roman" w:cs="Times New Roman"/>
      <w:b/>
      <w:bCs/>
      <w:kern w:val="36"/>
      <w:sz w:val="48"/>
      <w:szCs w:val="48"/>
      <w:lang w:eastAsia="de-DE"/>
    </w:rPr>
  </w:style>
  <w:style w:type="paragraph" w:styleId="Kopfzeile">
    <w:name w:val="header"/>
    <w:basedOn w:val="Standard"/>
    <w:link w:val="KopfzeileZchn"/>
    <w:uiPriority w:val="99"/>
    <w:unhideWhenUsed/>
    <w:rsid w:val="00C23FC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3FCD"/>
  </w:style>
  <w:style w:type="paragraph" w:styleId="Fuzeile">
    <w:name w:val="footer"/>
    <w:basedOn w:val="Standard"/>
    <w:link w:val="FuzeileZchn"/>
    <w:uiPriority w:val="99"/>
    <w:unhideWhenUsed/>
    <w:rsid w:val="00C23FC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3FCD"/>
  </w:style>
  <w:style w:type="character" w:styleId="HTMLZitat">
    <w:name w:val="HTML Cite"/>
    <w:basedOn w:val="Absatz-Standardschriftart"/>
    <w:uiPriority w:val="99"/>
    <w:semiHidden/>
    <w:unhideWhenUsed/>
    <w:rsid w:val="00203546"/>
    <w:rPr>
      <w:i/>
      <w:iCs/>
    </w:rPr>
  </w:style>
  <w:style w:type="character" w:customStyle="1" w:styleId="slug-pub-date">
    <w:name w:val="slug-pub-date"/>
    <w:basedOn w:val="Absatz-Standardschriftart"/>
    <w:rsid w:val="00203546"/>
  </w:style>
  <w:style w:type="character" w:customStyle="1" w:styleId="slug-vol">
    <w:name w:val="slug-vol"/>
    <w:basedOn w:val="Absatz-Standardschriftart"/>
    <w:rsid w:val="00203546"/>
  </w:style>
  <w:style w:type="character" w:customStyle="1" w:styleId="slug-issue">
    <w:name w:val="slug-issue"/>
    <w:basedOn w:val="Absatz-Standardschriftart"/>
    <w:rsid w:val="00203546"/>
  </w:style>
  <w:style w:type="character" w:customStyle="1" w:styleId="slug-pages">
    <w:name w:val="slug-pages"/>
    <w:basedOn w:val="Absatz-Standardschriftart"/>
    <w:rsid w:val="002035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4B1B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8D3F8F"/>
    <w:rPr>
      <w:b/>
      <w:bCs/>
    </w:rPr>
  </w:style>
  <w:style w:type="paragraph" w:styleId="Listenabsatz">
    <w:name w:val="List Paragraph"/>
    <w:basedOn w:val="Standard"/>
    <w:uiPriority w:val="34"/>
    <w:qFormat/>
    <w:rsid w:val="008D3F8F"/>
    <w:pPr>
      <w:ind w:left="720"/>
      <w:contextualSpacing/>
    </w:pPr>
  </w:style>
  <w:style w:type="character" w:styleId="Hervorhebung">
    <w:name w:val="Emphasis"/>
    <w:basedOn w:val="Absatz-Standardschriftart"/>
    <w:uiPriority w:val="20"/>
    <w:qFormat/>
    <w:rsid w:val="000F61CD"/>
    <w:rPr>
      <w:i/>
      <w:iCs/>
    </w:rPr>
  </w:style>
  <w:style w:type="character" w:styleId="Hyperlink">
    <w:name w:val="Hyperlink"/>
    <w:basedOn w:val="Absatz-Standardschriftart"/>
    <w:uiPriority w:val="99"/>
    <w:unhideWhenUsed/>
    <w:rsid w:val="00B577F7"/>
    <w:rPr>
      <w:color w:val="0000FF"/>
      <w:u w:val="single"/>
    </w:rPr>
  </w:style>
  <w:style w:type="table" w:styleId="HelleSchattierung">
    <w:name w:val="Light Shading"/>
    <w:basedOn w:val="NormaleTabelle"/>
    <w:uiPriority w:val="60"/>
    <w:rsid w:val="00B577F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Funotentext">
    <w:name w:val="footnote text"/>
    <w:basedOn w:val="Standard"/>
    <w:link w:val="FunotentextZchn"/>
    <w:uiPriority w:val="99"/>
    <w:semiHidden/>
    <w:unhideWhenUsed/>
    <w:rsid w:val="00C10DE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10DE5"/>
    <w:rPr>
      <w:sz w:val="20"/>
      <w:szCs w:val="20"/>
    </w:rPr>
  </w:style>
  <w:style w:type="character" w:styleId="Funotenzeichen">
    <w:name w:val="footnote reference"/>
    <w:basedOn w:val="Absatz-Standardschriftart"/>
    <w:uiPriority w:val="99"/>
    <w:semiHidden/>
    <w:unhideWhenUsed/>
    <w:rsid w:val="00C10DE5"/>
    <w:rPr>
      <w:vertAlign w:val="superscript"/>
    </w:rPr>
  </w:style>
  <w:style w:type="table" w:styleId="Tabellenraster">
    <w:name w:val="Table Grid"/>
    <w:basedOn w:val="NormaleTabelle"/>
    <w:uiPriority w:val="59"/>
    <w:rsid w:val="00562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lug-doi-wrapper">
    <w:name w:val="slug-doi-wrapper"/>
    <w:basedOn w:val="Absatz-Standardschriftart"/>
    <w:rsid w:val="0084058A"/>
  </w:style>
  <w:style w:type="character" w:customStyle="1" w:styleId="slug-doi">
    <w:name w:val="slug-doi"/>
    <w:basedOn w:val="Absatz-Standardschriftart"/>
    <w:rsid w:val="0084058A"/>
  </w:style>
  <w:style w:type="paragraph" w:styleId="Sprechblasentext">
    <w:name w:val="Balloon Text"/>
    <w:basedOn w:val="Standard"/>
    <w:link w:val="SprechblasentextZchn"/>
    <w:uiPriority w:val="99"/>
    <w:semiHidden/>
    <w:unhideWhenUsed/>
    <w:rsid w:val="0084058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058A"/>
    <w:rPr>
      <w:rFonts w:ascii="Tahoma" w:hAnsi="Tahoma" w:cs="Tahoma"/>
      <w:sz w:val="16"/>
      <w:szCs w:val="16"/>
    </w:rPr>
  </w:style>
  <w:style w:type="paragraph" w:styleId="StandardWeb">
    <w:name w:val="Normal (Web)"/>
    <w:basedOn w:val="Standard"/>
    <w:uiPriority w:val="99"/>
    <w:semiHidden/>
    <w:unhideWhenUsed/>
    <w:rsid w:val="0024456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4B1B4D"/>
    <w:rPr>
      <w:rFonts w:ascii="Times New Roman" w:eastAsia="Times New Roman" w:hAnsi="Times New Roman" w:cs="Times New Roman"/>
      <w:b/>
      <w:bCs/>
      <w:kern w:val="36"/>
      <w:sz w:val="48"/>
      <w:szCs w:val="48"/>
      <w:lang w:eastAsia="de-DE"/>
    </w:rPr>
  </w:style>
  <w:style w:type="paragraph" w:styleId="Kopfzeile">
    <w:name w:val="header"/>
    <w:basedOn w:val="Standard"/>
    <w:link w:val="KopfzeileZchn"/>
    <w:uiPriority w:val="99"/>
    <w:unhideWhenUsed/>
    <w:rsid w:val="00C23FC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3FCD"/>
  </w:style>
  <w:style w:type="paragraph" w:styleId="Fuzeile">
    <w:name w:val="footer"/>
    <w:basedOn w:val="Standard"/>
    <w:link w:val="FuzeileZchn"/>
    <w:uiPriority w:val="99"/>
    <w:unhideWhenUsed/>
    <w:rsid w:val="00C23FC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3FCD"/>
  </w:style>
  <w:style w:type="character" w:styleId="HTMLZitat">
    <w:name w:val="HTML Cite"/>
    <w:basedOn w:val="Absatz-Standardschriftart"/>
    <w:uiPriority w:val="99"/>
    <w:semiHidden/>
    <w:unhideWhenUsed/>
    <w:rsid w:val="00203546"/>
    <w:rPr>
      <w:i/>
      <w:iCs/>
    </w:rPr>
  </w:style>
  <w:style w:type="character" w:customStyle="1" w:styleId="slug-pub-date">
    <w:name w:val="slug-pub-date"/>
    <w:basedOn w:val="Absatz-Standardschriftart"/>
    <w:rsid w:val="00203546"/>
  </w:style>
  <w:style w:type="character" w:customStyle="1" w:styleId="slug-vol">
    <w:name w:val="slug-vol"/>
    <w:basedOn w:val="Absatz-Standardschriftart"/>
    <w:rsid w:val="00203546"/>
  </w:style>
  <w:style w:type="character" w:customStyle="1" w:styleId="slug-issue">
    <w:name w:val="slug-issue"/>
    <w:basedOn w:val="Absatz-Standardschriftart"/>
    <w:rsid w:val="00203546"/>
  </w:style>
  <w:style w:type="character" w:customStyle="1" w:styleId="slug-pages">
    <w:name w:val="slug-pages"/>
    <w:basedOn w:val="Absatz-Standardschriftart"/>
    <w:rsid w:val="00203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341472">
      <w:bodyDiv w:val="1"/>
      <w:marLeft w:val="0"/>
      <w:marRight w:val="0"/>
      <w:marTop w:val="0"/>
      <w:marBottom w:val="0"/>
      <w:divBdr>
        <w:top w:val="none" w:sz="0" w:space="0" w:color="auto"/>
        <w:left w:val="none" w:sz="0" w:space="0" w:color="auto"/>
        <w:bottom w:val="none" w:sz="0" w:space="0" w:color="auto"/>
        <w:right w:val="none" w:sz="0" w:space="0" w:color="auto"/>
      </w:divBdr>
    </w:div>
    <w:div w:id="539362773">
      <w:bodyDiv w:val="1"/>
      <w:marLeft w:val="0"/>
      <w:marRight w:val="0"/>
      <w:marTop w:val="0"/>
      <w:marBottom w:val="0"/>
      <w:divBdr>
        <w:top w:val="none" w:sz="0" w:space="0" w:color="auto"/>
        <w:left w:val="none" w:sz="0" w:space="0" w:color="auto"/>
        <w:bottom w:val="none" w:sz="0" w:space="0" w:color="auto"/>
        <w:right w:val="none" w:sz="0" w:space="0" w:color="auto"/>
      </w:divBdr>
    </w:div>
    <w:div w:id="583761389">
      <w:bodyDiv w:val="1"/>
      <w:marLeft w:val="0"/>
      <w:marRight w:val="0"/>
      <w:marTop w:val="0"/>
      <w:marBottom w:val="0"/>
      <w:divBdr>
        <w:top w:val="none" w:sz="0" w:space="0" w:color="auto"/>
        <w:left w:val="none" w:sz="0" w:space="0" w:color="auto"/>
        <w:bottom w:val="none" w:sz="0" w:space="0" w:color="auto"/>
        <w:right w:val="none" w:sz="0" w:space="0" w:color="auto"/>
      </w:divBdr>
    </w:div>
    <w:div w:id="655765329">
      <w:bodyDiv w:val="1"/>
      <w:marLeft w:val="0"/>
      <w:marRight w:val="0"/>
      <w:marTop w:val="0"/>
      <w:marBottom w:val="0"/>
      <w:divBdr>
        <w:top w:val="none" w:sz="0" w:space="0" w:color="auto"/>
        <w:left w:val="none" w:sz="0" w:space="0" w:color="auto"/>
        <w:bottom w:val="none" w:sz="0" w:space="0" w:color="auto"/>
        <w:right w:val="none" w:sz="0" w:space="0" w:color="auto"/>
      </w:divBdr>
    </w:div>
    <w:div w:id="731578864">
      <w:bodyDiv w:val="1"/>
      <w:marLeft w:val="0"/>
      <w:marRight w:val="0"/>
      <w:marTop w:val="0"/>
      <w:marBottom w:val="0"/>
      <w:divBdr>
        <w:top w:val="none" w:sz="0" w:space="0" w:color="auto"/>
        <w:left w:val="none" w:sz="0" w:space="0" w:color="auto"/>
        <w:bottom w:val="none" w:sz="0" w:space="0" w:color="auto"/>
        <w:right w:val="none" w:sz="0" w:space="0" w:color="auto"/>
      </w:divBdr>
    </w:div>
    <w:div w:id="756946145">
      <w:bodyDiv w:val="1"/>
      <w:marLeft w:val="0"/>
      <w:marRight w:val="0"/>
      <w:marTop w:val="0"/>
      <w:marBottom w:val="0"/>
      <w:divBdr>
        <w:top w:val="none" w:sz="0" w:space="0" w:color="auto"/>
        <w:left w:val="none" w:sz="0" w:space="0" w:color="auto"/>
        <w:bottom w:val="none" w:sz="0" w:space="0" w:color="auto"/>
        <w:right w:val="none" w:sz="0" w:space="0" w:color="auto"/>
      </w:divBdr>
    </w:div>
    <w:div w:id="1180587893">
      <w:bodyDiv w:val="1"/>
      <w:marLeft w:val="0"/>
      <w:marRight w:val="0"/>
      <w:marTop w:val="0"/>
      <w:marBottom w:val="0"/>
      <w:divBdr>
        <w:top w:val="none" w:sz="0" w:space="0" w:color="auto"/>
        <w:left w:val="none" w:sz="0" w:space="0" w:color="auto"/>
        <w:bottom w:val="none" w:sz="0" w:space="0" w:color="auto"/>
        <w:right w:val="none" w:sz="0" w:space="0" w:color="auto"/>
      </w:divBdr>
      <w:divsChild>
        <w:div w:id="1021323278">
          <w:marLeft w:val="0"/>
          <w:marRight w:val="0"/>
          <w:marTop w:val="0"/>
          <w:marBottom w:val="0"/>
          <w:divBdr>
            <w:top w:val="none" w:sz="0" w:space="0" w:color="auto"/>
            <w:left w:val="none" w:sz="0" w:space="0" w:color="auto"/>
            <w:bottom w:val="none" w:sz="0" w:space="0" w:color="auto"/>
            <w:right w:val="none" w:sz="0" w:space="0" w:color="auto"/>
          </w:divBdr>
        </w:div>
      </w:divsChild>
    </w:div>
    <w:div w:id="1307785632">
      <w:bodyDiv w:val="1"/>
      <w:marLeft w:val="0"/>
      <w:marRight w:val="0"/>
      <w:marTop w:val="0"/>
      <w:marBottom w:val="0"/>
      <w:divBdr>
        <w:top w:val="none" w:sz="0" w:space="0" w:color="auto"/>
        <w:left w:val="none" w:sz="0" w:space="0" w:color="auto"/>
        <w:bottom w:val="none" w:sz="0" w:space="0" w:color="auto"/>
        <w:right w:val="none" w:sz="0" w:space="0" w:color="auto"/>
      </w:divBdr>
      <w:divsChild>
        <w:div w:id="1242913351">
          <w:marLeft w:val="547"/>
          <w:marRight w:val="0"/>
          <w:marTop w:val="0"/>
          <w:marBottom w:val="120"/>
          <w:divBdr>
            <w:top w:val="none" w:sz="0" w:space="0" w:color="auto"/>
            <w:left w:val="none" w:sz="0" w:space="0" w:color="auto"/>
            <w:bottom w:val="none" w:sz="0" w:space="0" w:color="auto"/>
            <w:right w:val="none" w:sz="0" w:space="0" w:color="auto"/>
          </w:divBdr>
        </w:div>
        <w:div w:id="1687904112">
          <w:marLeft w:val="547"/>
          <w:marRight w:val="0"/>
          <w:marTop w:val="0"/>
          <w:marBottom w:val="120"/>
          <w:divBdr>
            <w:top w:val="none" w:sz="0" w:space="0" w:color="auto"/>
            <w:left w:val="none" w:sz="0" w:space="0" w:color="auto"/>
            <w:bottom w:val="none" w:sz="0" w:space="0" w:color="auto"/>
            <w:right w:val="none" w:sz="0" w:space="0" w:color="auto"/>
          </w:divBdr>
        </w:div>
        <w:div w:id="2030445499">
          <w:marLeft w:val="547"/>
          <w:marRight w:val="0"/>
          <w:marTop w:val="0"/>
          <w:marBottom w:val="120"/>
          <w:divBdr>
            <w:top w:val="none" w:sz="0" w:space="0" w:color="auto"/>
            <w:left w:val="none" w:sz="0" w:space="0" w:color="auto"/>
            <w:bottom w:val="none" w:sz="0" w:space="0" w:color="auto"/>
            <w:right w:val="none" w:sz="0" w:space="0" w:color="auto"/>
          </w:divBdr>
        </w:div>
      </w:divsChild>
    </w:div>
    <w:div w:id="1628967803">
      <w:bodyDiv w:val="1"/>
      <w:marLeft w:val="0"/>
      <w:marRight w:val="0"/>
      <w:marTop w:val="0"/>
      <w:marBottom w:val="0"/>
      <w:divBdr>
        <w:top w:val="none" w:sz="0" w:space="0" w:color="auto"/>
        <w:left w:val="none" w:sz="0" w:space="0" w:color="auto"/>
        <w:bottom w:val="none" w:sz="0" w:space="0" w:color="auto"/>
        <w:right w:val="none" w:sz="0" w:space="0" w:color="auto"/>
      </w:divBdr>
    </w:div>
    <w:div w:id="1665627407">
      <w:bodyDiv w:val="1"/>
      <w:marLeft w:val="0"/>
      <w:marRight w:val="0"/>
      <w:marTop w:val="0"/>
      <w:marBottom w:val="0"/>
      <w:divBdr>
        <w:top w:val="none" w:sz="0" w:space="0" w:color="auto"/>
        <w:left w:val="none" w:sz="0" w:space="0" w:color="auto"/>
        <w:bottom w:val="none" w:sz="0" w:space="0" w:color="auto"/>
        <w:right w:val="none" w:sz="0" w:space="0" w:color="auto"/>
      </w:divBdr>
      <w:divsChild>
        <w:div w:id="35204968">
          <w:marLeft w:val="547"/>
          <w:marRight w:val="0"/>
          <w:marTop w:val="0"/>
          <w:marBottom w:val="120"/>
          <w:divBdr>
            <w:top w:val="none" w:sz="0" w:space="0" w:color="auto"/>
            <w:left w:val="none" w:sz="0" w:space="0" w:color="auto"/>
            <w:bottom w:val="none" w:sz="0" w:space="0" w:color="auto"/>
            <w:right w:val="none" w:sz="0" w:space="0" w:color="auto"/>
          </w:divBdr>
        </w:div>
        <w:div w:id="1446537603">
          <w:marLeft w:val="547"/>
          <w:marRight w:val="0"/>
          <w:marTop w:val="0"/>
          <w:marBottom w:val="120"/>
          <w:divBdr>
            <w:top w:val="none" w:sz="0" w:space="0" w:color="auto"/>
            <w:left w:val="none" w:sz="0" w:space="0" w:color="auto"/>
            <w:bottom w:val="none" w:sz="0" w:space="0" w:color="auto"/>
            <w:right w:val="none" w:sz="0" w:space="0" w:color="auto"/>
          </w:divBdr>
        </w:div>
      </w:divsChild>
    </w:div>
    <w:div w:id="1835992130">
      <w:bodyDiv w:val="1"/>
      <w:marLeft w:val="0"/>
      <w:marRight w:val="0"/>
      <w:marTop w:val="0"/>
      <w:marBottom w:val="0"/>
      <w:divBdr>
        <w:top w:val="none" w:sz="0" w:space="0" w:color="auto"/>
        <w:left w:val="none" w:sz="0" w:space="0" w:color="auto"/>
        <w:bottom w:val="none" w:sz="0" w:space="0" w:color="auto"/>
        <w:right w:val="none" w:sz="0" w:space="0" w:color="auto"/>
      </w:divBdr>
      <w:divsChild>
        <w:div w:id="1165516467">
          <w:marLeft w:val="547"/>
          <w:marRight w:val="0"/>
          <w:marTop w:val="0"/>
          <w:marBottom w:val="120"/>
          <w:divBdr>
            <w:top w:val="none" w:sz="0" w:space="0" w:color="auto"/>
            <w:left w:val="none" w:sz="0" w:space="0" w:color="auto"/>
            <w:bottom w:val="none" w:sz="0" w:space="0" w:color="auto"/>
            <w:right w:val="none" w:sz="0" w:space="0" w:color="auto"/>
          </w:divBdr>
        </w:div>
        <w:div w:id="909464575">
          <w:marLeft w:val="547"/>
          <w:marRight w:val="0"/>
          <w:marTop w:val="0"/>
          <w:marBottom w:val="120"/>
          <w:divBdr>
            <w:top w:val="none" w:sz="0" w:space="0" w:color="auto"/>
            <w:left w:val="none" w:sz="0" w:space="0" w:color="auto"/>
            <w:bottom w:val="none" w:sz="0" w:space="0" w:color="auto"/>
            <w:right w:val="none" w:sz="0" w:space="0" w:color="auto"/>
          </w:divBdr>
        </w:div>
      </w:divsChild>
    </w:div>
    <w:div w:id="194465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ats.oecd.org/OECDStat_Metadata/ShowMetadata.ashx?Dataset=LFS_SEXAGE_I_R&amp;Coords=%5bSERIES%5d.%5bEPR%5d,%5bSEX%5d.%5bMEN%5d,%5bAGE%5d.%5b6064%5d,%5bFREQUENCY%5d.%5bA%5d,%5bCOUNTRY%5d.%5bESP%5d,%5bTIME%5d.%5b1995%5d&amp;ShowOnWeb=tru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ats.oecd.org/OECDStat_Metadata/ShowMetadata.ashx?Dataset=LFS_SEXAGE_I_R&amp;Coords=%5bSERIES%5d.%5bEPR%5d,%5bSEX%5d.%5bMEN%5d,%5bAGE%5d.%5b6064%5d,%5bFREQUENCY%5d.%5bA%5d,%5bCOUNTRY%5d.%5bUSA%5d,%5bTIME%5d.%5b2000%5d&amp;ShowOnWeb=true" TargetMode="External"/><Relationship Id="rId17" Type="http://schemas.openxmlformats.org/officeDocument/2006/relationships/hyperlink" Target="http://esr.oxfordjournals.org/content/early/2011/04/14/esr.jcr024.full.pdf+html" TargetMode="Externa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ats.oecd.org/OECDStat_Metadata/ShowMetadata.ashx?Dataset=LFS_SEXAGE_I_R&amp;Coords=%5bSERIES%5d.%5bEPR%5d,%5bSEX%5d.%5bMEN%5d,%5bAGE%5d.%5b6064%5d,%5bFREQUENCY%5d.%5bA%5d,%5bCOUNTRY%5d.%5bNOR%5d,%5bTIME%5d.%5b1995%5d&amp;ShowOnWeb=true" TargetMode="External"/><Relationship Id="rId5" Type="http://schemas.openxmlformats.org/officeDocument/2006/relationships/settings" Target="settings.xml"/><Relationship Id="rId15" Type="http://schemas.openxmlformats.org/officeDocument/2006/relationships/hyperlink" Target="http://stats.oecd.org/OECDStat_Metadata/ShowMetadata.ashx?Dataset=LFS_SEXAGE_I_R&amp;Coords=%5bSERIES%5d.%5bEPR%5d,%5bSEX%5d.%5bMEN%5d,%5bAGE%5d.%5b6064%5d,%5bFREQUENCY%5d.%5bA%5d,%5bCOUNTRY%5d.%5bPOL%5d,%5bTIME%5d.%5b2000%5d&amp;ShowOnWeb=true" TargetMode="External"/><Relationship Id="rId10" Type="http://schemas.openxmlformats.org/officeDocument/2006/relationships/hyperlink" Target="http://stats.oecd.org/OECDStat_Metadata/ShowMetadata.ashx?Dataset=LFS_SEXAGE_I_R&amp;Coords=%5bSERIES%5d.%5bEPR%5d,%5bSEX%5d.%5bMEN%5d,%5bAGE%5d.%5b6064%5d,%5bFREQUENCY%5d.%5bA%5d,%5bCOUNTRY%5d.%5bNOR%5d,%5bTIME%5d.%5b1985%5d&amp;ShowOnWeb=tru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tats.oecd.org/OECDStat_Metadata/ShowMetadata.ashx?Dataset=LFS_SEXAGE_I_R&amp;Coords=%5bSERIES%5d.%5bEPR%5d,%5bSEX%5d.%5bMEN%5d,%5bAGE%5d.%5b6064%5d,%5bFREQUENCY%5d.%5bA%5d,%5bCOUNTRY%5d.%5bAUT%5d,%5bTIME%5d.%5b2000%5d&amp;ShowOnWeb=true" TargetMode="External"/><Relationship Id="rId14" Type="http://schemas.openxmlformats.org/officeDocument/2006/relationships/hyperlink" Target="http://stats.oecd.org/OECDStat_Metadata/ShowMetadata.ashx?Dataset=LFS_SEXAGE_I_R&amp;Coords=%5bSERIES%5d.%5bEPR%5d,%5bSEX%5d.%5bMEN%5d,%5bAGE%5d.%5b6064%5d,%5bFREQUENCY%5d.%5bA%5d,%5bCOUNTRY%5d.%5bESP%5d,%5bTIME%5d.%5b2000%5d&amp;ShowOnWeb=tru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hare-project.org"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6511F-D289-480B-AF0A-683D5B3EA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11141</Words>
  <Characters>70190</Characters>
  <Application>Microsoft Office Word</Application>
  <DocSecurity>0</DocSecurity>
  <Lines>584</Lines>
  <Paragraphs>162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dhofaeck</dc:creator>
  <cp:lastModifiedBy>dhofaeck</cp:lastModifiedBy>
  <cp:revision>2</cp:revision>
  <dcterms:created xsi:type="dcterms:W3CDTF">2012-04-24T11:57:00Z</dcterms:created>
  <dcterms:modified xsi:type="dcterms:W3CDTF">2012-04-24T11:57:00Z</dcterms:modified>
</cp:coreProperties>
</file>