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4DF" w:rsidRDefault="009824DF" w:rsidP="006343BD">
      <w:pPr>
        <w:pStyle w:val="berschrift1"/>
        <w:spacing w:line="480" w:lineRule="auto"/>
        <w:rPr>
          <w:rFonts w:cs="Times New Roman"/>
        </w:rPr>
      </w:pPr>
      <w:bookmarkStart w:id="0" w:name="_Toc279411377"/>
      <w:bookmarkStart w:id="1" w:name="_Toc288663764"/>
      <w:bookmarkStart w:id="2" w:name="_Toc290045823"/>
      <w:bookmarkStart w:id="3" w:name="_Toc294630968"/>
      <w:bookmarkStart w:id="4" w:name="_Toc302063755"/>
      <w:r w:rsidRPr="00166BA7">
        <w:rPr>
          <w:rFonts w:cs="Times New Roman"/>
        </w:rPr>
        <w:t>British and German school teachers</w:t>
      </w:r>
      <w:r w:rsidR="0098513B">
        <w:rPr>
          <w:rFonts w:cs="Times New Roman"/>
        </w:rPr>
        <w:t xml:space="preserve"> and their conceptualiz</w:t>
      </w:r>
      <w:r>
        <w:rPr>
          <w:rFonts w:cs="Times New Roman"/>
        </w:rPr>
        <w:t>ation</w:t>
      </w:r>
      <w:r w:rsidRPr="00166BA7">
        <w:rPr>
          <w:rFonts w:cs="Times New Roman"/>
        </w:rPr>
        <w:t xml:space="preserve"> of their</w:t>
      </w:r>
      <w:r>
        <w:rPr>
          <w:rFonts w:cs="Times New Roman"/>
        </w:rPr>
        <w:t xml:space="preserve"> work-retirement transition</w:t>
      </w:r>
      <w:bookmarkEnd w:id="0"/>
      <w:bookmarkEnd w:id="1"/>
      <w:bookmarkEnd w:id="2"/>
      <w:bookmarkEnd w:id="3"/>
      <w:bookmarkEnd w:id="4"/>
      <w:r w:rsidR="005713CD">
        <w:rPr>
          <w:rFonts w:cs="Times New Roman"/>
        </w:rPr>
        <w:t>: Using a life course approach</w:t>
      </w:r>
    </w:p>
    <w:p w:rsidR="008520EB" w:rsidRDefault="008520EB" w:rsidP="008520EB">
      <w:r>
        <w:t>Heike Schroder, University of St. Gallen, Switzerland*</w:t>
      </w:r>
    </w:p>
    <w:p w:rsidR="008520EB" w:rsidRDefault="008520EB" w:rsidP="008520EB">
      <w:r>
        <w:t xml:space="preserve">Michael Muller-Camen, </w:t>
      </w:r>
      <w:r w:rsidR="00AC507B">
        <w:rPr>
          <w:lang w:val="en-US"/>
        </w:rPr>
        <w:t xml:space="preserve">Vienna University of Economics and Business, </w:t>
      </w:r>
      <w:r>
        <w:t>Austria</w:t>
      </w:r>
    </w:p>
    <w:p w:rsidR="008520EB" w:rsidRDefault="008520EB" w:rsidP="008520EB">
      <w:r>
        <w:t>Matt Flynn, Middlesex University, U</w:t>
      </w:r>
      <w:r w:rsidR="00AC507B">
        <w:t xml:space="preserve">nited </w:t>
      </w:r>
      <w:r>
        <w:t>K</w:t>
      </w:r>
      <w:r w:rsidR="00AC507B">
        <w:t>ingdom</w:t>
      </w:r>
    </w:p>
    <w:p w:rsidR="008520EB" w:rsidRPr="008520EB" w:rsidRDefault="008520EB" w:rsidP="008520EB">
      <w:r>
        <w:t>*Corresponding author: heike.schroeder@gmx.com</w:t>
      </w:r>
    </w:p>
    <w:p w:rsidR="008520EB" w:rsidRDefault="008520EB" w:rsidP="006343BD">
      <w:pPr>
        <w:jc w:val="center"/>
        <w:rPr>
          <w:b/>
        </w:rPr>
      </w:pPr>
    </w:p>
    <w:p w:rsidR="009824DF" w:rsidRPr="00DA111C" w:rsidRDefault="009824DF" w:rsidP="006343BD">
      <w:pPr>
        <w:jc w:val="center"/>
        <w:rPr>
          <w:b/>
        </w:rPr>
      </w:pPr>
      <w:r w:rsidRPr="00DA111C">
        <w:rPr>
          <w:b/>
        </w:rPr>
        <w:t>ABSTRACT</w:t>
      </w:r>
    </w:p>
    <w:p w:rsidR="000F7C33" w:rsidRPr="000F7C33" w:rsidRDefault="000F7C33" w:rsidP="000F7C33">
      <w:pPr>
        <w:rPr>
          <w:i/>
          <w:lang w:val="en-US"/>
        </w:rPr>
      </w:pPr>
      <w:r w:rsidRPr="000F7C33">
        <w:rPr>
          <w:i/>
          <w:lang w:val="en-US"/>
        </w:rPr>
        <w:t xml:space="preserve">Purpose </w:t>
      </w:r>
    </w:p>
    <w:p w:rsidR="000F7C33" w:rsidRDefault="000F7C33" w:rsidP="000F7C33">
      <w:pPr>
        <w:rPr>
          <w:i/>
          <w:lang w:val="en-US"/>
        </w:rPr>
      </w:pPr>
      <w:r>
        <w:rPr>
          <w:lang w:val="en-US"/>
        </w:rPr>
        <w:t>This paper explores teachers´ conceptualizations of their work-retirement transition, and explores factors that influence such transitions in two countries: Germany and Britain. This is relevant because of a teaching force ageing and a trend towards early retirement, leading to teacher shortages and retention challenges. Employing life course theory, this paper assumes that motivations regarding such transitions are based on a teacher´s institutional, organizational and private-life context.</w:t>
      </w:r>
    </w:p>
    <w:p w:rsidR="000F7C33" w:rsidRDefault="000F7C33" w:rsidP="000F7C33">
      <w:pPr>
        <w:rPr>
          <w:i/>
          <w:lang w:val="en-US"/>
        </w:rPr>
      </w:pPr>
      <w:r w:rsidRPr="000F7C33">
        <w:rPr>
          <w:i/>
          <w:lang w:val="en-US"/>
        </w:rPr>
        <w:t>Design/methodology/approach</w:t>
      </w:r>
    </w:p>
    <w:p w:rsidR="000F7C33" w:rsidRPr="000F7C33" w:rsidRDefault="000F7C33" w:rsidP="000F7C33">
      <w:pPr>
        <w:rPr>
          <w:i/>
          <w:lang w:val="en-US"/>
        </w:rPr>
      </w:pPr>
      <w:r>
        <w:rPr>
          <w:lang w:val="en-US"/>
        </w:rPr>
        <w:t>The paper uses a qualitative multi-level case study design, and employs 20 biographical interviews with teachers aged 50plus and 26 interviews with experts in two school districts. The data is analysed using thematic analysis.</w:t>
      </w:r>
    </w:p>
    <w:p w:rsidR="000F7C33" w:rsidRDefault="000F7C33" w:rsidP="000F7C33">
      <w:pPr>
        <w:rPr>
          <w:i/>
          <w:lang w:val="en-US"/>
        </w:rPr>
      </w:pPr>
      <w:r w:rsidRPr="000F7C33">
        <w:rPr>
          <w:i/>
          <w:lang w:val="en-US"/>
        </w:rPr>
        <w:t>Findings if paper is empirical</w:t>
      </w:r>
    </w:p>
    <w:p w:rsidR="000F7C33" w:rsidRDefault="000F7C33" w:rsidP="000F7C33">
      <w:r>
        <w:rPr>
          <w:lang w:val="en-US"/>
        </w:rPr>
        <w:t xml:space="preserve">The study found that teachers´ conceptualizations of their late careers are influenced by individually-specific, though overall similar factors, such as stress, financial background and family. However, British and German teachers </w:t>
      </w:r>
      <w:r>
        <w:t xml:space="preserve">use divergent strategies to approach career choices. These mirror the respective institutional context. Despite this, British teachers were </w:t>
      </w:r>
      <w:r>
        <w:lastRenderedPageBreak/>
        <w:t>mostly able to employ human agency within an overall enabling structure to adapt career transitions to their individual needs. German teachers had less opportunities to use human agency due to a more restricting institutional structure. Human agency could, however, be used to shape transitions at the individual´s own expense by, for example, self-financing early retirement.</w:t>
      </w:r>
    </w:p>
    <w:p w:rsidR="00C6436B" w:rsidRPr="00045717" w:rsidRDefault="000F7C33" w:rsidP="000F7C33">
      <w:pPr>
        <w:rPr>
          <w:i/>
          <w:lang w:val="en-US"/>
        </w:rPr>
      </w:pPr>
      <w:r w:rsidRPr="00045717">
        <w:rPr>
          <w:i/>
          <w:lang w:val="en-US"/>
        </w:rPr>
        <w:t>Research limitati</w:t>
      </w:r>
      <w:r w:rsidR="00C6436B" w:rsidRPr="00045717">
        <w:rPr>
          <w:i/>
          <w:lang w:val="en-US"/>
        </w:rPr>
        <w:t>ons/implications</w:t>
      </w:r>
    </w:p>
    <w:p w:rsidR="000F7C33" w:rsidRPr="00045717" w:rsidRDefault="00C6436B" w:rsidP="000F7C33">
      <w:pPr>
        <w:rPr>
          <w:lang w:val="en-US"/>
        </w:rPr>
      </w:pPr>
      <w:r w:rsidRPr="00045717">
        <w:rPr>
          <w:lang w:val="en-US"/>
        </w:rPr>
        <w:t>As this study is based on a qualitative study in two school districts, findings cannot be generali</w:t>
      </w:r>
      <w:r w:rsidR="00AC507B">
        <w:rPr>
          <w:lang w:val="en-US"/>
        </w:rPr>
        <w:t>z</w:t>
      </w:r>
      <w:r w:rsidRPr="00045717">
        <w:rPr>
          <w:lang w:val="en-US"/>
        </w:rPr>
        <w:t>ed across the entire population of teachers in Britain and Germany. Furthermore, emerging themes refer to those teachers who were thinking of the work-retirement transition in the late 2000´s</w:t>
      </w:r>
      <w:r w:rsidR="00B57EF2" w:rsidRPr="00045717">
        <w:rPr>
          <w:lang w:val="en-US"/>
        </w:rPr>
        <w:t>. Teachers making this transition earlier or later might be faced with different institutional opportunities and constraints that influence their decision making process.</w:t>
      </w:r>
      <w:r w:rsidRPr="00045717">
        <w:rPr>
          <w:lang w:val="en-US"/>
        </w:rPr>
        <w:t xml:space="preserve"> </w:t>
      </w:r>
    </w:p>
    <w:p w:rsidR="00045717" w:rsidRDefault="000F7C33" w:rsidP="000F7C33">
      <w:pPr>
        <w:rPr>
          <w:i/>
          <w:lang w:val="en-US"/>
        </w:rPr>
      </w:pPr>
      <w:r w:rsidRPr="004D600A">
        <w:rPr>
          <w:i/>
          <w:lang w:val="en-US"/>
        </w:rPr>
        <w:t>Originality/value of the paper</w:t>
      </w:r>
    </w:p>
    <w:p w:rsidR="000F7C33" w:rsidRPr="004D600A" w:rsidRDefault="00045717" w:rsidP="000F7C33">
      <w:pPr>
        <w:rPr>
          <w:lang w:val="en-US"/>
        </w:rPr>
      </w:pPr>
      <w:r w:rsidRPr="004D600A">
        <w:rPr>
          <w:lang w:val="en-US"/>
        </w:rPr>
        <w:t>The paper offers insights into individual work-retirement transition decision-making processes as well as their underlying influence factors</w:t>
      </w:r>
      <w:r w:rsidR="004D600A">
        <w:rPr>
          <w:lang w:val="en-US"/>
        </w:rPr>
        <w:t xml:space="preserve"> using a life course theory approach</w:t>
      </w:r>
      <w:r w:rsidRPr="004D600A">
        <w:rPr>
          <w:lang w:val="en-US"/>
        </w:rPr>
        <w:t xml:space="preserve">. The contribution of the paper is that it holistically considers influence factors on the institutional, organisational as well as individual level, while previous research did not do so.   </w:t>
      </w:r>
      <w:r w:rsidR="000F7C33" w:rsidRPr="004D600A">
        <w:rPr>
          <w:lang w:val="en-US"/>
        </w:rPr>
        <w:t xml:space="preserve"> </w:t>
      </w:r>
    </w:p>
    <w:p w:rsidR="009824DF" w:rsidRDefault="009824DF" w:rsidP="006343BD"/>
    <w:p w:rsidR="0019255E" w:rsidRDefault="0019255E" w:rsidP="006343BD"/>
    <w:p w:rsidR="009824DF" w:rsidRPr="00DA111C" w:rsidRDefault="009824DF" w:rsidP="006343BD">
      <w:pPr>
        <w:jc w:val="center"/>
        <w:rPr>
          <w:b/>
        </w:rPr>
      </w:pPr>
      <w:r w:rsidRPr="00DA111C">
        <w:rPr>
          <w:b/>
        </w:rPr>
        <w:t>KEYWORDS</w:t>
      </w:r>
    </w:p>
    <w:p w:rsidR="009824DF" w:rsidRPr="00DF6947" w:rsidRDefault="004D600A" w:rsidP="006343BD">
      <w:r>
        <w:t xml:space="preserve">life course theory; </w:t>
      </w:r>
      <w:r w:rsidR="009824DF">
        <w:t>career; work-retirement transition; teacher; Germany; Britain</w:t>
      </w:r>
    </w:p>
    <w:p w:rsidR="009824DF" w:rsidRDefault="009824DF">
      <w:pPr>
        <w:autoSpaceDE/>
        <w:autoSpaceDN/>
        <w:adjustRightInd/>
        <w:spacing w:after="200" w:line="276" w:lineRule="auto"/>
        <w:jc w:val="left"/>
      </w:pPr>
      <w:bookmarkStart w:id="5" w:name="_Toc279411378"/>
      <w:bookmarkStart w:id="6" w:name="_Toc288663765"/>
      <w:bookmarkStart w:id="7" w:name="_Toc290045824"/>
      <w:bookmarkStart w:id="8" w:name="_Toc294630969"/>
      <w:bookmarkStart w:id="9" w:name="_Toc302063756"/>
      <w:r>
        <w:br w:type="page"/>
      </w:r>
    </w:p>
    <w:p w:rsidR="00A03CE1" w:rsidRDefault="00A03CE1">
      <w:pPr>
        <w:autoSpaceDE/>
        <w:autoSpaceDN/>
        <w:adjustRightInd/>
        <w:spacing w:after="200" w:line="276" w:lineRule="auto"/>
        <w:jc w:val="left"/>
      </w:pPr>
      <w:r>
        <w:lastRenderedPageBreak/>
        <w:t>Biographical notes:</w:t>
      </w:r>
    </w:p>
    <w:p w:rsidR="00A03CE1" w:rsidRDefault="00A03CE1" w:rsidP="006343BD">
      <w:pPr>
        <w:autoSpaceDE/>
        <w:autoSpaceDN/>
        <w:adjustRightInd/>
        <w:spacing w:after="200" w:line="240" w:lineRule="auto"/>
      </w:pPr>
      <w:r>
        <w:t xml:space="preserve">Heike Schroder is a Postdoctoral Researcher at the Center </w:t>
      </w:r>
      <w:r w:rsidR="005455EA">
        <w:t>for</w:t>
      </w:r>
      <w:r>
        <w:t xml:space="preserve"> Disability and </w:t>
      </w:r>
      <w:r w:rsidR="006056B6">
        <w:t>Integration</w:t>
      </w:r>
      <w:r>
        <w:t xml:space="preserve"> at the University of St. Gallen, Switzerland. She holds a</w:t>
      </w:r>
      <w:r w:rsidR="00531C89">
        <w:t>n MBA from the International University</w:t>
      </w:r>
      <w:r w:rsidR="00D55B65">
        <w:t>,</w:t>
      </w:r>
      <w:r w:rsidR="00531C89">
        <w:t xml:space="preserve"> Germany as well as an MSc in Research Methods</w:t>
      </w:r>
      <w:r>
        <w:t xml:space="preserve"> </w:t>
      </w:r>
      <w:r w:rsidR="00531C89">
        <w:t xml:space="preserve">and a </w:t>
      </w:r>
      <w:r>
        <w:t xml:space="preserve">PhD in Human Resource Management from Middlesex University, UK. </w:t>
      </w:r>
      <w:r w:rsidR="00275ED0">
        <w:t xml:space="preserve">Her main research interests are in comparative HRM with a </w:t>
      </w:r>
      <w:r w:rsidR="00531C89">
        <w:t xml:space="preserve">special </w:t>
      </w:r>
      <w:r w:rsidR="00275ED0">
        <w:t xml:space="preserve">focus on </w:t>
      </w:r>
      <w:r w:rsidR="00531C89">
        <w:t xml:space="preserve">firm-level </w:t>
      </w:r>
      <w:r w:rsidR="00275ED0">
        <w:t>Age Management in Britain, Germany and Japan.</w:t>
      </w:r>
      <w:r w:rsidR="00531C89">
        <w:t xml:space="preserve"> Her second research interest is in life course research with regard to individual-level career transitions from work into retirement. Heike </w:t>
      </w:r>
      <w:r w:rsidR="005455EA">
        <w:t xml:space="preserve">was involved as a researcher in two comparative research projects on Age Management in Britain, Germany and Japan, funded by the Economic and Social Research Council (ESRC) and British Council. She </w:t>
      </w:r>
      <w:r w:rsidR="00531C89">
        <w:t xml:space="preserve">has published in Human Relations and the International Journal of Human Resource Development and Management. </w:t>
      </w:r>
      <w:r w:rsidR="00275ED0">
        <w:t xml:space="preserve"> </w:t>
      </w:r>
    </w:p>
    <w:p w:rsidR="004C4C76" w:rsidRPr="004C4C76" w:rsidRDefault="004C4C76" w:rsidP="006343BD">
      <w:pPr>
        <w:pStyle w:val="p"/>
        <w:jc w:val="both"/>
        <w:rPr>
          <w:lang w:val="en-US"/>
        </w:rPr>
      </w:pPr>
      <w:r>
        <w:rPr>
          <w:lang w:val="en-US"/>
        </w:rPr>
        <w:t>Michael</w:t>
      </w:r>
      <w:r w:rsidRPr="004C4C76">
        <w:rPr>
          <w:lang w:val="en-US"/>
        </w:rPr>
        <w:t xml:space="preserve"> Muller-Camen is a Full Professor at the Institute of Human Resource Management</w:t>
      </w:r>
      <w:r>
        <w:rPr>
          <w:lang w:val="en-US"/>
        </w:rPr>
        <w:t xml:space="preserve"> at the Vienna University of Economics and Business</w:t>
      </w:r>
      <w:r w:rsidR="005455EA">
        <w:rPr>
          <w:lang w:val="en-US"/>
        </w:rPr>
        <w:t xml:space="preserve"> (WU)</w:t>
      </w:r>
      <w:r w:rsidR="00A709DE">
        <w:rPr>
          <w:lang w:val="en-US"/>
        </w:rPr>
        <w:t>, Austria</w:t>
      </w:r>
      <w:r w:rsidRPr="004C4C76">
        <w:rPr>
          <w:lang w:val="en-US"/>
        </w:rPr>
        <w:t>.</w:t>
      </w:r>
      <w:r w:rsidR="005455EA">
        <w:rPr>
          <w:lang w:val="en-US"/>
        </w:rPr>
        <w:t xml:space="preserve"> Prior to joining WU in 2011, Michael was a Professor in International HRM at Middlesex University, UK.</w:t>
      </w:r>
      <w:r w:rsidRPr="004C4C76">
        <w:rPr>
          <w:lang w:val="en-US"/>
        </w:rPr>
        <w:t xml:space="preserve"> </w:t>
      </w:r>
      <w:r w:rsidR="005455EA" w:rsidRPr="004C4C76">
        <w:rPr>
          <w:lang w:val="en-US"/>
        </w:rPr>
        <w:t xml:space="preserve">He has also held academics positions at the University of Innsbruck, the WU, </w:t>
      </w:r>
      <w:proofErr w:type="spellStart"/>
      <w:r w:rsidR="005455EA" w:rsidRPr="004C4C76">
        <w:rPr>
          <w:lang w:val="en-US"/>
        </w:rPr>
        <w:t>DeMontfort</w:t>
      </w:r>
      <w:proofErr w:type="spellEnd"/>
      <w:r w:rsidR="005455EA" w:rsidRPr="004C4C76">
        <w:rPr>
          <w:lang w:val="en-US"/>
        </w:rPr>
        <w:t xml:space="preserve"> University (UK) and the International University (Germany).</w:t>
      </w:r>
      <w:r w:rsidR="005455EA">
        <w:rPr>
          <w:lang w:val="en-US"/>
        </w:rPr>
        <w:t xml:space="preserve"> Michael</w:t>
      </w:r>
      <w:r w:rsidR="005455EA" w:rsidRPr="004C4C76">
        <w:rPr>
          <w:lang w:val="en-US"/>
        </w:rPr>
        <w:t xml:space="preserve"> completed his </w:t>
      </w:r>
      <w:proofErr w:type="spellStart"/>
      <w:r w:rsidR="005455EA" w:rsidRPr="004C4C76">
        <w:rPr>
          <w:lang w:val="en-US"/>
        </w:rPr>
        <w:t>MSc</w:t>
      </w:r>
      <w:proofErr w:type="spellEnd"/>
      <w:r w:rsidR="005455EA" w:rsidRPr="004C4C76">
        <w:rPr>
          <w:lang w:val="en-US"/>
        </w:rPr>
        <w:t xml:space="preserve"> at the London School of Economics </w:t>
      </w:r>
      <w:r w:rsidR="005455EA">
        <w:rPr>
          <w:lang w:val="en-US"/>
        </w:rPr>
        <w:t xml:space="preserve">and his PhD at </w:t>
      </w:r>
      <w:proofErr w:type="spellStart"/>
      <w:r w:rsidR="005455EA">
        <w:rPr>
          <w:lang w:val="en-US"/>
        </w:rPr>
        <w:t>Birkbeck</w:t>
      </w:r>
      <w:proofErr w:type="spellEnd"/>
      <w:r w:rsidR="005455EA">
        <w:rPr>
          <w:lang w:val="en-US"/>
        </w:rPr>
        <w:t xml:space="preserve"> College. </w:t>
      </w:r>
      <w:r w:rsidRPr="004C4C76">
        <w:rPr>
          <w:lang w:val="en-US"/>
        </w:rPr>
        <w:t xml:space="preserve">His research concentrates on Sustainable </w:t>
      </w:r>
      <w:r w:rsidR="005455EA">
        <w:rPr>
          <w:lang w:val="en-US"/>
        </w:rPr>
        <w:t>Human Resource Management (HRM)</w:t>
      </w:r>
      <w:r w:rsidRPr="004C4C76">
        <w:rPr>
          <w:lang w:val="en-US"/>
        </w:rPr>
        <w:t xml:space="preserve">. Within this emerging subject, his research focuses on Age Management, Green HRM, Industrial Relations and Social Reporting. In addition he is researching the impact of national institutional differences on HRM and in this context is interested to examine the Austrian Model of HRM. </w:t>
      </w:r>
      <w:r w:rsidR="005455EA">
        <w:rPr>
          <w:lang w:val="en-US"/>
        </w:rPr>
        <w:t>Michael´s</w:t>
      </w:r>
      <w:r w:rsidRPr="004C4C76">
        <w:rPr>
          <w:lang w:val="en-US"/>
        </w:rPr>
        <w:t xml:space="preserve"> work has been widely published in peer-reviewed journals including the British Journal of Industrial Relations, the British Journal of Management, the Journal of Management Studies, the Journal of Vocational Behavior, Human Relations and Organisation Studies. Michael is an editor of Zeitschrift für </w:t>
      </w:r>
      <w:proofErr w:type="spellStart"/>
      <w:r w:rsidRPr="004C4C76">
        <w:rPr>
          <w:lang w:val="en-US"/>
        </w:rPr>
        <w:t>Personalforschung</w:t>
      </w:r>
      <w:proofErr w:type="spellEnd"/>
      <w:r w:rsidRPr="004C4C76">
        <w:rPr>
          <w:lang w:val="en-US"/>
        </w:rPr>
        <w:t xml:space="preserve"> (German Journal of Research in Human Resource Management). He has received research grants from the </w:t>
      </w:r>
      <w:r w:rsidR="005455EA">
        <w:rPr>
          <w:lang w:val="en-US"/>
        </w:rPr>
        <w:t>ESRC</w:t>
      </w:r>
      <w:r w:rsidRPr="004C4C76">
        <w:rPr>
          <w:lang w:val="en-US"/>
        </w:rPr>
        <w:t xml:space="preserve"> (UK), The Anglo-German Foundation for the Study of Industrial Society, </w:t>
      </w:r>
      <w:proofErr w:type="spellStart"/>
      <w:r w:rsidRPr="004C4C76">
        <w:rPr>
          <w:lang w:val="en-US"/>
        </w:rPr>
        <w:t>Österreichische</w:t>
      </w:r>
      <w:proofErr w:type="spellEnd"/>
      <w:r w:rsidRPr="004C4C76">
        <w:rPr>
          <w:lang w:val="en-US"/>
        </w:rPr>
        <w:t xml:space="preserve"> </w:t>
      </w:r>
      <w:proofErr w:type="spellStart"/>
      <w:r w:rsidRPr="004C4C76">
        <w:rPr>
          <w:lang w:val="en-US"/>
        </w:rPr>
        <w:t>Nationalbank</w:t>
      </w:r>
      <w:proofErr w:type="spellEnd"/>
      <w:r w:rsidRPr="004C4C76">
        <w:rPr>
          <w:lang w:val="en-US"/>
        </w:rPr>
        <w:t xml:space="preserve"> and the European Union Training and Mobility Researcher Scheme. </w:t>
      </w:r>
    </w:p>
    <w:p w:rsidR="001B6A5C" w:rsidRDefault="001B6A5C" w:rsidP="006343BD">
      <w:pPr>
        <w:spacing w:line="240" w:lineRule="auto"/>
      </w:pPr>
      <w:r w:rsidRPr="001B6A5C">
        <w:t>Matt Flynn is</w:t>
      </w:r>
      <w:r>
        <w:t xml:space="preserve"> a Reader in Work and Retirement at Middlesex University</w:t>
      </w:r>
      <w:r w:rsidR="00531C89">
        <w:t>, UK</w:t>
      </w:r>
      <w:r>
        <w:t xml:space="preserve">. </w:t>
      </w:r>
      <w:r w:rsidRPr="001B6A5C">
        <w:rPr>
          <w:rStyle w:val="Fett"/>
          <w:b w:val="0"/>
        </w:rPr>
        <w:t>He</w:t>
      </w:r>
      <w:r w:rsidRPr="001B6A5C">
        <w:rPr>
          <w:rStyle w:val="Fett"/>
        </w:rPr>
        <w:t xml:space="preserve"> </w:t>
      </w:r>
      <w:r w:rsidRPr="001B6A5C">
        <w:t xml:space="preserve">joined Middlesex University in 2006 as a Senior Lecturer, specialising in age management issues. He previously was employed as a research fellow at the Centre for Research into the Older Workforce (CROW) at Surrey University. He received his MSc in Public Policy and Public Administration from the London School of Economics and his PhD in Trade Union Management from Cranfield University. Matt´s research interests include Age Management, Age Discrimination, Public Sector Management, Employment Relations and Trade Union Management. He has written extensively for the UK and EU governments on age diversity, knowledge management, retirement and flexibility. </w:t>
      </w:r>
      <w:r>
        <w:t xml:space="preserve">Matt is currently </w:t>
      </w:r>
      <w:r w:rsidRPr="001B6A5C">
        <w:t xml:space="preserve">the Principal Investigator (ESRC side) for the ESRC/UGC project </w:t>
      </w:r>
      <w:r w:rsidRPr="001B6A5C">
        <w:rPr>
          <w:bCs/>
        </w:rPr>
        <w:t>"</w:t>
      </w:r>
      <w:r w:rsidRPr="001B6A5C">
        <w:rPr>
          <w:rStyle w:val="Fett"/>
          <w:b w:val="0"/>
        </w:rPr>
        <w:t>Applying the Capabilities Approach to Career Dev</w:t>
      </w:r>
      <w:r>
        <w:rPr>
          <w:rStyle w:val="Fett"/>
          <w:b w:val="0"/>
        </w:rPr>
        <w:t>elopment across the life course"</w:t>
      </w:r>
      <w:r w:rsidRPr="001B6A5C">
        <w:rPr>
          <w:rStyle w:val="Fett"/>
          <w:b w:val="0"/>
        </w:rPr>
        <w:t>.</w:t>
      </w:r>
    </w:p>
    <w:p w:rsidR="00A03CE1" w:rsidRDefault="00A03CE1">
      <w:pPr>
        <w:autoSpaceDE/>
        <w:autoSpaceDN/>
        <w:adjustRightInd/>
        <w:spacing w:after="200" w:line="276" w:lineRule="auto"/>
        <w:jc w:val="left"/>
      </w:pPr>
      <w:r>
        <w:br w:type="page"/>
      </w:r>
    </w:p>
    <w:p w:rsidR="009824DF" w:rsidRPr="00166BA7" w:rsidRDefault="009824DF" w:rsidP="006343BD">
      <w:pPr>
        <w:pStyle w:val="berschrift2"/>
        <w:jc w:val="center"/>
        <w:rPr>
          <w:rFonts w:cs="Times New Roman"/>
        </w:rPr>
      </w:pPr>
      <w:r w:rsidRPr="00166BA7">
        <w:rPr>
          <w:rFonts w:cs="Times New Roman"/>
        </w:rPr>
        <w:lastRenderedPageBreak/>
        <w:t>I</w:t>
      </w:r>
      <w:r>
        <w:rPr>
          <w:rFonts w:cs="Times New Roman"/>
        </w:rPr>
        <w:t>NTRODUCTION</w:t>
      </w:r>
    </w:p>
    <w:p w:rsidR="009824DF" w:rsidRDefault="009824DF" w:rsidP="006343BD">
      <w:pPr>
        <w:pStyle w:val="Textkrper"/>
        <w:spacing w:line="480" w:lineRule="auto"/>
        <w:rPr>
          <w:rFonts w:ascii="Times New Roman" w:hAnsi="Times New Roman"/>
        </w:rPr>
      </w:pPr>
      <w:r>
        <w:rPr>
          <w:rFonts w:ascii="Times New Roman" w:hAnsi="Times New Roman"/>
        </w:rPr>
        <w:t>This paper discusses secondary school teachers´ conceptualizations of their work-retirement transition in light of institutional, organizational and individual influence factors in two countries: Britain and Germany. The study uses a life course perspective, and draws on semi-structured interviews with 20 German and British teachers aged 50plus as well as with 46 experts such as school principals and Human Resource Managers at the school and school district-level. Exploring work-retirement transitions of workers in general and of school teachers in particular is relevant because an increasing life expectancy and decreasing fertility rates</w:t>
      </w:r>
      <w:r w:rsidRPr="00166BA7">
        <w:rPr>
          <w:rFonts w:ascii="Times New Roman" w:hAnsi="Times New Roman"/>
        </w:rPr>
        <w:t xml:space="preserve"> </w:t>
      </w:r>
      <w:r>
        <w:rPr>
          <w:rFonts w:ascii="Times New Roman" w:hAnsi="Times New Roman"/>
        </w:rPr>
        <w:t>in most industrialized countries are leading to</w:t>
      </w:r>
      <w:r w:rsidRPr="00166BA7">
        <w:rPr>
          <w:rFonts w:ascii="Times New Roman" w:hAnsi="Times New Roman"/>
        </w:rPr>
        <w:t xml:space="preserve"> an </w:t>
      </w:r>
      <w:r>
        <w:rPr>
          <w:rFonts w:ascii="Times New Roman" w:hAnsi="Times New Roman"/>
        </w:rPr>
        <w:t>overall aging</w:t>
      </w:r>
      <w:r w:rsidRPr="00166BA7">
        <w:rPr>
          <w:rFonts w:ascii="Times New Roman" w:hAnsi="Times New Roman"/>
        </w:rPr>
        <w:t xml:space="preserve"> of the workforce</w:t>
      </w:r>
      <w:r>
        <w:rPr>
          <w:rFonts w:ascii="Times New Roman" w:hAnsi="Times New Roman"/>
        </w:rPr>
        <w:t xml:space="preserve">. At the same time, individuals have been </w:t>
      </w:r>
      <w:r w:rsidRPr="00166BA7">
        <w:rPr>
          <w:rFonts w:ascii="Times New Roman" w:hAnsi="Times New Roman"/>
        </w:rPr>
        <w:t>leav</w:t>
      </w:r>
      <w:r>
        <w:rPr>
          <w:rFonts w:ascii="Times New Roman" w:hAnsi="Times New Roman"/>
        </w:rPr>
        <w:t>ing</w:t>
      </w:r>
      <w:r w:rsidRPr="00166BA7">
        <w:rPr>
          <w:rFonts w:ascii="Times New Roman" w:hAnsi="Times New Roman"/>
        </w:rPr>
        <w:t xml:space="preserve"> the </w:t>
      </w:r>
      <w:r>
        <w:rPr>
          <w:rFonts w:ascii="Times New Roman" w:hAnsi="Times New Roman"/>
        </w:rPr>
        <w:t>labor</w:t>
      </w:r>
      <w:r w:rsidRPr="00166BA7">
        <w:rPr>
          <w:rFonts w:ascii="Times New Roman" w:hAnsi="Times New Roman"/>
        </w:rPr>
        <w:t xml:space="preserve"> market prior to reaching national retirement age </w:t>
      </w:r>
      <w:r w:rsidRPr="00166BA7">
        <w:rPr>
          <w:rFonts w:ascii="Times New Roman" w:hAnsi="Times New Roman"/>
          <w:noProof/>
        </w:rPr>
        <w:t>(OECD, 2006)</w:t>
      </w:r>
      <w:r>
        <w:rPr>
          <w:rFonts w:ascii="Times New Roman" w:hAnsi="Times New Roman"/>
        </w:rPr>
        <w:t xml:space="preserve">, even though recent data show a reversal of this trend </w:t>
      </w:r>
      <w:r>
        <w:rPr>
          <w:rFonts w:ascii="Times New Roman" w:hAnsi="Times New Roman"/>
          <w:noProof/>
        </w:rPr>
        <w:t>(Hofäcker, 2010)</w:t>
      </w:r>
      <w:r>
        <w:rPr>
          <w:rFonts w:ascii="Times New Roman" w:hAnsi="Times New Roman"/>
        </w:rPr>
        <w:t xml:space="preserve">. </w:t>
      </w:r>
      <w:r w:rsidRPr="00166BA7">
        <w:rPr>
          <w:rFonts w:ascii="Times New Roman" w:hAnsi="Times New Roman"/>
        </w:rPr>
        <w:t xml:space="preserve">Similar </w:t>
      </w:r>
      <w:r>
        <w:rPr>
          <w:rFonts w:ascii="Times New Roman" w:hAnsi="Times New Roman"/>
        </w:rPr>
        <w:t xml:space="preserve">demographic and early exit </w:t>
      </w:r>
      <w:r w:rsidRPr="00166BA7">
        <w:rPr>
          <w:rFonts w:ascii="Times New Roman" w:hAnsi="Times New Roman"/>
        </w:rPr>
        <w:t>trends have been observed in</w:t>
      </w:r>
      <w:r>
        <w:rPr>
          <w:rFonts w:ascii="Times New Roman" w:hAnsi="Times New Roman"/>
        </w:rPr>
        <w:t xml:space="preserve"> the school teaching profession</w:t>
      </w:r>
      <w:r w:rsidRPr="00166BA7">
        <w:rPr>
          <w:rFonts w:ascii="Times New Roman" w:hAnsi="Times New Roman"/>
        </w:rPr>
        <w:t xml:space="preserve"> </w:t>
      </w:r>
      <w:r w:rsidRPr="00166BA7">
        <w:rPr>
          <w:rFonts w:ascii="Times New Roman" w:hAnsi="Times New Roman"/>
          <w:noProof/>
        </w:rPr>
        <w:t>(OECD, 2005)</w:t>
      </w:r>
      <w:r w:rsidRPr="00166BA7">
        <w:rPr>
          <w:rFonts w:ascii="Times New Roman" w:hAnsi="Times New Roman"/>
        </w:rPr>
        <w:t xml:space="preserve">. </w:t>
      </w:r>
      <w:r>
        <w:rPr>
          <w:rFonts w:ascii="Times New Roman" w:hAnsi="Times New Roman"/>
        </w:rPr>
        <w:t>For example i</w:t>
      </w:r>
      <w:r w:rsidRPr="00166BA7">
        <w:rPr>
          <w:rFonts w:ascii="Times New Roman" w:hAnsi="Times New Roman"/>
        </w:rPr>
        <w:t xml:space="preserve">n Germany, 43 per cent of teachers were aged 50plus </w:t>
      </w:r>
      <w:r>
        <w:rPr>
          <w:rFonts w:ascii="Times New Roman" w:hAnsi="Times New Roman"/>
        </w:rPr>
        <w:t xml:space="preserve">in 2000, </w:t>
      </w:r>
      <w:r w:rsidRPr="00166BA7">
        <w:rPr>
          <w:rFonts w:ascii="Times New Roman" w:hAnsi="Times New Roman"/>
        </w:rPr>
        <w:t xml:space="preserve">up from 15 per cent in 1980 </w:t>
      </w:r>
      <w:r w:rsidRPr="00166BA7">
        <w:rPr>
          <w:rFonts w:ascii="Times New Roman" w:hAnsi="Times New Roman"/>
          <w:noProof/>
        </w:rPr>
        <w:t>(OECD, 2003a)</w:t>
      </w:r>
      <w:r>
        <w:rPr>
          <w:rFonts w:ascii="Times New Roman" w:hAnsi="Times New Roman"/>
        </w:rPr>
        <w:t>,</w:t>
      </w:r>
      <w:r w:rsidRPr="00166BA7">
        <w:rPr>
          <w:rFonts w:ascii="Times New Roman" w:hAnsi="Times New Roman"/>
        </w:rPr>
        <w:t xml:space="preserve"> le</w:t>
      </w:r>
      <w:r>
        <w:rPr>
          <w:rFonts w:ascii="Times New Roman" w:hAnsi="Times New Roman"/>
        </w:rPr>
        <w:t>a</w:t>
      </w:r>
      <w:r w:rsidRPr="00166BA7">
        <w:rPr>
          <w:rFonts w:ascii="Times New Roman" w:hAnsi="Times New Roman"/>
        </w:rPr>
        <w:t>d</w:t>
      </w:r>
      <w:r>
        <w:rPr>
          <w:rFonts w:ascii="Times New Roman" w:hAnsi="Times New Roman"/>
        </w:rPr>
        <w:t>ing</w:t>
      </w:r>
      <w:r w:rsidRPr="00166BA7">
        <w:rPr>
          <w:rFonts w:ascii="Times New Roman" w:hAnsi="Times New Roman"/>
        </w:rPr>
        <w:t xml:space="preserve"> to a collective </w:t>
      </w:r>
      <w:r>
        <w:rPr>
          <w:rFonts w:ascii="Times New Roman" w:hAnsi="Times New Roman"/>
        </w:rPr>
        <w:t>aging</w:t>
      </w:r>
      <w:r w:rsidRPr="00166BA7">
        <w:rPr>
          <w:rFonts w:ascii="Times New Roman" w:hAnsi="Times New Roman"/>
        </w:rPr>
        <w:t xml:space="preserve"> of the teaching profession </w:t>
      </w:r>
      <w:r w:rsidRPr="00166BA7">
        <w:rPr>
          <w:rFonts w:ascii="Times New Roman" w:hAnsi="Times New Roman"/>
          <w:noProof/>
        </w:rPr>
        <w:t>(Terhart, Czerwenka, Ehrlich, Jordan, &amp; Schmidt, 1994)</w:t>
      </w:r>
      <w:r>
        <w:rPr>
          <w:rFonts w:ascii="Times New Roman" w:hAnsi="Times New Roman"/>
        </w:rPr>
        <w:t xml:space="preserve"> and to</w:t>
      </w:r>
      <w:r w:rsidRPr="00166BA7">
        <w:rPr>
          <w:rFonts w:ascii="Times New Roman" w:hAnsi="Times New Roman"/>
        </w:rPr>
        <w:t xml:space="preserve"> </w:t>
      </w:r>
      <w:r>
        <w:rPr>
          <w:rFonts w:ascii="Times New Roman" w:hAnsi="Times New Roman"/>
        </w:rPr>
        <w:t xml:space="preserve">the expected bulk retirement of 50 per cent of German teachers </w:t>
      </w:r>
      <w:r w:rsidRPr="00166BA7">
        <w:rPr>
          <w:rFonts w:ascii="Times New Roman" w:hAnsi="Times New Roman"/>
        </w:rPr>
        <w:t xml:space="preserve">between 2010 and 2020 </w:t>
      </w:r>
      <w:r w:rsidRPr="00166BA7">
        <w:rPr>
          <w:rFonts w:ascii="Times New Roman" w:hAnsi="Times New Roman"/>
          <w:noProof/>
        </w:rPr>
        <w:t>(OECD, 2003a)</w:t>
      </w:r>
      <w:r w:rsidRPr="00166BA7">
        <w:rPr>
          <w:rFonts w:ascii="Times New Roman" w:hAnsi="Times New Roman"/>
        </w:rPr>
        <w:t>. Similar trends are observed in the</w:t>
      </w:r>
      <w:r>
        <w:rPr>
          <w:rFonts w:ascii="Times New Roman" w:hAnsi="Times New Roman"/>
        </w:rPr>
        <w:t xml:space="preserve"> United Kingdom (</w:t>
      </w:r>
      <w:r w:rsidRPr="00166BA7">
        <w:rPr>
          <w:rFonts w:ascii="Times New Roman" w:hAnsi="Times New Roman"/>
        </w:rPr>
        <w:t>UK</w:t>
      </w:r>
      <w:r>
        <w:rPr>
          <w:rFonts w:ascii="Times New Roman" w:hAnsi="Times New Roman"/>
        </w:rPr>
        <w:t>)</w:t>
      </w:r>
      <w:r w:rsidRPr="00166BA7">
        <w:rPr>
          <w:rFonts w:ascii="Times New Roman" w:hAnsi="Times New Roman"/>
        </w:rPr>
        <w:t>, where the majority of teachers are aged 40 to 60</w:t>
      </w:r>
      <w:r>
        <w:rPr>
          <w:rFonts w:ascii="Times New Roman" w:hAnsi="Times New Roman"/>
        </w:rPr>
        <w:t xml:space="preserve"> with about </w:t>
      </w:r>
      <w:r w:rsidRPr="00166BA7">
        <w:rPr>
          <w:rFonts w:ascii="Times New Roman" w:hAnsi="Times New Roman"/>
        </w:rPr>
        <w:t>45 per cent of UK</w:t>
      </w:r>
      <w:r>
        <w:rPr>
          <w:rFonts w:ascii="Times New Roman" w:hAnsi="Times New Roman"/>
        </w:rPr>
        <w:t xml:space="preserve"> teachers expected</w:t>
      </w:r>
      <w:r w:rsidRPr="00166BA7">
        <w:rPr>
          <w:rFonts w:ascii="Times New Roman" w:hAnsi="Times New Roman"/>
        </w:rPr>
        <w:t xml:space="preserve"> </w:t>
      </w:r>
      <w:r>
        <w:rPr>
          <w:rFonts w:ascii="Times New Roman" w:hAnsi="Times New Roman"/>
        </w:rPr>
        <w:t xml:space="preserve">to </w:t>
      </w:r>
      <w:r w:rsidRPr="00166BA7">
        <w:rPr>
          <w:rFonts w:ascii="Times New Roman" w:hAnsi="Times New Roman"/>
        </w:rPr>
        <w:t>retire betwee</w:t>
      </w:r>
      <w:r>
        <w:rPr>
          <w:rFonts w:ascii="Times New Roman" w:hAnsi="Times New Roman"/>
        </w:rPr>
        <w:t xml:space="preserve">n 2003 and </w:t>
      </w:r>
      <w:r w:rsidRPr="00166BA7">
        <w:rPr>
          <w:rFonts w:ascii="Times New Roman" w:hAnsi="Times New Roman"/>
        </w:rPr>
        <w:t>2019</w:t>
      </w:r>
      <w:r>
        <w:rPr>
          <w:rFonts w:ascii="Times New Roman" w:hAnsi="Times New Roman"/>
        </w:rPr>
        <w:t xml:space="preserve"> </w:t>
      </w:r>
      <w:r>
        <w:rPr>
          <w:rFonts w:ascii="Times New Roman" w:hAnsi="Times New Roman"/>
          <w:noProof/>
        </w:rPr>
        <w:t>(OECD, 2003b)</w:t>
      </w:r>
      <w:r w:rsidRPr="00166BA7">
        <w:rPr>
          <w:rFonts w:ascii="Times New Roman" w:hAnsi="Times New Roman"/>
        </w:rPr>
        <w:t xml:space="preserve">. At the same time, </w:t>
      </w:r>
      <w:r>
        <w:rPr>
          <w:rFonts w:ascii="Times New Roman" w:hAnsi="Times New Roman"/>
        </w:rPr>
        <w:t xml:space="preserve">more than half of the </w:t>
      </w:r>
      <w:r w:rsidRPr="00166BA7">
        <w:rPr>
          <w:rFonts w:ascii="Times New Roman" w:hAnsi="Times New Roman"/>
        </w:rPr>
        <w:t xml:space="preserve">teachers </w:t>
      </w:r>
      <w:r>
        <w:rPr>
          <w:rFonts w:ascii="Times New Roman" w:hAnsi="Times New Roman"/>
        </w:rPr>
        <w:t xml:space="preserve">in both countries who retired in 2001 did so </w:t>
      </w:r>
      <w:r w:rsidRPr="00166BA7">
        <w:rPr>
          <w:rFonts w:ascii="Times New Roman" w:hAnsi="Times New Roman"/>
        </w:rPr>
        <w:t>prior to</w:t>
      </w:r>
      <w:r>
        <w:rPr>
          <w:rFonts w:ascii="Times New Roman" w:hAnsi="Times New Roman"/>
        </w:rPr>
        <w:t xml:space="preserve"> reaching</w:t>
      </w:r>
      <w:r w:rsidRPr="00166BA7">
        <w:rPr>
          <w:rFonts w:ascii="Times New Roman" w:hAnsi="Times New Roman"/>
        </w:rPr>
        <w:t xml:space="preserve"> the</w:t>
      </w:r>
      <w:r>
        <w:rPr>
          <w:rFonts w:ascii="Times New Roman" w:hAnsi="Times New Roman"/>
        </w:rPr>
        <w:t>ir respective national pension age</w:t>
      </w:r>
      <w:r w:rsidRPr="00166BA7">
        <w:rPr>
          <w:rFonts w:ascii="Times New Roman" w:hAnsi="Times New Roman"/>
        </w:rPr>
        <w:t xml:space="preserve"> </w:t>
      </w:r>
      <w:r>
        <w:rPr>
          <w:rFonts w:ascii="Times New Roman" w:hAnsi="Times New Roman"/>
          <w:noProof/>
        </w:rPr>
        <w:t>(Bauer et al., 2006; OECD, 2003b)</w:t>
      </w:r>
      <w:r w:rsidRPr="00166BA7">
        <w:rPr>
          <w:rFonts w:ascii="Times New Roman" w:hAnsi="Times New Roman"/>
        </w:rPr>
        <w:t xml:space="preserve">. </w:t>
      </w:r>
      <w:r>
        <w:rPr>
          <w:rFonts w:ascii="Times New Roman" w:hAnsi="Times New Roman"/>
        </w:rPr>
        <w:t xml:space="preserve">This is supported by </w:t>
      </w:r>
      <w:r w:rsidRPr="00166BA7">
        <w:rPr>
          <w:rFonts w:ascii="Times New Roman" w:hAnsi="Times New Roman"/>
        </w:rPr>
        <w:t xml:space="preserve">Troman and Woods </w:t>
      </w:r>
      <w:r w:rsidRPr="00166BA7">
        <w:rPr>
          <w:rFonts w:ascii="Times New Roman" w:hAnsi="Times New Roman"/>
          <w:noProof/>
        </w:rPr>
        <w:t>(2000)</w:t>
      </w:r>
      <w:r w:rsidRPr="00166BA7">
        <w:rPr>
          <w:rFonts w:ascii="Times New Roman" w:hAnsi="Times New Roman"/>
        </w:rPr>
        <w:t xml:space="preserve"> </w:t>
      </w:r>
      <w:r>
        <w:rPr>
          <w:rFonts w:ascii="Times New Roman" w:hAnsi="Times New Roman"/>
        </w:rPr>
        <w:t xml:space="preserve">who </w:t>
      </w:r>
      <w:r w:rsidRPr="00166BA7">
        <w:rPr>
          <w:rFonts w:ascii="Times New Roman" w:hAnsi="Times New Roman"/>
        </w:rPr>
        <w:t>find that due to work intensification and stress, teacher careers have become more varied with regard to career</w:t>
      </w:r>
      <w:r>
        <w:rPr>
          <w:rFonts w:ascii="Times New Roman" w:hAnsi="Times New Roman"/>
        </w:rPr>
        <w:t xml:space="preserve"> changes and (early) retirement - career changes are therefore r</w:t>
      </w:r>
      <w:r w:rsidRPr="00166BA7">
        <w:rPr>
          <w:rFonts w:ascii="Times New Roman" w:hAnsi="Times New Roman"/>
        </w:rPr>
        <w:t xml:space="preserve">esponses to, among others, adverse working conditions. </w:t>
      </w:r>
    </w:p>
    <w:p w:rsidR="009824DF" w:rsidRDefault="009824DF" w:rsidP="006343BD">
      <w:pPr>
        <w:pStyle w:val="Textkrper"/>
        <w:spacing w:line="480" w:lineRule="auto"/>
        <w:rPr>
          <w:rFonts w:ascii="Times New Roman" w:hAnsi="Times New Roman"/>
        </w:rPr>
      </w:pPr>
    </w:p>
    <w:p w:rsidR="009824DF" w:rsidRDefault="009824DF" w:rsidP="006343BD">
      <w:pPr>
        <w:pStyle w:val="Textkrper"/>
        <w:spacing w:line="480" w:lineRule="auto"/>
        <w:rPr>
          <w:rFonts w:ascii="Times New Roman" w:hAnsi="Times New Roman"/>
        </w:rPr>
      </w:pPr>
      <w:r>
        <w:rPr>
          <w:rFonts w:ascii="Times New Roman" w:hAnsi="Times New Roman"/>
        </w:rPr>
        <w:lastRenderedPageBreak/>
        <w:t>T</w:t>
      </w:r>
      <w:r w:rsidRPr="00166BA7">
        <w:rPr>
          <w:rFonts w:ascii="Times New Roman" w:hAnsi="Times New Roman"/>
        </w:rPr>
        <w:t xml:space="preserve">he high (early) retirement rate among older teachers </w:t>
      </w:r>
      <w:r>
        <w:rPr>
          <w:rFonts w:ascii="Times New Roman" w:hAnsi="Times New Roman"/>
        </w:rPr>
        <w:t>in combination with other factors</w:t>
      </w:r>
      <w:r w:rsidRPr="00166BA7">
        <w:rPr>
          <w:rFonts w:ascii="Times New Roman" w:hAnsi="Times New Roman"/>
        </w:rPr>
        <w:t xml:space="preserve"> ha</w:t>
      </w:r>
      <w:r>
        <w:rPr>
          <w:rFonts w:ascii="Times New Roman" w:hAnsi="Times New Roman"/>
        </w:rPr>
        <w:t>s</w:t>
      </w:r>
      <w:r w:rsidRPr="00166BA7">
        <w:rPr>
          <w:rFonts w:ascii="Times New Roman" w:hAnsi="Times New Roman"/>
        </w:rPr>
        <w:t xml:space="preserve"> led to a skill shortage of special education teachers </w:t>
      </w:r>
      <w:r w:rsidRPr="00166BA7">
        <w:rPr>
          <w:rFonts w:ascii="Times New Roman" w:hAnsi="Times New Roman"/>
          <w:noProof/>
        </w:rPr>
        <w:t>(McLeskey, Tyler, &amp; Flippin, 2004)</w:t>
      </w:r>
      <w:r w:rsidRPr="00166BA7">
        <w:rPr>
          <w:rFonts w:ascii="Times New Roman" w:hAnsi="Times New Roman"/>
        </w:rPr>
        <w:t xml:space="preserve">, of teachers in science subjects and mathematics </w:t>
      </w:r>
      <w:r w:rsidRPr="00166BA7">
        <w:rPr>
          <w:rFonts w:ascii="Times New Roman" w:hAnsi="Times New Roman"/>
          <w:noProof/>
        </w:rPr>
        <w:t>(Barmby, 2006)</w:t>
      </w:r>
      <w:r w:rsidRPr="00166BA7">
        <w:rPr>
          <w:rFonts w:ascii="Times New Roman" w:hAnsi="Times New Roman"/>
        </w:rPr>
        <w:t xml:space="preserve"> and in specific regions such as Western Germany, the South-West of England and London </w:t>
      </w:r>
      <w:r>
        <w:rPr>
          <w:rFonts w:ascii="Times New Roman" w:hAnsi="Times New Roman"/>
          <w:noProof/>
        </w:rPr>
        <w:t>(OECD, 2003a, 2003b)</w:t>
      </w:r>
      <w:r w:rsidRPr="00166BA7">
        <w:rPr>
          <w:rFonts w:ascii="Times New Roman" w:hAnsi="Times New Roman"/>
        </w:rPr>
        <w:t xml:space="preserve">. Consequently, governments have attempted to introduce policies that guarantee the adequate supply of teachers. Policies mainly concern the improvement of the attractiveness of the teaching profession; the development of teachers´ knowledge and skills; the recruitment, selection and employment of sufficient quantities of teachers; and finally the retention of teachers </w:t>
      </w:r>
      <w:r w:rsidRPr="00166BA7">
        <w:rPr>
          <w:rFonts w:ascii="Times New Roman" w:hAnsi="Times New Roman"/>
          <w:noProof/>
        </w:rPr>
        <w:t>(OECD, 2005)</w:t>
      </w:r>
      <w:r w:rsidRPr="00166BA7">
        <w:rPr>
          <w:rFonts w:ascii="Times New Roman" w:hAnsi="Times New Roman"/>
        </w:rPr>
        <w:t xml:space="preserve">. England and Wales have introduced initiatives to improve teacher recruitment numbers, including </w:t>
      </w:r>
      <w:r>
        <w:rPr>
          <w:rFonts w:ascii="Times New Roman" w:hAnsi="Times New Roman"/>
        </w:rPr>
        <w:t xml:space="preserve">teacher </w:t>
      </w:r>
      <w:r w:rsidRPr="00166BA7">
        <w:rPr>
          <w:rFonts w:ascii="Times New Roman" w:hAnsi="Times New Roman"/>
        </w:rPr>
        <w:t>training bursaries; "Golden Hello" schemes; and financial support for high</w:t>
      </w:r>
      <w:r>
        <w:rPr>
          <w:rFonts w:ascii="Times New Roman" w:hAnsi="Times New Roman"/>
        </w:rPr>
        <w:t>-</w:t>
      </w:r>
      <w:r w:rsidRPr="00166BA7">
        <w:rPr>
          <w:rFonts w:ascii="Times New Roman" w:hAnsi="Times New Roman"/>
        </w:rPr>
        <w:t xml:space="preserve">achieving university graduates </w:t>
      </w:r>
      <w:r w:rsidRPr="00166BA7">
        <w:rPr>
          <w:rFonts w:ascii="Times New Roman" w:hAnsi="Times New Roman"/>
          <w:noProof/>
        </w:rPr>
        <w:t>(Beardwell &amp; Clayton, 2007: 255; Menter, 2002)</w:t>
      </w:r>
      <w:r w:rsidRPr="00166BA7">
        <w:rPr>
          <w:rFonts w:ascii="Times New Roman" w:hAnsi="Times New Roman"/>
        </w:rPr>
        <w:t xml:space="preserve">. Incentives are therefore mainly monetary, and have shown positive effects upon the numbers of applications for and entrants into initial teacher training </w:t>
      </w:r>
      <w:r>
        <w:rPr>
          <w:rFonts w:ascii="Times New Roman" w:hAnsi="Times New Roman"/>
        </w:rPr>
        <w:t>program</w:t>
      </w:r>
      <w:r w:rsidRPr="00166BA7">
        <w:rPr>
          <w:rFonts w:ascii="Times New Roman" w:hAnsi="Times New Roman"/>
        </w:rPr>
        <w:t xml:space="preserve">s </w:t>
      </w:r>
      <w:r w:rsidRPr="00166BA7">
        <w:rPr>
          <w:rFonts w:ascii="Times New Roman" w:hAnsi="Times New Roman"/>
          <w:noProof/>
        </w:rPr>
        <w:t>(OECD, 2005)</w:t>
      </w:r>
      <w:r w:rsidRPr="00166BA7">
        <w:rPr>
          <w:rFonts w:ascii="Times New Roman" w:hAnsi="Times New Roman"/>
        </w:rPr>
        <w:t>. The wastage rate</w:t>
      </w:r>
      <w:r w:rsidR="00EA05A8">
        <w:rPr>
          <w:rStyle w:val="Endnotenzeichen"/>
          <w:rFonts w:ascii="Times New Roman" w:hAnsi="Times New Roman"/>
        </w:rPr>
        <w:endnoteReference w:id="1"/>
      </w:r>
      <w:r>
        <w:rPr>
          <w:rFonts w:ascii="Times New Roman" w:hAnsi="Times New Roman"/>
        </w:rPr>
        <w:t xml:space="preserve"> in Britain</w:t>
      </w:r>
      <w:r w:rsidRPr="00166BA7">
        <w:rPr>
          <w:rFonts w:ascii="Times New Roman" w:hAnsi="Times New Roman"/>
        </w:rPr>
        <w:t xml:space="preserve">, however, has remained the same, with the highest rates being observed among those aged 50plus </w:t>
      </w:r>
      <w:r w:rsidRPr="00166BA7">
        <w:rPr>
          <w:rFonts w:ascii="Times New Roman" w:hAnsi="Times New Roman"/>
          <w:noProof/>
        </w:rPr>
        <w:t>(Smithers &amp; Robinson, 2004)</w:t>
      </w:r>
      <w:r w:rsidRPr="00166BA7">
        <w:rPr>
          <w:rFonts w:ascii="Times New Roman" w:hAnsi="Times New Roman"/>
        </w:rPr>
        <w:t>. In Germany, financial incentives appear to be less important means to recruit and retain teaching staff. Instead, the German government has mainly introduced deregulatory measures to facilitate the mobility of teachers between</w:t>
      </w:r>
      <w:r>
        <w:rPr>
          <w:rFonts w:ascii="Times New Roman" w:hAnsi="Times New Roman"/>
        </w:rPr>
        <w:t xml:space="preserve"> German federal</w:t>
      </w:r>
      <w:r w:rsidRPr="00166BA7">
        <w:rPr>
          <w:rFonts w:ascii="Times New Roman" w:hAnsi="Times New Roman"/>
        </w:rPr>
        <w:t xml:space="preserve"> states, and measures to qualify side-entrants</w:t>
      </w:r>
      <w:r w:rsidR="001E1C7C">
        <w:rPr>
          <w:rStyle w:val="Endnotenzeichen"/>
          <w:rFonts w:ascii="Times New Roman" w:hAnsi="Times New Roman"/>
        </w:rPr>
        <w:endnoteReference w:id="2"/>
      </w:r>
      <w:r w:rsidRPr="00166BA7">
        <w:rPr>
          <w:rFonts w:ascii="Times New Roman" w:hAnsi="Times New Roman"/>
        </w:rPr>
        <w:t xml:space="preserve"> for the teaching profession </w:t>
      </w:r>
      <w:r w:rsidRPr="00166BA7">
        <w:rPr>
          <w:rFonts w:ascii="Times New Roman" w:hAnsi="Times New Roman"/>
          <w:noProof/>
        </w:rPr>
        <w:t>(Terhart, 2010)</w:t>
      </w:r>
      <w:r w:rsidRPr="00166BA7">
        <w:rPr>
          <w:rFonts w:ascii="Times New Roman" w:hAnsi="Times New Roman"/>
        </w:rPr>
        <w:t xml:space="preserve">. </w:t>
      </w:r>
    </w:p>
    <w:p w:rsidR="009824DF" w:rsidRPr="00166BA7" w:rsidRDefault="009824DF" w:rsidP="006343BD">
      <w:pPr>
        <w:pStyle w:val="Textkrper"/>
        <w:spacing w:line="480" w:lineRule="auto"/>
        <w:rPr>
          <w:rFonts w:ascii="Times New Roman" w:hAnsi="Times New Roman"/>
        </w:rPr>
      </w:pPr>
    </w:p>
    <w:p w:rsidR="009824DF" w:rsidRDefault="009824DF" w:rsidP="006343BD">
      <w:r w:rsidRPr="00166BA7">
        <w:t xml:space="preserve">Nevertheless, it is not clear whether these measures, that mainly target young teachers </w:t>
      </w:r>
      <w:r>
        <w:t>and</w:t>
      </w:r>
      <w:r w:rsidRPr="00166BA7">
        <w:t xml:space="preserve"> </w:t>
      </w:r>
      <w:r>
        <w:t>teaching force entrants</w:t>
      </w:r>
      <w:r w:rsidRPr="00166BA7">
        <w:t xml:space="preserve">, will act as incentives for teachers aged 50plus to remain in the teaching force until reaching national retirement age. This is because these measures do not </w:t>
      </w:r>
      <w:r>
        <w:t>address</w:t>
      </w:r>
      <w:r w:rsidRPr="00166BA7">
        <w:t xml:space="preserve"> problems </w:t>
      </w:r>
      <w:r>
        <w:t xml:space="preserve">and challenges that teachers might experience </w:t>
      </w:r>
      <w:r w:rsidRPr="00166BA7">
        <w:t xml:space="preserve">at a later stage </w:t>
      </w:r>
      <w:r>
        <w:t xml:space="preserve">of </w:t>
      </w:r>
      <w:r w:rsidRPr="00166BA7">
        <w:t>the</w:t>
      </w:r>
      <w:r>
        <w:t>ir</w:t>
      </w:r>
      <w:r w:rsidRPr="00166BA7">
        <w:t xml:space="preserve"> employment </w:t>
      </w:r>
      <w:r>
        <w:t xml:space="preserve">careers. Such challenges include ageism </w:t>
      </w:r>
      <w:r>
        <w:rPr>
          <w:noProof/>
        </w:rPr>
        <w:t>(OECD, 2003a; Redman &amp; Snape, 2002)</w:t>
      </w:r>
      <w:r>
        <w:t xml:space="preserve">, age discrimination in Human Resource Management processes </w:t>
      </w:r>
      <w:r>
        <w:rPr>
          <w:noProof/>
        </w:rPr>
        <w:t>(Knight, 2009)</w:t>
      </w:r>
      <w:r>
        <w:t>, health-</w:t>
      </w:r>
      <w:r>
        <w:lastRenderedPageBreak/>
        <w:t xml:space="preserve">related problems such as stress and burn-out </w:t>
      </w:r>
      <w:r>
        <w:rPr>
          <w:noProof/>
        </w:rPr>
        <w:t>(Hughes, 2001; Skaalvik &amp; Skaalvik, 2010)</w:t>
      </w:r>
      <w:r>
        <w:t xml:space="preserve">, as well as work-family conflicts </w:t>
      </w:r>
      <w:r>
        <w:rPr>
          <w:noProof/>
        </w:rPr>
        <w:t>(Cinamon &amp; Rich, 2005)</w:t>
      </w:r>
      <w:r>
        <w:t xml:space="preserve">. Nevertheless, such challenges might </w:t>
      </w:r>
      <w:r w:rsidRPr="00166BA7">
        <w:t>influence an individual´s career decision</w:t>
      </w:r>
      <w:r>
        <w:t xml:space="preserve"> over (early) retirement as well as the timing</w:t>
      </w:r>
      <w:r w:rsidRPr="00166BA7">
        <w:t xml:space="preserve"> </w:t>
      </w:r>
      <w:r>
        <w:t>of such a transition. In absence of government initiatives that aim to support older teachers, it is of interest to explore how and why teachers make decisions over work-retirement transitions, and whether or not they perceive to have a choice in such decision-making processes.</w:t>
      </w:r>
    </w:p>
    <w:p w:rsidR="009824DF" w:rsidRDefault="009824DF" w:rsidP="006343BD">
      <w:r>
        <w:t xml:space="preserve">  </w:t>
      </w:r>
    </w:p>
    <w:p w:rsidR="009824DF" w:rsidRPr="00166BA7" w:rsidRDefault="009824DF" w:rsidP="006343BD">
      <w:r w:rsidRPr="00166BA7">
        <w:t xml:space="preserve">Individual- or cohort-level discussions of career transitions and trajectories in later life have received attention in the Americas </w:t>
      </w:r>
      <w:r w:rsidRPr="00166BA7">
        <w:rPr>
          <w:noProof/>
        </w:rPr>
        <w:t>(Elder &amp; Pavalko, 1993; Han &amp; Moen, 1999; Kim &amp; Moen, 2002; Marshall, Clarke, &amp; Ballantyne, 2001)</w:t>
      </w:r>
      <w:r w:rsidRPr="00166BA7">
        <w:t xml:space="preserve"> and in Europe </w:t>
      </w:r>
      <w:r w:rsidRPr="00166BA7">
        <w:rPr>
          <w:noProof/>
        </w:rPr>
        <w:t>(Blossfeld, Buchholz, &amp; Hofäcker, 2006; Maltby, De Vroom, Mirabile, &amp; Overbye, 2004; Platman, 2003)</w:t>
      </w:r>
      <w:r w:rsidRPr="00166BA7">
        <w:t xml:space="preserve">. Most of this literature, however, focuses on the national institutional context or the </w:t>
      </w:r>
      <w:r>
        <w:t>organization</w:t>
      </w:r>
      <w:r w:rsidRPr="00166BA7">
        <w:t xml:space="preserve">al context that shapes career transitions in later life. However, there is a lack of literature that explores the interplay between institutional, </w:t>
      </w:r>
      <w:r>
        <w:t>organization</w:t>
      </w:r>
      <w:r w:rsidRPr="00166BA7">
        <w:t xml:space="preserve">al and individual-level factors in influencing, enabling or hindering career transitions. An exception is Moen </w:t>
      </w:r>
      <w:r w:rsidRPr="00166BA7">
        <w:rPr>
          <w:noProof/>
        </w:rPr>
        <w:t>(2004)</w:t>
      </w:r>
      <w:r w:rsidRPr="00166BA7">
        <w:t xml:space="preserve"> who discusses the effects of historical, economic and policy circumstances, biographical paths, relational ties as well as </w:t>
      </w:r>
      <w:r>
        <w:t>organization</w:t>
      </w:r>
      <w:r w:rsidRPr="00166BA7">
        <w:t xml:space="preserve">al and occupational environments upon individual-level employment transitions and trajectories in later life. Also, some research has focused on the interaction between individual and </w:t>
      </w:r>
      <w:r>
        <w:t>organization</w:t>
      </w:r>
      <w:r w:rsidRPr="00166BA7">
        <w:t xml:space="preserve">al variables in explaining decisions over work-retirement transitions </w:t>
      </w:r>
      <w:r w:rsidRPr="00166BA7">
        <w:rPr>
          <w:noProof/>
        </w:rPr>
        <w:t>(for example: Hyde, Ferrie, Higgs, Mein, &amp; Nazroo, 2004; Marmot, Banks, Blundell, Lessof, &amp; Nazroo, 2003; Vickerstaff &amp; Cox, 2005)</w:t>
      </w:r>
      <w:r w:rsidRPr="00166BA7">
        <w:t xml:space="preserve">. Nevertheless, according to Moen </w:t>
      </w:r>
      <w:r w:rsidRPr="00166BA7">
        <w:rPr>
          <w:noProof/>
        </w:rPr>
        <w:t>(2004: 283)</w:t>
      </w:r>
      <w:r w:rsidRPr="00166BA7">
        <w:t xml:space="preserve"> "</w:t>
      </w:r>
      <w:r w:rsidRPr="00166BA7">
        <w:rPr>
          <w:i/>
        </w:rPr>
        <w:t>Often investigators look for static 'antecedents' of retirement timing or snapshot 'consequences', not the dynamics of the retirement process as it develops over occupational and family careers and in particular historical, organizational, and social contexts.</w:t>
      </w:r>
      <w:r w:rsidRPr="00166BA7">
        <w:t xml:space="preserve">" Moen therefore calls for the exploration of the interrelated influence of a variety of factors upon employment career transitions in later life. In addition, Alwin and McCammon </w:t>
      </w:r>
      <w:r w:rsidRPr="00166BA7">
        <w:rPr>
          <w:noProof/>
        </w:rPr>
        <w:lastRenderedPageBreak/>
        <w:t>(2004)</w:t>
      </w:r>
      <w:r w:rsidRPr="00166BA7">
        <w:t xml:space="preserve"> advocate that the perceived and actual relevance of </w:t>
      </w:r>
      <w:r>
        <w:t>decision-making</w:t>
      </w:r>
      <w:r w:rsidRPr="00166BA7">
        <w:t xml:space="preserve"> factors change over time, and might</w:t>
      </w:r>
      <w:r>
        <w:t>,</w:t>
      </w:r>
      <w:r w:rsidRPr="00166BA7">
        <w:t xml:space="preserve"> hence</w:t>
      </w:r>
      <w:r>
        <w:t>,</w:t>
      </w:r>
      <w:r w:rsidRPr="00166BA7">
        <w:t xml:space="preserve"> affect people from different birth cohorts differently.</w:t>
      </w:r>
    </w:p>
    <w:p w:rsidR="009824DF" w:rsidRDefault="009824DF" w:rsidP="006343BD"/>
    <w:p w:rsidR="009824DF" w:rsidRDefault="009824DF" w:rsidP="006343BD">
      <w:r w:rsidRPr="00166BA7">
        <w:t>Similarly, living and working in dif</w:t>
      </w:r>
      <w:r>
        <w:t>ferent institutional contexts</w:t>
      </w:r>
      <w:r w:rsidRPr="00166BA7">
        <w:t xml:space="preserve"> might influence individuals from a similar birth cohort differently, as different factors might play a relevant role in shaping </w:t>
      </w:r>
      <w:r>
        <w:t>work-</w:t>
      </w:r>
      <w:r w:rsidRPr="00166BA7">
        <w:t>retirement</w:t>
      </w:r>
      <w:r>
        <w:t xml:space="preserve"> transitions</w:t>
      </w:r>
      <w:r w:rsidRPr="00166BA7">
        <w:t xml:space="preserve">. Nevertheless, most of the literature examines career transitions in later life in a single country context. Even though some literature discusses macro-level institutional differences with regard to, for example, </w:t>
      </w:r>
      <w:r>
        <w:t>labor</w:t>
      </w:r>
      <w:r w:rsidRPr="00166BA7">
        <w:t xml:space="preserve"> market participation and pension systems across countries </w:t>
      </w:r>
      <w:r w:rsidRPr="00166BA7">
        <w:rPr>
          <w:noProof/>
        </w:rPr>
        <w:t>(see for example: Ebbinghaus, 2006; Maltby et al., 2004)</w:t>
      </w:r>
      <w:r w:rsidRPr="00166BA7">
        <w:t>, there is a lack of literature that reviews the influence of a variety of macro and micro factors upon individual old age-related employment decisions across different welfare states. Therefore</w:t>
      </w:r>
      <w:r>
        <w:t>,</w:t>
      </w:r>
      <w:r w:rsidRPr="00166BA7">
        <w:t xml:space="preserve"> the comparison of factors influencing employment decisions of older workers across divergent institutional contexts will help to better understand the macro, meso and micro mechanisms that in</w:t>
      </w:r>
      <w:r>
        <w:t>fluence, support or hinder work-retirement</w:t>
      </w:r>
      <w:r w:rsidRPr="00166BA7">
        <w:t xml:space="preserve"> transitions. In order to do so, this study takes account of institutional, </w:t>
      </w:r>
      <w:r>
        <w:t>organization</w:t>
      </w:r>
      <w:r w:rsidRPr="00166BA7">
        <w:t>al and individual factors that influence career decisions in later life in different institutional contexts by employing a life course perspective</w:t>
      </w:r>
      <w:r>
        <w:t xml:space="preserve"> as well as multi-level case study approach</w:t>
      </w:r>
      <w:r w:rsidRPr="00166BA7">
        <w:t xml:space="preserve">. </w:t>
      </w:r>
      <w:r>
        <w:t xml:space="preserve">The following sections will introduce life course theory, and will elaborate on the multi-level case study approach as well as on the interview data employed. Furthermore, the findings of the study will be discussed in light of institutional, organizational and individual-level factors that influence work-retirement transitions. </w:t>
      </w:r>
    </w:p>
    <w:p w:rsidR="009824DF" w:rsidRPr="00166BA7" w:rsidRDefault="009824DF" w:rsidP="006343BD"/>
    <w:p w:rsidR="009824DF" w:rsidRPr="00166BA7" w:rsidRDefault="009824DF" w:rsidP="006343BD">
      <w:pPr>
        <w:pStyle w:val="berschrift2"/>
        <w:jc w:val="center"/>
        <w:rPr>
          <w:rFonts w:cs="Times New Roman"/>
        </w:rPr>
      </w:pPr>
      <w:r>
        <w:rPr>
          <w:rFonts w:cs="Times New Roman"/>
        </w:rPr>
        <w:t>LIFE COURSE THEORY</w:t>
      </w:r>
    </w:p>
    <w:p w:rsidR="009824DF" w:rsidRPr="00166BA7" w:rsidRDefault="009824DF" w:rsidP="006343BD">
      <w:r w:rsidRPr="00166BA7">
        <w:t xml:space="preserve">Life course theory is considered an important paradigm in the study of human lives </w:t>
      </w:r>
      <w:r w:rsidRPr="00166BA7">
        <w:rPr>
          <w:noProof/>
        </w:rPr>
        <w:t>(Elder, Kirkpatrick Johnson, &amp; Crosnoe, 2004)</w:t>
      </w:r>
      <w:r w:rsidRPr="00166BA7">
        <w:t>. The term life</w:t>
      </w:r>
      <w:r>
        <w:t xml:space="preserve"> </w:t>
      </w:r>
      <w:r w:rsidRPr="00166BA7">
        <w:t xml:space="preserve">course refers to the sequence of </w:t>
      </w:r>
      <w:r w:rsidRPr="00166BA7">
        <w:lastRenderedPageBreak/>
        <w:t xml:space="preserve">activities and events, such as trajectories and transitions, throughout an individual´s life from </w:t>
      </w:r>
      <w:r>
        <w:t xml:space="preserve">birth to death. Life </w:t>
      </w:r>
      <w:r w:rsidRPr="00166BA7">
        <w:t xml:space="preserve">course trajectories and transitions do not occur in a vacuum. Instead, they are embedded in and influenced by the institutional context within which they occur. Life course theory </w:t>
      </w:r>
      <w:r>
        <w:t>hence considers</w:t>
      </w:r>
      <w:r w:rsidRPr="00166BA7">
        <w:t xml:space="preserve"> how an individual´s life is embedded in social institutions or structures, especially with regard to social roles and positions </w:t>
      </w:r>
      <w:r w:rsidRPr="00166BA7">
        <w:rPr>
          <w:noProof/>
        </w:rPr>
        <w:t>(Mayer, 2004)</w:t>
      </w:r>
      <w:r w:rsidRPr="00166BA7">
        <w:t xml:space="preserve">. </w:t>
      </w:r>
      <w:r>
        <w:t xml:space="preserve">Life course theory </w:t>
      </w:r>
      <w:r w:rsidRPr="00166BA7">
        <w:t xml:space="preserve">therefore focuses on the relationship between institutions and individuals across the life span, and aims to determine how national or local institutions as well as the social context influence biographies on the individual and cohort level. An important aspect of </w:t>
      </w:r>
      <w:r>
        <w:t>life course theory</w:t>
      </w:r>
      <w:r w:rsidRPr="00166BA7">
        <w:t xml:space="preserve"> is therefore how individuals move into, through and out of social institutions throughout their lives </w:t>
      </w:r>
      <w:r w:rsidRPr="00166BA7">
        <w:rPr>
          <w:noProof/>
        </w:rPr>
        <w:t>(Macmillan &amp; Eliason, 2004)</w:t>
      </w:r>
      <w:r w:rsidRPr="00166BA7">
        <w:t xml:space="preserve">. The main organising principles of </w:t>
      </w:r>
      <w:r>
        <w:t>life course theory</w:t>
      </w:r>
      <w:r w:rsidRPr="00166BA7">
        <w:t xml:space="preserve"> are, hence, social trajectories as well as transitions and turning points from one trajectory to the next. </w:t>
      </w:r>
    </w:p>
    <w:p w:rsidR="009824DF" w:rsidRDefault="009824DF" w:rsidP="006343BD"/>
    <w:p w:rsidR="009824DF" w:rsidRPr="00166BA7" w:rsidRDefault="009824DF" w:rsidP="006343BD">
      <w:r>
        <w:t xml:space="preserve">Life </w:t>
      </w:r>
      <w:r w:rsidRPr="00166BA7">
        <w:t>course trajectories refer to social pathways that consist of sequences of social roles over time. While early models of individuals´ lives tend</w:t>
      </w:r>
      <w:r>
        <w:t xml:space="preserve">ed to regard only a single life </w:t>
      </w:r>
      <w:r w:rsidRPr="00166BA7">
        <w:t>course route, more recent models of the life</w:t>
      </w:r>
      <w:r>
        <w:t xml:space="preserve"> </w:t>
      </w:r>
      <w:r w:rsidRPr="00166BA7">
        <w:t>course take account</w:t>
      </w:r>
      <w:r>
        <w:t xml:space="preserve"> of multiple, interlocking life </w:t>
      </w:r>
      <w:r w:rsidRPr="00166BA7">
        <w:t xml:space="preserve">course roles that occur in one´s life simultaneously. </w:t>
      </w:r>
      <w:r>
        <w:t>Life course theory</w:t>
      </w:r>
      <w:r w:rsidRPr="00166BA7">
        <w:t xml:space="preserve"> therefore allows exploring multiple, interdependent social trajectories over time </w:t>
      </w:r>
      <w:r w:rsidRPr="00166BA7">
        <w:rPr>
          <w:noProof/>
        </w:rPr>
        <w:t>(Elder et al., 2004)</w:t>
      </w:r>
      <w:r w:rsidRPr="00166BA7">
        <w:t>.</w:t>
      </w:r>
      <w:r>
        <w:t xml:space="preserve"> </w:t>
      </w:r>
      <w:r w:rsidRPr="00166BA7">
        <w:t xml:space="preserve">Furthermore, </w:t>
      </w:r>
      <w:r>
        <w:t>life course theory</w:t>
      </w:r>
      <w:r w:rsidRPr="00166BA7">
        <w:t xml:space="preserve"> includes the concept of transitions and turning points. A transition refers to an age-graded planned or unplanned event or activity that leads to a change in an individual´s life</w:t>
      </w:r>
      <w:r>
        <w:t xml:space="preserve"> </w:t>
      </w:r>
      <w:r w:rsidRPr="00166BA7">
        <w:t xml:space="preserve">course trajectory, i.e. the moving into or out of a social role or institutionally-defined context. Transitions signify the timing of the beginning and the end of trajectories, and allow for the calculation of their duration. This therefore helps determining whether transitions and/or trajectories correspond to or deviate from social norms and expectations in a given institutional context at a given point in time </w:t>
      </w:r>
      <w:r w:rsidRPr="00166BA7">
        <w:rPr>
          <w:noProof/>
        </w:rPr>
        <w:t>(Macmillan &amp; Eliason, 2004)</w:t>
      </w:r>
      <w:r w:rsidRPr="00166BA7">
        <w:t xml:space="preserve">. Turning points are </w:t>
      </w:r>
      <w:r>
        <w:t>transitions</w:t>
      </w:r>
      <w:r w:rsidRPr="00166BA7">
        <w:t xml:space="preserve"> "</w:t>
      </w:r>
      <w:r w:rsidRPr="00166BA7">
        <w:rPr>
          <w:i/>
        </w:rPr>
        <w:t xml:space="preserve">in which a person has undergone a major transformation in views about the self, </w:t>
      </w:r>
      <w:r w:rsidRPr="00166BA7">
        <w:rPr>
          <w:i/>
        </w:rPr>
        <w:lastRenderedPageBreak/>
        <w:t>commitments to important relationships, or involvement in significant life roles</w:t>
      </w:r>
      <w:r w:rsidRPr="00166BA7">
        <w:t xml:space="preserve"> </w:t>
      </w:r>
      <w:r w:rsidRPr="00166BA7">
        <w:rPr>
          <w:noProof/>
        </w:rPr>
        <w:t>(Wethington, Cooper, &amp; Holmes, 1997: 217)</w:t>
      </w:r>
      <w:r w:rsidRPr="00166BA7">
        <w:t xml:space="preserve">." Such transformations might involve major life events such as parenthood and unemployment </w:t>
      </w:r>
      <w:r w:rsidRPr="00166BA7">
        <w:rPr>
          <w:noProof/>
        </w:rPr>
        <w:t>(McLeod &amp; Almazan, 2004)</w:t>
      </w:r>
      <w:r w:rsidRPr="00166BA7">
        <w:t>. Transitions and turning points therefore denote planned or unplanned changes in the way in which a life</w:t>
      </w:r>
      <w:r>
        <w:t xml:space="preserve"> </w:t>
      </w:r>
      <w:r w:rsidRPr="00166BA7">
        <w:t>course unfolds over time. As life</w:t>
      </w:r>
      <w:r>
        <w:t xml:space="preserve"> </w:t>
      </w:r>
      <w:r w:rsidRPr="00166BA7">
        <w:t xml:space="preserve">course trajectories are interconnected </w:t>
      </w:r>
      <w:r w:rsidRPr="00166BA7">
        <w:rPr>
          <w:noProof/>
        </w:rPr>
        <w:t>(Elder, 1985)</w:t>
      </w:r>
      <w:r w:rsidRPr="00166BA7">
        <w:t xml:space="preserve">, transitions and turning points that refer to one trajectory might also influence another trajectory. Consequently, the voluntary or involuntary "choice" in favour or against a transition might lead to the alteration of an individual´s </w:t>
      </w:r>
      <w:r>
        <w:t xml:space="preserve">entire </w:t>
      </w:r>
      <w:r w:rsidRPr="00166BA7">
        <w:t>life</w:t>
      </w:r>
      <w:r>
        <w:t xml:space="preserve"> </w:t>
      </w:r>
      <w:r w:rsidRPr="00166BA7">
        <w:t xml:space="preserve">course </w:t>
      </w:r>
      <w:r w:rsidRPr="00166BA7">
        <w:rPr>
          <w:noProof/>
        </w:rPr>
        <w:t>(Elder &amp; Kirkpatrick Johnson, 2002)</w:t>
      </w:r>
      <w:r w:rsidRPr="00166BA7">
        <w:t xml:space="preserve">. </w:t>
      </w:r>
    </w:p>
    <w:p w:rsidR="009824DF" w:rsidRDefault="009824DF" w:rsidP="006343BD"/>
    <w:p w:rsidR="009824DF" w:rsidRDefault="009824DF" w:rsidP="006343BD">
      <w:r>
        <w:t>Life course theory</w:t>
      </w:r>
      <w:r w:rsidRPr="00166BA7">
        <w:t xml:space="preserve"> assumes the existence of four elements that influence the lives of cohorts and individuals</w:t>
      </w:r>
      <w:r>
        <w:t>, as well as life course trajectories and transitions, such as the work-retirement transition</w:t>
      </w:r>
      <w:r w:rsidRPr="00166BA7">
        <w:t>. First</w:t>
      </w:r>
      <w:r>
        <w:t xml:space="preserve">, the life </w:t>
      </w:r>
      <w:r w:rsidRPr="00166BA7">
        <w:t xml:space="preserve">course is shaped by and embedded in the historical time, place and context in which it occurs </w:t>
      </w:r>
      <w:r w:rsidRPr="00166BA7">
        <w:rPr>
          <w:noProof/>
        </w:rPr>
        <w:t>(Elder, 2003)</w:t>
      </w:r>
      <w:r w:rsidRPr="00166BA7">
        <w:t xml:space="preserve">. Members of different birth cohorts and individuals in different national settings </w:t>
      </w:r>
      <w:r>
        <w:t>will</w:t>
      </w:r>
      <w:r w:rsidRPr="00166BA7">
        <w:t xml:space="preserve"> ther</w:t>
      </w:r>
      <w:r>
        <w:t xml:space="preserve">efore experience different life </w:t>
      </w:r>
      <w:r w:rsidRPr="00166BA7">
        <w:t>courses</w:t>
      </w:r>
      <w:r>
        <w:t xml:space="preserve"> that reflect the opportunities and constraints provided by context and time</w:t>
      </w:r>
      <w:r w:rsidRPr="00166BA7">
        <w:t xml:space="preserve">. Furthermore, Heinz </w:t>
      </w:r>
      <w:r w:rsidRPr="00166BA7">
        <w:rPr>
          <w:noProof/>
        </w:rPr>
        <w:t>(2003)</w:t>
      </w:r>
      <w:r w:rsidRPr="00166BA7">
        <w:t xml:space="preserve"> suggests that life</w:t>
      </w:r>
      <w:r>
        <w:t xml:space="preserve"> </w:t>
      </w:r>
      <w:r w:rsidRPr="00166BA7">
        <w:t xml:space="preserve">courses depend on the degree of regulation exercised by national institutions. Second, Neugarten and Hagestad </w:t>
      </w:r>
      <w:r w:rsidRPr="00166BA7">
        <w:rPr>
          <w:noProof/>
        </w:rPr>
        <w:t>(1976)</w:t>
      </w:r>
      <w:r w:rsidRPr="00166BA7">
        <w:t xml:space="preserve"> introduced the notion of "time" and "timing" into </w:t>
      </w:r>
      <w:r>
        <w:t>life course theory</w:t>
      </w:r>
      <w:r w:rsidRPr="00166BA7">
        <w:t>. They find that every society has values and expectations ab</w:t>
      </w:r>
      <w:r>
        <w:t xml:space="preserve">out the "right" timing for life </w:t>
      </w:r>
      <w:r w:rsidRPr="00166BA7">
        <w:t>course transitions, such as the work-retirement transition. Furthermore, the timing of life events, such as retirement, depends on available resources, and is therefore seen as a "</w:t>
      </w:r>
      <w:r w:rsidRPr="00166BA7">
        <w:rPr>
          <w:i/>
          <w:iCs/>
        </w:rPr>
        <w:t xml:space="preserve">strategic adaptation </w:t>
      </w:r>
      <w:r w:rsidRPr="00166BA7">
        <w:rPr>
          <w:iCs/>
          <w:noProof/>
        </w:rPr>
        <w:t>(Giele &amp; Elder, 1998: 10)</w:t>
      </w:r>
      <w:r w:rsidRPr="00166BA7">
        <w:rPr>
          <w:iCs/>
        </w:rPr>
        <w:t>"</w:t>
      </w:r>
      <w:r w:rsidRPr="00166BA7">
        <w:t xml:space="preserve"> to one´s environment. A third element - linked lives</w:t>
      </w:r>
      <w:r>
        <w:t xml:space="preserve"> - is that an individual’s life </w:t>
      </w:r>
      <w:r w:rsidRPr="00166BA7">
        <w:t>course is interrela</w:t>
      </w:r>
      <w:r>
        <w:t xml:space="preserve">ted with and shaped by the life </w:t>
      </w:r>
      <w:r w:rsidRPr="00166BA7">
        <w:t xml:space="preserve">courses of relevant peers, such as family members </w:t>
      </w:r>
      <w:r w:rsidRPr="00166BA7">
        <w:rPr>
          <w:noProof/>
        </w:rPr>
        <w:t>(Elder et al., 2004)</w:t>
      </w:r>
      <w:r w:rsidRPr="00166BA7">
        <w:t>. The fourth</w:t>
      </w:r>
      <w:r>
        <w:t xml:space="preserve"> element contains that the life </w:t>
      </w:r>
      <w:r w:rsidRPr="00166BA7">
        <w:t xml:space="preserve">course is influenced by human agency </w:t>
      </w:r>
      <w:r w:rsidRPr="00166BA7">
        <w:rPr>
          <w:noProof/>
        </w:rPr>
        <w:t>(Giele &amp; Elder, 1998)</w:t>
      </w:r>
      <w:r w:rsidRPr="00166BA7">
        <w:t xml:space="preserve">. Individuals aim to make the most rational choice available to them, however, constrained by incomplete information and by opportunities and constraints within their social </w:t>
      </w:r>
      <w:r w:rsidRPr="00166BA7">
        <w:lastRenderedPageBreak/>
        <w:t xml:space="preserve">context </w:t>
      </w:r>
      <w:r w:rsidRPr="00166BA7">
        <w:rPr>
          <w:noProof/>
        </w:rPr>
        <w:t>(Marshall &amp; Mueller, 2003)</w:t>
      </w:r>
      <w:r w:rsidRPr="00166BA7">
        <w:t>. Even though environmental and institutional constraint</w:t>
      </w:r>
      <w:r>
        <w:t xml:space="preserve">s might not enable certain life </w:t>
      </w:r>
      <w:r w:rsidRPr="00166BA7">
        <w:t>course transitions or trajectories, individuals might still be able to actively manage the environment and institutions that constrict their choices</w:t>
      </w:r>
      <w:r>
        <w:t xml:space="preserve"> by employing human agency</w:t>
      </w:r>
      <w:r w:rsidRPr="00166BA7">
        <w:t xml:space="preserve"> </w:t>
      </w:r>
      <w:r w:rsidRPr="00166BA7">
        <w:rPr>
          <w:noProof/>
        </w:rPr>
        <w:t>(Furstenberg, Cook, Eccles, Elder, &amp; Sameroff, 1999)</w:t>
      </w:r>
      <w:r w:rsidRPr="00166BA7">
        <w:t xml:space="preserve">. </w:t>
      </w:r>
    </w:p>
    <w:p w:rsidR="009824DF" w:rsidRPr="00166BA7" w:rsidRDefault="009824DF" w:rsidP="006343BD"/>
    <w:p w:rsidR="009824DF" w:rsidRDefault="009824DF" w:rsidP="006343BD">
      <w:pPr>
        <w:pStyle w:val="berschrift2"/>
        <w:jc w:val="center"/>
        <w:rPr>
          <w:rFonts w:cs="Times New Roman"/>
        </w:rPr>
      </w:pPr>
      <w:r>
        <w:rPr>
          <w:rFonts w:cs="Times New Roman"/>
        </w:rPr>
        <w:t>METHOD AND DATA</w:t>
      </w:r>
    </w:p>
    <w:p w:rsidR="009824DF" w:rsidRDefault="009824DF" w:rsidP="006343BD">
      <w:r w:rsidRPr="00E93792">
        <w:t xml:space="preserve">In order to </w:t>
      </w:r>
      <w:r>
        <w:t xml:space="preserve">account for institutional, organizational and individual-level factors that might potentially influence individuals´ work-retirement transition decisions </w:t>
      </w:r>
      <w:r w:rsidRPr="00E93792">
        <w:t>in Britain and Germany, this study will use a multiple case study</w:t>
      </w:r>
      <w:r>
        <w:t xml:space="preserve"> design</w:t>
      </w:r>
      <w:r w:rsidRPr="00E93792">
        <w:t xml:space="preserve">. Therefore, each national context </w:t>
      </w:r>
      <w:r>
        <w:t>acts as a distinct bounded case</w:t>
      </w:r>
      <w:r w:rsidRPr="00E93792">
        <w:t xml:space="preserve">. A multiple case study design is employed if there is less interest in the particular case of </w:t>
      </w:r>
      <w:r>
        <w:t>one</w:t>
      </w:r>
      <w:r w:rsidRPr="00E93792">
        <w:t xml:space="preserve"> entity but in a number of contrasting cases </w:t>
      </w:r>
      <w:r w:rsidRPr="00E93792">
        <w:rPr>
          <w:noProof/>
        </w:rPr>
        <w:t>(Stake, 2005)</w:t>
      </w:r>
      <w:r>
        <w:t>, i.e. two national contexts</w:t>
      </w:r>
      <w:r w:rsidRPr="00E93792">
        <w:t>. Due to their distinct approaches to education policy and teacher</w:t>
      </w:r>
      <w:r>
        <w:t xml:space="preserve"> employment, </w:t>
      </w:r>
      <w:r w:rsidRPr="00E93792">
        <w:t>Germany and Britain are considered contrasting cases. Furthermore, each national case is considered an embedded case study as it involves more than one unit of analysis, i.e. more than one school and more than one individual teacher. An embedded case study design is used if the relevant level of analysis is a subunit of the case</w:t>
      </w:r>
      <w:r>
        <w:t>,</w:t>
      </w:r>
      <w:r w:rsidRPr="00E93792">
        <w:t xml:space="preserve"> even though the context of the case is relevant in explaining the </w:t>
      </w:r>
      <w:r>
        <w:t>behavior</w:t>
      </w:r>
      <w:r w:rsidRPr="00E93792">
        <w:t xml:space="preserve"> of the subunit </w:t>
      </w:r>
      <w:r w:rsidRPr="00E93792">
        <w:rPr>
          <w:noProof/>
        </w:rPr>
        <w:t>(Yin, 2009)</w:t>
      </w:r>
      <w:r w:rsidRPr="00E93792">
        <w:t xml:space="preserve">. This approach is suitable as the interest </w:t>
      </w:r>
      <w:r>
        <w:t>of this study is</w:t>
      </w:r>
      <w:r w:rsidRPr="00E93792">
        <w:t xml:space="preserve"> not in one particular teacher but in how teachers´ careers evolve within the cases of two specific school districts, mediated by</w:t>
      </w:r>
      <w:r>
        <w:t xml:space="preserve"> the respective organizational</w:t>
      </w:r>
      <w:r w:rsidRPr="00E93792">
        <w:t xml:space="preserve"> </w:t>
      </w:r>
      <w:r>
        <w:t xml:space="preserve">or school-level </w:t>
      </w:r>
      <w:r w:rsidRPr="00E93792">
        <w:t xml:space="preserve">environments, in which these teachers are employed. </w:t>
      </w:r>
    </w:p>
    <w:p w:rsidR="009824DF" w:rsidRDefault="009824DF" w:rsidP="006343BD">
      <w:r w:rsidRPr="00E93792">
        <w:t>The research design of this multiple embedded case study will be presented in Figure 1</w:t>
      </w:r>
      <w:r>
        <w:t>.</w:t>
      </w:r>
    </w:p>
    <w:p w:rsidR="0019255E" w:rsidRDefault="0019255E" w:rsidP="002648A9">
      <w:pPr>
        <w:pStyle w:val="Beschriftung"/>
      </w:pPr>
      <w:bookmarkStart w:id="10" w:name="_Toc289979915"/>
      <w:bookmarkStart w:id="11" w:name="_Toc302063798"/>
    </w:p>
    <w:p w:rsidR="0019255E" w:rsidRDefault="0019255E" w:rsidP="002648A9">
      <w:pPr>
        <w:pStyle w:val="Beschriftung"/>
      </w:pPr>
    </w:p>
    <w:p w:rsidR="0019255E" w:rsidRDefault="0019255E" w:rsidP="002648A9">
      <w:pPr>
        <w:pStyle w:val="Beschriftung"/>
      </w:pPr>
    </w:p>
    <w:p w:rsidR="0019255E" w:rsidRDefault="0019255E" w:rsidP="002648A9">
      <w:pPr>
        <w:pStyle w:val="Beschriftung"/>
      </w:pPr>
    </w:p>
    <w:p w:rsidR="0019255E" w:rsidRDefault="0019255E" w:rsidP="002648A9">
      <w:pPr>
        <w:pStyle w:val="Beschriftung"/>
      </w:pPr>
    </w:p>
    <w:p w:rsidR="0019255E" w:rsidRDefault="0019255E" w:rsidP="002648A9">
      <w:pPr>
        <w:pStyle w:val="Beschriftung"/>
      </w:pPr>
    </w:p>
    <w:p w:rsidR="002648A9" w:rsidRPr="00405EA8" w:rsidRDefault="002648A9" w:rsidP="002648A9">
      <w:pPr>
        <w:pStyle w:val="Beschriftung"/>
      </w:pPr>
      <w:r w:rsidRPr="00405EA8">
        <w:lastRenderedPageBreak/>
        <w:t xml:space="preserve">Figure </w:t>
      </w:r>
      <w:fldSimple w:instr=" SEQ Figure_5_ \* ARABIC ">
        <w:r w:rsidRPr="00405EA8">
          <w:rPr>
            <w:noProof/>
          </w:rPr>
          <w:t>1</w:t>
        </w:r>
      </w:fldSimple>
      <w:r w:rsidRPr="00405EA8">
        <w:t>: The multiple embedded case study design employed in this study</w:t>
      </w:r>
      <w:bookmarkEnd w:id="10"/>
      <w:bookmarkEnd w:id="11"/>
      <w:r w:rsidRPr="00405EA8">
        <w:t xml:space="preserve"> </w:t>
      </w:r>
    </w:p>
    <w:p w:rsidR="002648A9" w:rsidRPr="00405EA8" w:rsidRDefault="002648A9" w:rsidP="002648A9">
      <w:pPr>
        <w:spacing w:line="240" w:lineRule="auto"/>
        <w:rPr>
          <w:rStyle w:val="SchwacherVerweis"/>
          <w:rFonts w:ascii="Times New Roman" w:hAnsi="Times New Roman"/>
        </w:rPr>
      </w:pPr>
      <w:r w:rsidRPr="00405EA8">
        <w:rPr>
          <w:rStyle w:val="SchwacherVerweis"/>
          <w:rFonts w:ascii="Times New Roman" w:hAnsi="Times New Roman"/>
        </w:rPr>
        <w:t>Source: Own illustration</w:t>
      </w:r>
    </w:p>
    <w:p w:rsidR="002648A9" w:rsidRPr="00E93792" w:rsidRDefault="002648A9" w:rsidP="002648A9">
      <w:pPr>
        <w:keepNext/>
        <w:jc w:val="left"/>
      </w:pPr>
      <w:r>
        <w:rPr>
          <w:noProof/>
          <w:lang w:val="de-DE" w:eastAsia="de-DE"/>
        </w:rPr>
        <w:drawing>
          <wp:inline distT="0" distB="0" distL="0" distR="0">
            <wp:extent cx="5888086" cy="3165608"/>
            <wp:effectExtent l="19050" t="0" r="0" b="0"/>
            <wp:docPr id="3" name="Grafik 0" descr="Figure 5.1._picture3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5.1._picture3_FINAL.png"/>
                    <pic:cNvPicPr/>
                  </pic:nvPicPr>
                  <pic:blipFill>
                    <a:blip r:embed="rId6" cstate="print"/>
                    <a:stretch>
                      <a:fillRect/>
                    </a:stretch>
                  </pic:blipFill>
                  <pic:spPr>
                    <a:xfrm>
                      <a:off x="0" y="0"/>
                      <a:ext cx="5880020" cy="3161271"/>
                    </a:xfrm>
                    <a:prstGeom prst="rect">
                      <a:avLst/>
                    </a:prstGeom>
                  </pic:spPr>
                </pic:pic>
              </a:graphicData>
            </a:graphic>
          </wp:inline>
        </w:drawing>
      </w:r>
    </w:p>
    <w:p w:rsidR="009824DF" w:rsidRDefault="009824DF" w:rsidP="006343BD">
      <w:pPr>
        <w:jc w:val="center"/>
      </w:pPr>
    </w:p>
    <w:p w:rsidR="009824DF" w:rsidRDefault="009824DF" w:rsidP="006343BD">
      <w:r>
        <w:t xml:space="preserve">In order to explore the effects of the different subunits of analysis upon teachers´ work-retirement transition </w:t>
      </w:r>
      <w:r w:rsidR="0098513B">
        <w:t>conceptualization</w:t>
      </w:r>
      <w:r>
        <w:t xml:space="preserve">s and decision-making processes, this study employs qualitative biographical </w:t>
      </w:r>
      <w:r>
        <w:rPr>
          <w:noProof/>
        </w:rPr>
        <w:t>(Faraday &amp; Plummer, 1979)</w:t>
      </w:r>
      <w:r>
        <w:t xml:space="preserve"> as well as expert </w:t>
      </w:r>
      <w:r>
        <w:rPr>
          <w:noProof/>
        </w:rPr>
        <w:t>(Flick, 2009)</w:t>
      </w:r>
      <w:r>
        <w:t xml:space="preserve"> interview data. Both data sets were collected between 2008 and 2010 using a purposive sampling strategy in two school districts, one being situated in a large British cosmopolitan area and one representing a German Federal city-state. Both school districts were chosen as they most closely match one another with respect to socio-economic context, number of inhabitants, number of schools as well as teachers. In each school district, three comprehensive schools</w:t>
      </w:r>
      <w:r w:rsidR="0095594B">
        <w:rPr>
          <w:rStyle w:val="Endnotenzeichen"/>
        </w:rPr>
        <w:endnoteReference w:id="3"/>
      </w:r>
      <w:r>
        <w:t xml:space="preserve"> were identified, in which school-level interviews with experts as well as biographical interviews with teachers aged 50plus were conducted. </w:t>
      </w:r>
    </w:p>
    <w:p w:rsidR="009824DF" w:rsidRDefault="009824DF" w:rsidP="006343BD"/>
    <w:p w:rsidR="009824DF" w:rsidRDefault="009824DF" w:rsidP="006343BD">
      <w:r>
        <w:t xml:space="preserve">In total, 26 expert interviews were conducted in both countries. These were with Human Resource (HR) Managers at the school district-level as well as with school principals, vice principals and other line managers with HR responsibility at the school-level. Furthermore, </w:t>
      </w:r>
      <w:r>
        <w:lastRenderedPageBreak/>
        <w:t xml:space="preserve">trade union and employee representatives at the school district- and school-levels were interviewed in order to triangulate the interview data obtained from HR Managers and school-level interview partners. In addition, school-level focus group interviews were conducted with school teachers aged 50plus in order to assess their perception of school district and school-level HR policies and practices in general and with regard to teachers aged 50plus in particular. These expert interviews were used to contextualize the 20 biographical interviews conducted with teachers aged 50plus, 10 in each country, most of whom were employed in the six case study schools within the two school districts. All interviews were analyzed using thematic analysis </w:t>
      </w:r>
      <w:r>
        <w:rPr>
          <w:noProof/>
        </w:rPr>
        <w:t>(Braun &amp; Clarke, 2006)</w:t>
      </w:r>
      <w:r>
        <w:t xml:space="preserve">. The number of interviews and interview partners on each level, among experts as well as biographical interview partners, are displayed in Table 1 below. </w:t>
      </w:r>
    </w:p>
    <w:p w:rsidR="009824DF" w:rsidRDefault="009824DF" w:rsidP="006343BD"/>
    <w:p w:rsidR="00FC1C00" w:rsidRPr="00405EA8" w:rsidRDefault="00FC1C00" w:rsidP="00FC1C00">
      <w:pPr>
        <w:pStyle w:val="Beschriftung"/>
      </w:pPr>
      <w:r>
        <w:t>Table</w:t>
      </w:r>
      <w:r w:rsidRPr="00405EA8">
        <w:t xml:space="preserve"> </w:t>
      </w:r>
      <w:r>
        <w:t>1</w:t>
      </w:r>
      <w:r w:rsidRPr="00405EA8">
        <w:t xml:space="preserve">: </w:t>
      </w:r>
      <w:r>
        <w:t>Number of interviews by country and type (Number of interview partners per interviews in parentheses)</w:t>
      </w:r>
      <w:r w:rsidRPr="00405EA8">
        <w:t xml:space="preserve"> </w:t>
      </w:r>
    </w:p>
    <w:p w:rsidR="00FC1C00" w:rsidRDefault="00FC1C00" w:rsidP="00FC1C00">
      <w:pPr>
        <w:spacing w:line="240" w:lineRule="auto"/>
        <w:rPr>
          <w:rStyle w:val="SchwacherVerweis"/>
          <w:rFonts w:ascii="Times New Roman" w:hAnsi="Times New Roman"/>
        </w:rPr>
      </w:pPr>
      <w:r w:rsidRPr="00405EA8">
        <w:rPr>
          <w:rStyle w:val="SchwacherVerweis"/>
          <w:rFonts w:ascii="Times New Roman" w:hAnsi="Times New Roman"/>
        </w:rPr>
        <w:t>Source: Own illustration</w:t>
      </w:r>
    </w:p>
    <w:p w:rsidR="00FC1C00" w:rsidRDefault="00FC1C00" w:rsidP="00FC1C00">
      <w:pPr>
        <w:spacing w:line="240" w:lineRule="auto"/>
        <w:rPr>
          <w:rStyle w:val="SchwacherVerweis"/>
          <w:rFonts w:ascii="Times New Roman" w:hAnsi="Times New Roman"/>
        </w:rPr>
      </w:pPr>
    </w:p>
    <w:p w:rsidR="00FC1C00" w:rsidRPr="00405EA8" w:rsidRDefault="00FC1C00" w:rsidP="00FC1C00">
      <w:pPr>
        <w:spacing w:line="240" w:lineRule="auto"/>
        <w:rPr>
          <w:rStyle w:val="SchwacherVerweis"/>
          <w:rFonts w:ascii="Times New Roman" w:hAnsi="Times New Roman"/>
        </w:rPr>
      </w:pPr>
      <w:r>
        <w:rPr>
          <w:noProof/>
          <w:sz w:val="20"/>
          <w:lang w:val="de-DE" w:eastAsia="de-DE"/>
        </w:rPr>
        <w:drawing>
          <wp:inline distT="0" distB="0" distL="0" distR="0">
            <wp:extent cx="5909396" cy="2227097"/>
            <wp:effectExtent l="0" t="0" r="0" b="0"/>
            <wp:docPr id="4" name="Grafik 0" descr="Fig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png"/>
                    <pic:cNvPicPr/>
                  </pic:nvPicPr>
                  <pic:blipFill>
                    <a:blip r:embed="rId7" cstate="print"/>
                    <a:stretch>
                      <a:fillRect/>
                    </a:stretch>
                  </pic:blipFill>
                  <pic:spPr>
                    <a:xfrm>
                      <a:off x="0" y="0"/>
                      <a:ext cx="5909576" cy="2227165"/>
                    </a:xfrm>
                    <a:prstGeom prst="rect">
                      <a:avLst/>
                    </a:prstGeom>
                  </pic:spPr>
                </pic:pic>
              </a:graphicData>
            </a:graphic>
          </wp:inline>
        </w:drawing>
      </w:r>
    </w:p>
    <w:p w:rsidR="00FC1C00" w:rsidRDefault="00FC1C00" w:rsidP="006343BD">
      <w:pPr>
        <w:spacing w:line="240" w:lineRule="auto"/>
      </w:pPr>
    </w:p>
    <w:p w:rsidR="00807A6A" w:rsidRDefault="00807A6A" w:rsidP="006343BD">
      <w:pPr>
        <w:spacing w:line="240" w:lineRule="auto"/>
      </w:pPr>
    </w:p>
    <w:p w:rsidR="00FC1C00" w:rsidRDefault="00FC1C00" w:rsidP="006343BD">
      <w:pPr>
        <w:spacing w:line="240" w:lineRule="auto"/>
      </w:pPr>
    </w:p>
    <w:p w:rsidR="009824DF" w:rsidRDefault="009824DF" w:rsidP="006343BD">
      <w:pPr>
        <w:pStyle w:val="berschrift2"/>
        <w:jc w:val="center"/>
        <w:rPr>
          <w:rFonts w:cs="Times New Roman"/>
        </w:rPr>
      </w:pPr>
      <w:r>
        <w:rPr>
          <w:rFonts w:cs="Times New Roman"/>
        </w:rPr>
        <w:t>FINDINGS</w:t>
      </w:r>
    </w:p>
    <w:p w:rsidR="009824DF" w:rsidRDefault="009824DF" w:rsidP="006343BD">
      <w:r>
        <w:t xml:space="preserve">The findings based on the interview data will be structured according to the timing of the (anticipated) work-retirement transition. As such, teachers had the "choice" to retire prior to, </w:t>
      </w:r>
      <w:r>
        <w:lastRenderedPageBreak/>
        <w:t xml:space="preserve">at or after the respective national pension age. The following sections will discuss how teachers made this decision; whether they perceived to have an active choice over their individual transition timing; and how factors on the institutional, organizational and individual level were thought to influence the timing as well as the perception of active choice vis-à-vis external pressure to act. </w:t>
      </w:r>
    </w:p>
    <w:p w:rsidR="009824DF" w:rsidRPr="00774A17" w:rsidRDefault="009824DF" w:rsidP="006343BD"/>
    <w:p w:rsidR="009824DF" w:rsidRPr="00166BA7" w:rsidRDefault="009824DF" w:rsidP="006343BD">
      <w:pPr>
        <w:pStyle w:val="berschrift3"/>
        <w:rPr>
          <w:rFonts w:cs="Times New Roman"/>
        </w:rPr>
      </w:pPr>
      <w:r w:rsidRPr="00166BA7">
        <w:rPr>
          <w:rFonts w:cs="Times New Roman"/>
        </w:rPr>
        <w:t>Leaving employment prior to state pension age</w:t>
      </w:r>
      <w:bookmarkEnd w:id="5"/>
      <w:bookmarkEnd w:id="6"/>
      <w:bookmarkEnd w:id="7"/>
      <w:bookmarkEnd w:id="8"/>
      <w:bookmarkEnd w:id="9"/>
    </w:p>
    <w:p w:rsidR="009824DF" w:rsidRPr="00166BA7" w:rsidRDefault="009824DF" w:rsidP="006343BD">
      <w:r w:rsidRPr="00166BA7">
        <w:t xml:space="preserve">There are various options that German and British teachers can pursue in order to retire prior to </w:t>
      </w:r>
      <w:r>
        <w:t xml:space="preserve">the </w:t>
      </w:r>
      <w:r w:rsidRPr="00166BA7">
        <w:t xml:space="preserve">state pension age of 65 and 60, respectively. This includes ill-health early retirement, if applicable, </w:t>
      </w:r>
      <w:r>
        <w:t xml:space="preserve">state-supported as well as </w:t>
      </w:r>
      <w:r w:rsidRPr="00166BA7">
        <w:t xml:space="preserve">self-financed early retirement options. While some of the German teachers had not yet thought of their individual exit strategy, others had already devised plans on how they wanted to accomplish and finance their early exit. </w:t>
      </w:r>
      <w:r>
        <w:t>Two German teachers</w:t>
      </w:r>
      <w:r w:rsidRPr="00166BA7">
        <w:t xml:space="preserve"> had a clear strategy, because they were among the last cohort of teachers who could apply for </w:t>
      </w:r>
      <w:r>
        <w:t>a German</w:t>
      </w:r>
      <w:r w:rsidRPr="00166BA7">
        <w:t xml:space="preserve"> </w:t>
      </w:r>
      <w:r>
        <w:t xml:space="preserve">school district-specific </w:t>
      </w:r>
      <w:r w:rsidRPr="00166BA7">
        <w:t xml:space="preserve">old-age part-time scheme that </w:t>
      </w:r>
      <w:r>
        <w:t xml:space="preserve">was partly state-financed and that </w:t>
      </w:r>
      <w:r w:rsidRPr="00166BA7">
        <w:t>allowed them to retire at age 63</w:t>
      </w:r>
      <w:r>
        <w:t xml:space="preserve"> as opposed to age 65</w:t>
      </w:r>
      <w:r w:rsidRPr="00166BA7">
        <w:t xml:space="preserve">. </w:t>
      </w:r>
      <w:r>
        <w:t xml:space="preserve">The motivation to apply for this old-age part-time scheme was, however, not solely based on the fact that the scheme was state-supported. Instead, eligible teachers used this scheme to mitigate the effects of changes to the institutional environment that guided teacher employment, as explained in the following quote. </w:t>
      </w:r>
    </w:p>
    <w:p w:rsidR="009824DF" w:rsidRPr="00166BA7" w:rsidRDefault="009824DF" w:rsidP="006343BD">
      <w:pPr>
        <w:pStyle w:val="Citationlong"/>
        <w:rPr>
          <w:rFonts w:cs="Times New Roman"/>
        </w:rPr>
      </w:pPr>
      <w:r w:rsidRPr="00166BA7">
        <w:rPr>
          <w:rFonts w:cs="Times New Roman"/>
        </w:rPr>
        <w:t xml:space="preserve">Well, I was in the last cohort that could take advantage of the scheme and I thought "That is great, this is exactly what I need". This is because the working time was becoming more and more complicated with the new working time regulation. (...) it was still always a lot of work, </w:t>
      </w:r>
      <w:r>
        <w:rPr>
          <w:rFonts w:cs="Times New Roman"/>
        </w:rPr>
        <w:t>(...)</w:t>
      </w:r>
      <w:r w:rsidRPr="00166BA7">
        <w:rPr>
          <w:rFonts w:cs="Times New Roman"/>
        </w:rPr>
        <w:t xml:space="preserve">. </w:t>
      </w:r>
      <w:r>
        <w:rPr>
          <w:rFonts w:cs="Times New Roman"/>
        </w:rPr>
        <w:t>I</w:t>
      </w:r>
      <w:r w:rsidRPr="00166BA7">
        <w:rPr>
          <w:rFonts w:cs="Times New Roman"/>
        </w:rPr>
        <w:t xml:space="preserve">t was good that the </w:t>
      </w:r>
      <w:r>
        <w:rPr>
          <w:rFonts w:cs="Times New Roman"/>
        </w:rPr>
        <w:t xml:space="preserve">[old-age part-time] </w:t>
      </w:r>
      <w:r w:rsidRPr="00166BA7">
        <w:rPr>
          <w:rFonts w:cs="Times New Roman"/>
        </w:rPr>
        <w:t>scheme allowed me to have some extra time to prepare these lessons. I still need extra time to develop the content of these lessons. (</w:t>
      </w:r>
      <w:r>
        <w:rPr>
          <w:rFonts w:cs="Times New Roman"/>
        </w:rPr>
        <w:t>German female teacher, age 62</w:t>
      </w:r>
      <w:r w:rsidRPr="00166BA7">
        <w:rPr>
          <w:rFonts w:cs="Times New Roman"/>
        </w:rPr>
        <w:t xml:space="preserve">) </w:t>
      </w:r>
    </w:p>
    <w:p w:rsidR="009824DF" w:rsidRPr="00775BFC" w:rsidRDefault="009824DF" w:rsidP="006343BD">
      <w:r w:rsidRPr="00775BFC">
        <w:lastRenderedPageBreak/>
        <w:t xml:space="preserve">Furthermore, another German teacher elaborated more intensively on the influence </w:t>
      </w:r>
      <w:r>
        <w:t xml:space="preserve">that </w:t>
      </w:r>
      <w:r w:rsidRPr="00775BFC">
        <w:t xml:space="preserve">changes to the German school district´s education system and HRM policies </w:t>
      </w:r>
      <w:r>
        <w:t xml:space="preserve">had </w:t>
      </w:r>
      <w:r w:rsidRPr="00775BFC">
        <w:t xml:space="preserve">upon early retirement decisions. </w:t>
      </w:r>
      <w:r>
        <w:t>This change specifically refers to a change in the teacher working time arrangement, which foresees a working time increase.</w:t>
      </w:r>
    </w:p>
    <w:p w:rsidR="009824DF" w:rsidRDefault="009824DF" w:rsidP="006343BD">
      <w:pPr>
        <w:pStyle w:val="Citationlong"/>
        <w:rPr>
          <w:highlight w:val="yellow"/>
        </w:rPr>
      </w:pPr>
      <w:r>
        <w:rPr>
          <w:rFonts w:cs="Times New Roman"/>
        </w:rPr>
        <w:t xml:space="preserve">[At the time of the decision] </w:t>
      </w:r>
      <w:r w:rsidRPr="00166BA7">
        <w:t>I did not know anything of the working time regulations for example, and of the working conditions that would make our life more difficult. (...) This was horrible - I had not known how horrible it would be, but I was glad as can be that I had already decided to leave early. (</w:t>
      </w:r>
      <w:r>
        <w:t>German female teacher, age 63</w:t>
      </w:r>
      <w:r w:rsidRPr="00166BA7">
        <w:t>)</w:t>
      </w:r>
    </w:p>
    <w:p w:rsidR="009824DF" w:rsidRDefault="009824DF" w:rsidP="006343BD"/>
    <w:p w:rsidR="009824DF" w:rsidRPr="00166BA7" w:rsidRDefault="009824DF" w:rsidP="006343BD">
      <w:pPr>
        <w:tabs>
          <w:tab w:val="left" w:pos="7655"/>
        </w:tabs>
      </w:pPr>
      <w:r>
        <w:t xml:space="preserve">Also, perceived changes to the quality and behavior of students played a role in teachers´ retirement timing choice. One female teacher especially felt that she was no longer up to the job, as students´ skill sets and attitudes had, in her opinion, changed to the negative over time. The teacher felt that younger teachers might be better suited and have better strength to deal with this change in student performance and behavior. </w:t>
      </w:r>
      <w:r w:rsidRPr="00166BA7">
        <w:t xml:space="preserve">This perspective was partly shared by other </w:t>
      </w:r>
      <w:r>
        <w:t>German</w:t>
      </w:r>
      <w:r w:rsidRPr="00166BA7">
        <w:t xml:space="preserve"> </w:t>
      </w:r>
      <w:r>
        <w:t>school district and school-level</w:t>
      </w:r>
      <w:r w:rsidRPr="00166BA7">
        <w:t xml:space="preserve"> interview partners. While the HR manager of the </w:t>
      </w:r>
      <w:r>
        <w:t>German school district</w:t>
      </w:r>
      <w:r w:rsidRPr="00166BA7">
        <w:t xml:space="preserve"> did not think that there is a "right" age in teaching, some school </w:t>
      </w:r>
      <w:r>
        <w:t>principals</w:t>
      </w:r>
      <w:r w:rsidRPr="00166BA7">
        <w:t xml:space="preserve"> found that younger teachers might have a better connection with </w:t>
      </w:r>
      <w:r>
        <w:t>students</w:t>
      </w:r>
      <w:r w:rsidRPr="00166BA7">
        <w:t xml:space="preserve"> than do older teachers. </w:t>
      </w:r>
      <w:r>
        <w:t>Therefore, some school principals suggested</w:t>
      </w:r>
      <w:r w:rsidRPr="00166BA7">
        <w:t xml:space="preserve"> that teachers beyond a certain age might not be fit enough anymore for the teaching profession. </w:t>
      </w:r>
    </w:p>
    <w:p w:rsidR="009824DF" w:rsidRPr="00166BA7" w:rsidRDefault="009824DF" w:rsidP="006343BD">
      <w:pPr>
        <w:pStyle w:val="Citationlong"/>
        <w:rPr>
          <w:rFonts w:cs="Times New Roman"/>
        </w:rPr>
      </w:pPr>
      <w:r w:rsidRPr="00166BA7">
        <w:rPr>
          <w:rFonts w:cs="Times New Roman"/>
        </w:rPr>
        <w:t>I think it is nonsense that teachers are forced to work beyond age 55, because I think that there is a large gap between my own perspective and the perspective of the customers that are sitting in front of me. (</w:t>
      </w:r>
      <w:r>
        <w:rPr>
          <w:rFonts w:cs="Times New Roman"/>
        </w:rPr>
        <w:t>German School 1, Line Manager</w:t>
      </w:r>
      <w:r w:rsidRPr="00166BA7">
        <w:rPr>
          <w:rFonts w:cs="Times New Roman"/>
        </w:rPr>
        <w:t xml:space="preserve">) </w:t>
      </w:r>
    </w:p>
    <w:p w:rsidR="009824DF" w:rsidRDefault="009824DF" w:rsidP="006343BD"/>
    <w:p w:rsidR="009824DF" w:rsidRDefault="009824DF" w:rsidP="006343BD">
      <w:r>
        <w:t xml:space="preserve">While the availability of state-supported early retirement schemes, negatively-perceived changes to the teacher employment as well as ageism provided push factors out of </w:t>
      </w:r>
      <w:r>
        <w:lastRenderedPageBreak/>
        <w:t xml:space="preserve">employment into early retirement, some teachers also elaborated on pull factors that influenced their work-retirement transition decision. One such pull factor was the retirement timing of a spouse of family member, as explained below. </w:t>
      </w:r>
    </w:p>
    <w:p w:rsidR="009824DF" w:rsidRPr="00166BA7" w:rsidRDefault="009824DF" w:rsidP="006343BD">
      <w:pPr>
        <w:pStyle w:val="Citationlong"/>
        <w:rPr>
          <w:rFonts w:cs="Times New Roman"/>
        </w:rPr>
      </w:pPr>
      <w:r w:rsidRPr="00166BA7">
        <w:rPr>
          <w:rFonts w:cs="Times New Roman"/>
        </w:rPr>
        <w:t xml:space="preserve">My husband will retire at the same time and we want to go travelling. (...) Yes, my husband will retire at age 65 - he will retire at his regular retirement age. I will be 63 then and I will leave a bit early, and I will have to accept the </w:t>
      </w:r>
      <w:r>
        <w:rPr>
          <w:rFonts w:cs="Times New Roman"/>
        </w:rPr>
        <w:t xml:space="preserve">[pension-related] </w:t>
      </w:r>
      <w:r w:rsidRPr="00166BA7">
        <w:rPr>
          <w:rFonts w:cs="Times New Roman"/>
        </w:rPr>
        <w:t>deductions. (...) retiring at the same time is quite important for us. (</w:t>
      </w:r>
      <w:r>
        <w:rPr>
          <w:rFonts w:cs="Times New Roman"/>
        </w:rPr>
        <w:t>German female teacher, age 58</w:t>
      </w:r>
      <w:r w:rsidRPr="00166BA7">
        <w:rPr>
          <w:rFonts w:cs="Times New Roman"/>
        </w:rPr>
        <w:t>)</w:t>
      </w:r>
    </w:p>
    <w:p w:rsidR="009824DF" w:rsidRDefault="009824DF" w:rsidP="006343BD"/>
    <w:p w:rsidR="009824DF" w:rsidRPr="00166BA7" w:rsidRDefault="009824DF" w:rsidP="006343BD">
      <w:r w:rsidRPr="00775BFC">
        <w:t xml:space="preserve">The </w:t>
      </w:r>
      <w:r>
        <w:t xml:space="preserve">institutional </w:t>
      </w:r>
      <w:r w:rsidRPr="00775BFC">
        <w:t xml:space="preserve">old-age part-time scheme therefore allowed eligible German teachers to scale down and to reduce their working time - therefore providing them with additional time resources for other </w:t>
      </w:r>
      <w:r>
        <w:t>(</w:t>
      </w:r>
      <w:r w:rsidRPr="00775BFC">
        <w:t>occupational</w:t>
      </w:r>
      <w:r>
        <w:t>)</w:t>
      </w:r>
      <w:r w:rsidRPr="00775BFC">
        <w:t xml:space="preserve"> tasks - without having to finance this working time reduction entirely by themselves. </w:t>
      </w:r>
      <w:r>
        <w:t>In addition,</w:t>
      </w:r>
      <w:r w:rsidRPr="00775BFC">
        <w:t xml:space="preserve"> an important factor in this decision-making process, or at least a</w:t>
      </w:r>
      <w:r>
        <w:t xml:space="preserve"> factor confirming this step, was a change the policies that guide German teachers´ employment situation. Nevertheless, teachers confirmed that this or other early retirement </w:t>
      </w:r>
      <w:r w:rsidRPr="00166BA7">
        <w:t>scheme</w:t>
      </w:r>
      <w:r>
        <w:t>s</w:t>
      </w:r>
      <w:r w:rsidRPr="00166BA7">
        <w:t xml:space="preserve"> </w:t>
      </w:r>
      <w:r>
        <w:t>were</w:t>
      </w:r>
      <w:r w:rsidRPr="00166BA7">
        <w:t xml:space="preserve"> difficult to implement unless a teacher had a secure financial background</w:t>
      </w:r>
      <w:r>
        <w:t xml:space="preserve">. </w:t>
      </w:r>
      <w:r w:rsidRPr="00166BA7">
        <w:t xml:space="preserve">An individual´s financial situation might therefore determine whether a teacher is able to retire early using a self-financed scheme. </w:t>
      </w:r>
      <w:r>
        <w:t xml:space="preserve">While some teachers did not financially depend on their income due to sufficient funds provided by their partners and families, and therefore had a financial safety net to fall back on, other teachers decided to retire early, because working longer did not financially pay off. One German female teacher recounted </w:t>
      </w:r>
      <w:r w:rsidRPr="00166BA7">
        <w:t xml:space="preserve">that after the death of her husband, she received a widow pension that interfered with her </w:t>
      </w:r>
      <w:r>
        <w:t xml:space="preserve">teacher civil </w:t>
      </w:r>
      <w:r w:rsidRPr="00166BA7">
        <w:t xml:space="preserve">service salary. This is because salary-related earnings above a certain monthly amount lead to a reduction of the widow pension. As a consequence, she had already reduced her working time to 50 per cent. The passing away of her husband therefore provided a factor </w:t>
      </w:r>
      <w:r w:rsidRPr="00166BA7">
        <w:lastRenderedPageBreak/>
        <w:t xml:space="preserve">in </w:t>
      </w:r>
      <w:r>
        <w:t>this teacher</w:t>
      </w:r>
      <w:r w:rsidRPr="00166BA7">
        <w:t>´s private environment that, in itself, did not motivate her to plan an early retirement. Instead, her husband´s death in combination with institutional factors such as the interference between her salary and her widow´s pension led to</w:t>
      </w:r>
      <w:r>
        <w:t xml:space="preserve"> her decision to retire early. A different case was provided by a British female teacher who</w:t>
      </w:r>
      <w:r w:rsidRPr="00166BA7">
        <w:t xml:space="preserve"> was planning to retire early</w:t>
      </w:r>
      <w:r>
        <w:t xml:space="preserve"> at age 58</w:t>
      </w:r>
      <w:r w:rsidRPr="00166BA7">
        <w:t xml:space="preserve"> because, based on the British occupational pension scheme, she could retire with a higher pension entitlement than she could if she worked until age 60. This is because she had her highest salary between 2002 and 2004, which would only be used as the basis to calculate her occupational pension entitlement if she retired within ten years after s</w:t>
      </w:r>
      <w:r>
        <w:t xml:space="preserve">tarting this high earning job. </w:t>
      </w:r>
      <w:r w:rsidRPr="00166BA7">
        <w:t xml:space="preserve">A different case was provided by </w:t>
      </w:r>
      <w:r>
        <w:t>a German female teacher</w:t>
      </w:r>
      <w:r w:rsidRPr="00166BA7">
        <w:t xml:space="preserve">. Even though she stated that she would </w:t>
      </w:r>
      <w:r>
        <w:t>prefer</w:t>
      </w:r>
      <w:r w:rsidRPr="00166BA7">
        <w:t xml:space="preserve"> to retire early at age 63, she was not certain whether she would be able to do so. This is because she is a single mother with an underage child. </w:t>
      </w:r>
    </w:p>
    <w:p w:rsidR="009824DF" w:rsidRPr="00166BA7" w:rsidRDefault="009824DF" w:rsidP="006343BD">
      <w:pPr>
        <w:pStyle w:val="Citationlong"/>
        <w:rPr>
          <w:rFonts w:cs="Times New Roman"/>
        </w:rPr>
      </w:pPr>
      <w:r w:rsidRPr="00166BA7">
        <w:rPr>
          <w:rFonts w:cs="Times New Roman"/>
        </w:rPr>
        <w:t xml:space="preserve">Well, it is my idea to retire at age 63, that is my plan, but the question is whether I will be able to do so. (...) I will have to check this with the teacher pension office. </w:t>
      </w:r>
      <w:r>
        <w:rPr>
          <w:rFonts w:cs="Times New Roman"/>
        </w:rPr>
        <w:t xml:space="preserve">(...) </w:t>
      </w:r>
      <w:r w:rsidRPr="00166BA7">
        <w:rPr>
          <w:rFonts w:cs="Times New Roman"/>
        </w:rPr>
        <w:t>This is because *** [name of son] will still be in school at this point. Well, I will decide then whether I can afford to leave early. (</w:t>
      </w:r>
      <w:r>
        <w:rPr>
          <w:rFonts w:cs="Times New Roman"/>
        </w:rPr>
        <w:t>German female teacher, age 59</w:t>
      </w:r>
      <w:r w:rsidRPr="00166BA7">
        <w:rPr>
          <w:rFonts w:cs="Times New Roman"/>
        </w:rPr>
        <w:t xml:space="preserve">) </w:t>
      </w:r>
    </w:p>
    <w:p w:rsidR="009824DF" w:rsidRDefault="009824DF" w:rsidP="006343BD"/>
    <w:p w:rsidR="009824DF" w:rsidRDefault="009824DF" w:rsidP="006343BD">
      <w:r w:rsidRPr="00166BA7">
        <w:t xml:space="preserve">While the examples discussed above included teachers who had themselves made the decision to retire early because of various reasons, </w:t>
      </w:r>
      <w:r>
        <w:t>one British male teacher</w:t>
      </w:r>
      <w:r w:rsidRPr="00166BA7">
        <w:t xml:space="preserve"> had taken early retirement because it had been offered to him by the board of governors of this former school. Even though </w:t>
      </w:r>
      <w:r>
        <w:t>he</w:t>
      </w:r>
      <w:r w:rsidRPr="00166BA7">
        <w:t xml:space="preserve"> mentioned that he had been experiencing similar stress factors as reported by German participants, he had not originally planned to retire early. </w:t>
      </w:r>
      <w:r>
        <w:t>However, h</w:t>
      </w:r>
      <w:r w:rsidRPr="00166BA7">
        <w:t>aving</w:t>
      </w:r>
      <w:r>
        <w:t xml:space="preserve"> been offered</w:t>
      </w:r>
      <w:r w:rsidRPr="00166BA7">
        <w:t xml:space="preserve"> the opportunity at age 55, he decided that it would be the right choice. </w:t>
      </w:r>
      <w:r>
        <w:t>I</w:t>
      </w:r>
      <w:r w:rsidRPr="00166BA7">
        <w:t xml:space="preserve">nstitutional-level stress factors acted as a facilitator </w:t>
      </w:r>
      <w:r>
        <w:t>in this decision-making process as</w:t>
      </w:r>
      <w:r w:rsidRPr="00166BA7">
        <w:t xml:space="preserve"> </w:t>
      </w:r>
      <w:r>
        <w:t>the teacher</w:t>
      </w:r>
      <w:r w:rsidRPr="00166BA7">
        <w:t xml:space="preserve"> specified that he was discontent with his workload. This was because the government would recurrently introduce new policies or suggest new approaches that required school-level input. </w:t>
      </w:r>
      <w:r w:rsidRPr="00166BA7">
        <w:lastRenderedPageBreak/>
        <w:t xml:space="preserve">Recurring policy changes therefore led to obsolete work. </w:t>
      </w:r>
      <w:r>
        <w:t>He</w:t>
      </w:r>
      <w:r w:rsidRPr="00166BA7">
        <w:t xml:space="preserve"> found that this unproductive work wa</w:t>
      </w:r>
      <w:r>
        <w:t xml:space="preserve">s adding to his stress levels. </w:t>
      </w:r>
      <w:r w:rsidRPr="00166BA7">
        <w:t>This is similar to t</w:t>
      </w:r>
      <w:r>
        <w:t>he accounts of German teachers</w:t>
      </w:r>
      <w:r w:rsidRPr="00166BA7">
        <w:t xml:space="preserve"> who mentioned that they developed concepts based on state education policy changes, which were made obsolete before being implemented. The early retirement offer therefore allowed him to escape from those parts of the job that he found stressful. Nevertheless, it was decisive in his d</w:t>
      </w:r>
      <w:r>
        <w:t xml:space="preserve">ecision-making process that his British school district </w:t>
      </w:r>
      <w:r w:rsidRPr="00166BA7">
        <w:t xml:space="preserve">offered him to remain in his trade union function on a part-time basis also after early retirement - a job that he had already had a couple of years prior to taking early retirement. </w:t>
      </w:r>
    </w:p>
    <w:p w:rsidR="009824DF" w:rsidRPr="00166BA7" w:rsidRDefault="009824DF" w:rsidP="006343BD"/>
    <w:p w:rsidR="009824DF" w:rsidRPr="00166BA7" w:rsidRDefault="009824DF" w:rsidP="006343BD">
      <w:r w:rsidRPr="00166BA7">
        <w:t>Based on the discussion above, there were two main decisive factors that influenced whether teachers opted for early retirement. These are work-related stress and the</w:t>
      </w:r>
      <w:r>
        <w:t xml:space="preserve"> existence of a </w:t>
      </w:r>
      <w:r w:rsidRPr="00166BA7">
        <w:t xml:space="preserve">financial safety net, that allows teachers to retire early. For all but one teacher, early retirement was a means to unburden themselves as they were experiencing </w:t>
      </w:r>
      <w:r>
        <w:t>organization</w:t>
      </w:r>
      <w:r w:rsidRPr="00166BA7">
        <w:t xml:space="preserve">ally- and institutionally-induced stress. Stress factors were </w:t>
      </w:r>
      <w:r>
        <w:t>student</w:t>
      </w:r>
      <w:r w:rsidRPr="00166BA7">
        <w:t xml:space="preserve"> </w:t>
      </w:r>
      <w:r>
        <w:t>behavior</w:t>
      </w:r>
      <w:r w:rsidRPr="00166BA7">
        <w:t xml:space="preserve">; recurring education policy changes; the introduction of the </w:t>
      </w:r>
      <w:r>
        <w:t xml:space="preserve">German civil service </w:t>
      </w:r>
      <w:r w:rsidRPr="00166BA7">
        <w:t xml:space="preserve">working time regulation, resulting in a higher perceived workload; as well as the introduction of new media. German </w:t>
      </w:r>
      <w:r>
        <w:t>school district</w:t>
      </w:r>
      <w:r w:rsidRPr="00166BA7">
        <w:t xml:space="preserve">- and school-level informants confirmed that there is a connection between work-related stress and </w:t>
      </w:r>
      <w:r>
        <w:t xml:space="preserve">either state-financed, self-financed or ill-health </w:t>
      </w:r>
      <w:r w:rsidRPr="00166BA7">
        <w:t xml:space="preserve">early retirement. </w:t>
      </w:r>
    </w:p>
    <w:p w:rsidR="009824DF" w:rsidRPr="00166BA7" w:rsidRDefault="009824DF" w:rsidP="006343BD">
      <w:pPr>
        <w:pStyle w:val="Citationlong"/>
        <w:rPr>
          <w:rFonts w:cs="Times New Roman"/>
        </w:rPr>
      </w:pPr>
      <w:r w:rsidRPr="00166BA7">
        <w:rPr>
          <w:rFonts w:cs="Times New Roman"/>
        </w:rPr>
        <w:t>They [teachers] know that they do not manage: "I have to do this and I still have to do that as well". And then they panic, and then they get ill, and then some people simply leave, they simply take early retirement because they cannot manage the stress anymore. (</w:t>
      </w:r>
      <w:r>
        <w:rPr>
          <w:rFonts w:cs="Times New Roman"/>
        </w:rPr>
        <w:t>German School 1, Employee Representative</w:t>
      </w:r>
      <w:r w:rsidRPr="00166BA7">
        <w:rPr>
          <w:rFonts w:cs="Times New Roman"/>
        </w:rPr>
        <w:t>)</w:t>
      </w:r>
    </w:p>
    <w:p w:rsidR="009824DF" w:rsidRPr="00166BA7" w:rsidRDefault="009824DF" w:rsidP="006343BD">
      <w:r w:rsidRPr="00166BA7">
        <w:t xml:space="preserve">At the same time, </w:t>
      </w:r>
      <w:r>
        <w:t xml:space="preserve">German </w:t>
      </w:r>
      <w:r w:rsidRPr="00166BA7">
        <w:t xml:space="preserve">employee representatives thought that stress and burnout occurred because especially older teachers do not have any resources at their disposal to counteract </w:t>
      </w:r>
      <w:r w:rsidRPr="00166BA7">
        <w:lastRenderedPageBreak/>
        <w:t>work-related stress. This is partly because formal or institutional stress-relief measures</w:t>
      </w:r>
      <w:r>
        <w:t>,</w:t>
      </w:r>
      <w:r w:rsidRPr="00166BA7">
        <w:t xml:space="preserve"> that were in plac</w:t>
      </w:r>
      <w:r>
        <w:t>e in the past especially targeting older teachers,</w:t>
      </w:r>
      <w:r w:rsidRPr="00166BA7">
        <w:t xml:space="preserve"> ha</w:t>
      </w:r>
      <w:r>
        <w:t>d</w:t>
      </w:r>
      <w:r w:rsidRPr="00166BA7">
        <w:t xml:space="preserve"> been </w:t>
      </w:r>
      <w:r>
        <w:t>phased out</w:t>
      </w:r>
      <w:r w:rsidRPr="00166BA7">
        <w:t>.</w:t>
      </w:r>
    </w:p>
    <w:p w:rsidR="009824DF" w:rsidRDefault="009824DF" w:rsidP="006343BD"/>
    <w:p w:rsidR="009824DF" w:rsidRPr="00166BA7" w:rsidRDefault="009824DF" w:rsidP="006343BD">
      <w:r>
        <w:t>A German</w:t>
      </w:r>
      <w:r w:rsidRPr="00166BA7">
        <w:t xml:space="preserve"> HR manager, however, also pointed out that ill-health early retirement is expensive for the </w:t>
      </w:r>
      <w:r>
        <w:t>school district</w:t>
      </w:r>
      <w:r w:rsidRPr="00166BA7">
        <w:t xml:space="preserve">. Therefore, the </w:t>
      </w:r>
      <w:r>
        <w:t>German school district</w:t>
      </w:r>
      <w:r w:rsidRPr="00166BA7">
        <w:t xml:space="preserve"> was, at the time of the interview, in the process of implementing prevention measures that aimed to counteract health problems. The German HR managers hoped that these measures as well as more frequent appraisals will help reducing disability for service cases. Indeed, one HR manager mentioned that there is a strong interest among teachers, especially for preventive measures such as health seminars. Nevertheless, she conceded that she lacked the funds to offer a sufficient number of seminars to satisfy the demand. Contrary to this account, most German teachers felt that participating in job-related training, including health seminars, was rather an additional stress factor instead of stress relief. One aspect was that teachers did not think that they had time for additional training, even though they were aware of </w:t>
      </w:r>
      <w:r>
        <w:t>a</w:t>
      </w:r>
      <w:r w:rsidRPr="00166BA7">
        <w:t xml:space="preserve"> </w:t>
      </w:r>
      <w:r>
        <w:t>time</w:t>
      </w:r>
      <w:r w:rsidRPr="00166BA7">
        <w:t xml:space="preserve"> allowance</w:t>
      </w:r>
      <w:r>
        <w:t xml:space="preserve"> provided by the </w:t>
      </w:r>
      <w:r w:rsidRPr="00166BA7">
        <w:t xml:space="preserve">German </w:t>
      </w:r>
      <w:r>
        <w:t xml:space="preserve">school district for the participation in such training sessions. </w:t>
      </w:r>
      <w:r w:rsidRPr="00166BA7">
        <w:t xml:space="preserve">A second aspect mentioned was that teachers saw timetabling clashes between their jobs as a teacher and the training courses offered by training providers. In addition to school </w:t>
      </w:r>
      <w:r>
        <w:t>district</w:t>
      </w:r>
      <w:r w:rsidRPr="00166BA7">
        <w:t xml:space="preserve">-initiated measures, there are some options that schools can implement with regard to health promotion and health protection. These options can be divided in formal and informal support as well as in preventive measures and acute measures. Two examples of formal and preventive measures are health seminars and the participation in risk assessment exercises. A second option for school management teams is to offer informal support to teachers on a one-by-one basis, though the incidences reported mostly suggested that this measure is taken only if health problems become acute. Even though some institutional and school-level measures appear to be in place, the trade union representative suggested that this is not sufficient. </w:t>
      </w:r>
    </w:p>
    <w:p w:rsidR="009824DF" w:rsidRPr="00166BA7" w:rsidRDefault="009824DF" w:rsidP="006343BD">
      <w:pPr>
        <w:pStyle w:val="Citationlong"/>
        <w:rPr>
          <w:rFonts w:cs="Times New Roman"/>
        </w:rPr>
      </w:pPr>
      <w:r w:rsidRPr="00166BA7">
        <w:rPr>
          <w:rFonts w:cs="Times New Roman"/>
        </w:rPr>
        <w:lastRenderedPageBreak/>
        <w:t xml:space="preserve">Well, it is our trade union perception that not much is being done for those older teachers who potentially leave the teaching profession early, because health reasons prevent them from working, or because they are, to put it bluntly, just old. This is an area of conflict [between the trade union and the </w:t>
      </w:r>
      <w:r>
        <w:rPr>
          <w:rFonts w:cs="Times New Roman"/>
        </w:rPr>
        <w:t>school district</w:t>
      </w:r>
      <w:r w:rsidRPr="00166BA7">
        <w:rPr>
          <w:rFonts w:cs="Times New Roman"/>
        </w:rPr>
        <w:t>], because it is a problem that the old-age work relief has been abandoned. (</w:t>
      </w:r>
      <w:r>
        <w:rPr>
          <w:rFonts w:cs="Times New Roman"/>
        </w:rPr>
        <w:t>German School District level, Trade Union representative</w:t>
      </w:r>
      <w:r w:rsidRPr="00166BA7">
        <w:rPr>
          <w:rFonts w:cs="Times New Roman"/>
        </w:rPr>
        <w:t>)</w:t>
      </w:r>
    </w:p>
    <w:p w:rsidR="009824DF" w:rsidRDefault="009824DF" w:rsidP="006343BD"/>
    <w:p w:rsidR="009824DF" w:rsidRDefault="009824DF" w:rsidP="006343BD">
      <w:r w:rsidRPr="00166BA7">
        <w:t xml:space="preserve">Overall, even though there are institutional and school-level measures to prevent health problems, teachers cited stress as a main factor in determining their wish to retire early. However, as early retirement meant in most cases a loss of income as well as reduced pension entitlements, only those teachers who had a financial safety net had the opportunity to retire early. </w:t>
      </w:r>
      <w:r>
        <w:t>P</w:t>
      </w:r>
      <w:r w:rsidRPr="00166BA7">
        <w:t xml:space="preserve">rivate financial means </w:t>
      </w:r>
      <w:r>
        <w:t xml:space="preserve">therefore </w:t>
      </w:r>
      <w:r w:rsidRPr="00166BA7">
        <w:t xml:space="preserve">played a mediating role in whether or not teachers could afford to retire early, and hence accept a reduced pension entitlement and loss of income. As will be seen in the subsequent section, some teachers were not able to retire early because of a lack of a financial safety net, even though they experienced similar stress factors and wanted to retire early. Therefore, health and stress-related factors might provide the motivation for early retirement, while the availability of a financial safety net is a significant prerequisite to its implementation. The cases </w:t>
      </w:r>
      <w:r>
        <w:t>of two teachers</w:t>
      </w:r>
      <w:r w:rsidRPr="00166BA7">
        <w:t xml:space="preserve">, however, </w:t>
      </w:r>
      <w:r>
        <w:t xml:space="preserve">also showed </w:t>
      </w:r>
      <w:r w:rsidRPr="00166BA7">
        <w:t xml:space="preserve">that financial reasons could lead to early retirement not as a mediating factor but in their own right. </w:t>
      </w:r>
    </w:p>
    <w:p w:rsidR="009824DF" w:rsidRDefault="009824DF" w:rsidP="006343BD"/>
    <w:p w:rsidR="009824DF" w:rsidRPr="00166BA7" w:rsidRDefault="009824DF" w:rsidP="006343BD">
      <w:pPr>
        <w:pStyle w:val="berschrift2"/>
        <w:rPr>
          <w:rFonts w:cs="Times New Roman"/>
        </w:rPr>
      </w:pPr>
      <w:bookmarkStart w:id="12" w:name="_Toc288663768"/>
      <w:bookmarkStart w:id="13" w:name="_Toc290045827"/>
      <w:bookmarkStart w:id="14" w:name="_Toc294630972"/>
      <w:bookmarkStart w:id="15" w:name="_Toc302063759"/>
      <w:bookmarkStart w:id="16" w:name="_Toc279411382"/>
      <w:r w:rsidRPr="00166BA7">
        <w:rPr>
          <w:rFonts w:cs="Times New Roman"/>
        </w:rPr>
        <w:t>Leaving employment at the British occupational pension age and the German state retirement age</w:t>
      </w:r>
      <w:bookmarkEnd w:id="12"/>
      <w:bookmarkEnd w:id="13"/>
      <w:bookmarkEnd w:id="14"/>
      <w:bookmarkEnd w:id="15"/>
      <w:r w:rsidRPr="00166BA7">
        <w:rPr>
          <w:rFonts w:cs="Times New Roman"/>
        </w:rPr>
        <w:t xml:space="preserve"> </w:t>
      </w:r>
      <w:bookmarkEnd w:id="16"/>
    </w:p>
    <w:p w:rsidR="009824DF" w:rsidRDefault="009824DF" w:rsidP="006343BD">
      <w:r w:rsidRPr="00166BA7">
        <w:t xml:space="preserve">The following section will discuss the experiences of both German and British teachers who were aiming to work until reaching pension age, age 65 and age 60 respectively. This is </w:t>
      </w:r>
      <w:r w:rsidRPr="00166BA7">
        <w:lastRenderedPageBreak/>
        <w:t xml:space="preserve">specifically with regard to British teachers who could, if they wanted to, work past the occupational pension age of 60, while German teachers were forced to retire at age 65, according to the German civil service law. For British teachers it was therefore a choice to stop working at age 60, while German teachers </w:t>
      </w:r>
      <w:r>
        <w:t xml:space="preserve">mostly </w:t>
      </w:r>
      <w:r w:rsidRPr="00166BA7">
        <w:t xml:space="preserve">did not have this choice. </w:t>
      </w:r>
    </w:p>
    <w:p w:rsidR="009824DF" w:rsidRPr="00166BA7" w:rsidRDefault="009824DF" w:rsidP="006343BD"/>
    <w:p w:rsidR="009824DF" w:rsidRPr="00166BA7" w:rsidRDefault="009824DF" w:rsidP="006343BD">
      <w:r w:rsidRPr="00166BA7">
        <w:t xml:space="preserve">Among the German interview partners, only two teachers were planning to work until reaching the German state pension age of 65. Both did not provide a specific motivation why they were planning on doing so. However, </w:t>
      </w:r>
      <w:r>
        <w:t>one female teacher</w:t>
      </w:r>
      <w:r w:rsidRPr="00166BA7">
        <w:t xml:space="preserve"> had just started a new job. It can be assumed that this new and challenging task provided her with the motivation to carry on working. Also, </w:t>
      </w:r>
      <w:r>
        <w:t>a male teacher</w:t>
      </w:r>
      <w:r w:rsidRPr="00166BA7">
        <w:t xml:space="preserve"> was planning on continuing to work in the t</w:t>
      </w:r>
      <w:r>
        <w:t>eaching profession until age 65 as</w:t>
      </w:r>
      <w:r w:rsidRPr="00166BA7">
        <w:t xml:space="preserve"> he felt at ease with his job and did not report on major work-related stress. This is even though he did complain about recurring institutional change, which left teachers with work that turned out to be redundant. Nevertheless, contrary to other German teachers, </w:t>
      </w:r>
      <w:r>
        <w:t>he</w:t>
      </w:r>
      <w:r w:rsidRPr="00166BA7">
        <w:t xml:space="preserve"> did not consider retiring early because of this work-related stress. </w:t>
      </w:r>
    </w:p>
    <w:p w:rsidR="009824DF" w:rsidRDefault="009824DF" w:rsidP="006343BD"/>
    <w:p w:rsidR="009824DF" w:rsidRPr="00166BA7" w:rsidRDefault="009824DF" w:rsidP="006343BD">
      <w:r w:rsidRPr="00166BA7">
        <w:t>British teachers mentioned a variety of reasons why they had chosen to retire at the British occupational pension age. One reason was that they fe</w:t>
      </w:r>
      <w:r>
        <w:t>lt that they were stressed out as mentioned in the quotes below.</w:t>
      </w:r>
    </w:p>
    <w:p w:rsidR="009824DF" w:rsidRPr="00166BA7" w:rsidRDefault="009824DF" w:rsidP="006343BD">
      <w:pPr>
        <w:pStyle w:val="Citationlong"/>
        <w:rPr>
          <w:rFonts w:cs="Times New Roman"/>
        </w:rPr>
      </w:pPr>
      <w:r w:rsidRPr="00166BA7">
        <w:rPr>
          <w:rFonts w:cs="Times New Roman"/>
        </w:rPr>
        <w:t>I find I am physically tired. I get physically very tired at the end of the day. (...) I am gonna retire this year anyway. I think I am too tired to carry on climbing. (</w:t>
      </w:r>
      <w:r>
        <w:rPr>
          <w:rFonts w:cs="Times New Roman"/>
        </w:rPr>
        <w:t>British male teacher, age 59</w:t>
      </w:r>
      <w:r w:rsidRPr="00166BA7">
        <w:rPr>
          <w:rFonts w:cs="Times New Roman"/>
        </w:rPr>
        <w:t>)</w:t>
      </w:r>
    </w:p>
    <w:p w:rsidR="009824DF" w:rsidRPr="00166BA7" w:rsidRDefault="009824DF" w:rsidP="006343BD">
      <w:pPr>
        <w:pStyle w:val="Citationlong"/>
        <w:rPr>
          <w:rFonts w:cs="Times New Roman"/>
        </w:rPr>
      </w:pPr>
      <w:r w:rsidRPr="00166BA7">
        <w:rPr>
          <w:rFonts w:cs="Times New Roman"/>
        </w:rPr>
        <w:t>I mean I will actually work until I am 60 but I will retire then. (...) I don't want to carry on doing this for any longer. I think it is enough. My husband said to me the other day "Well, you have given enough"</w:t>
      </w:r>
      <w:r>
        <w:rPr>
          <w:rFonts w:cs="Times New Roman"/>
        </w:rPr>
        <w:t>.</w:t>
      </w:r>
      <w:r w:rsidRPr="00166BA7">
        <w:rPr>
          <w:rFonts w:cs="Times New Roman"/>
        </w:rPr>
        <w:t xml:space="preserve"> (</w:t>
      </w:r>
      <w:r>
        <w:rPr>
          <w:rFonts w:cs="Times New Roman"/>
        </w:rPr>
        <w:t>British female teacher, age 59</w:t>
      </w:r>
      <w:r w:rsidRPr="00166BA7">
        <w:rPr>
          <w:rFonts w:cs="Times New Roman"/>
        </w:rPr>
        <w:t>)</w:t>
      </w:r>
    </w:p>
    <w:p w:rsidR="009824DF" w:rsidRPr="00166BA7" w:rsidRDefault="009824DF" w:rsidP="006343BD">
      <w:r w:rsidRPr="00166BA7">
        <w:lastRenderedPageBreak/>
        <w:t xml:space="preserve">Similarly, </w:t>
      </w:r>
      <w:r>
        <w:t>another female British teacher</w:t>
      </w:r>
      <w:r w:rsidRPr="00166BA7">
        <w:t xml:space="preserve">´s decision to retire at age 60 was partly based on physical exhaustion. In addition to stress, she also mentioned that her family and friends had an influence on her decision to retire. </w:t>
      </w:r>
      <w:r>
        <w:t>She</w:t>
      </w:r>
      <w:r w:rsidRPr="00166BA7">
        <w:t xml:space="preserve"> therefore wanted to change the priorities in her life. </w:t>
      </w:r>
    </w:p>
    <w:p w:rsidR="009824DF" w:rsidRPr="00166BA7" w:rsidRDefault="009824DF" w:rsidP="006343BD">
      <w:pPr>
        <w:pStyle w:val="Citationlong"/>
        <w:rPr>
          <w:rFonts w:cs="Times New Roman"/>
        </w:rPr>
      </w:pPr>
      <w:r w:rsidRPr="00166BA7">
        <w:rPr>
          <w:rFonts w:cs="Times New Roman"/>
        </w:rPr>
        <w:t>Well I would like to retire at 60. (...) It is partly, to be honest, I am physically exhausted and I do think it has affected the way that I’ve lived my life. There are lots of things that I’ve enjoyed but I do think I owe me some time and friends and family. (</w:t>
      </w:r>
      <w:r>
        <w:rPr>
          <w:rFonts w:cs="Times New Roman"/>
        </w:rPr>
        <w:t>British female teacher, age 58</w:t>
      </w:r>
      <w:r w:rsidRPr="00166BA7">
        <w:rPr>
          <w:rFonts w:cs="Times New Roman"/>
        </w:rPr>
        <w:t>)</w:t>
      </w:r>
    </w:p>
    <w:p w:rsidR="009824DF" w:rsidRPr="00166BA7" w:rsidRDefault="009824DF" w:rsidP="006343BD">
      <w:r w:rsidRPr="00166BA7">
        <w:t xml:space="preserve">Indeed, even though British teachers had varying reasons for choosing to retire at age 60, most of them mentioned that stress was an important factor in this decision-making process. The British HR manager confirmed this view. </w:t>
      </w:r>
    </w:p>
    <w:p w:rsidR="009824DF" w:rsidRPr="00166BA7" w:rsidRDefault="009824DF" w:rsidP="006343BD">
      <w:pPr>
        <w:pStyle w:val="Citationlong"/>
        <w:rPr>
          <w:rFonts w:cs="Times New Roman"/>
        </w:rPr>
      </w:pPr>
      <w:r w:rsidRPr="00166BA7">
        <w:rPr>
          <w:rFonts w:cs="Times New Roman"/>
        </w:rPr>
        <w:t>You can access your full pension, in terms of your contributions, at 60. In terms of quality of life why don’t you do that? Why do you drag yourself and do those extra years? (</w:t>
      </w:r>
      <w:r>
        <w:rPr>
          <w:rFonts w:cs="Times New Roman"/>
        </w:rPr>
        <w:t>British School District level, HR Manager</w:t>
      </w:r>
      <w:r w:rsidRPr="00166BA7">
        <w:rPr>
          <w:rFonts w:cs="Times New Roman"/>
        </w:rPr>
        <w:t>)</w:t>
      </w:r>
    </w:p>
    <w:p w:rsidR="009824DF" w:rsidRDefault="009824DF" w:rsidP="006343BD"/>
    <w:p w:rsidR="009824DF" w:rsidRPr="00166BA7" w:rsidRDefault="009824DF" w:rsidP="006343BD">
      <w:r w:rsidRPr="00166BA7">
        <w:t xml:space="preserve">While the aforementioned accounts point towards a retirement </w:t>
      </w:r>
      <w:r w:rsidR="0098513B">
        <w:t>conceptualization</w:t>
      </w:r>
      <w:r w:rsidRPr="00166BA7">
        <w:t xml:space="preserve"> that involved the notion of retiring "at the latest" at age 60, the following two accounts regard age 60 as "the earliest" timing for this transition. </w:t>
      </w:r>
      <w:r>
        <w:t>A major factor for this were financial reasons such as having to pay off a mortgage or having to financially support children.</w:t>
      </w:r>
      <w:r w:rsidRPr="00166BA7">
        <w:t xml:space="preserve"> Carrying on working until age 60 therefore provided them with the funds to pay for these expenditures. In addition to financial reasons, </w:t>
      </w:r>
      <w:r>
        <w:t>teachers</w:t>
      </w:r>
      <w:r w:rsidRPr="00166BA7">
        <w:t xml:space="preserve"> mentioned that their relationship with relevant others were inhibiting an earlier retirement. While </w:t>
      </w:r>
      <w:r>
        <w:t>one British male teacher</w:t>
      </w:r>
      <w:r w:rsidRPr="00166BA7">
        <w:t xml:space="preserve"> highlighted his feeling of responsibility for his </w:t>
      </w:r>
      <w:r>
        <w:t>students</w:t>
      </w:r>
      <w:r w:rsidRPr="00166BA7">
        <w:t xml:space="preserve">, </w:t>
      </w:r>
      <w:r>
        <w:t>another male British teacher</w:t>
      </w:r>
      <w:r w:rsidRPr="00166BA7">
        <w:t xml:space="preserve"> </w:t>
      </w:r>
      <w:r>
        <w:t>mentioned family and household responsibilities as a factor that postponed his work-retirement transition</w:t>
      </w:r>
      <w:r w:rsidRPr="00166BA7">
        <w:t xml:space="preserve">. </w:t>
      </w:r>
    </w:p>
    <w:p w:rsidR="009824DF" w:rsidRPr="00166BA7" w:rsidRDefault="009824DF" w:rsidP="006343BD">
      <w:pPr>
        <w:pStyle w:val="Citationlong"/>
        <w:rPr>
          <w:rFonts w:cs="Times New Roman"/>
        </w:rPr>
      </w:pPr>
      <w:r w:rsidRPr="00166BA7">
        <w:rPr>
          <w:rFonts w:cs="Times New Roman"/>
        </w:rPr>
        <w:lastRenderedPageBreak/>
        <w:t>I am also worried, I am not worried, I am also concerned, my wife has got a long list of jobs that she wants me to do when I retire, postpone that a bit longer. (</w:t>
      </w:r>
      <w:r>
        <w:rPr>
          <w:rFonts w:cs="Times New Roman"/>
        </w:rPr>
        <w:t>British male teacher, age 59</w:t>
      </w:r>
      <w:r w:rsidRPr="00166BA7">
        <w:rPr>
          <w:rFonts w:cs="Times New Roman"/>
        </w:rPr>
        <w:t>)</w:t>
      </w:r>
    </w:p>
    <w:p w:rsidR="009824DF" w:rsidRDefault="009824DF" w:rsidP="006343BD"/>
    <w:p w:rsidR="009824DF" w:rsidRPr="00166BA7" w:rsidRDefault="009824DF" w:rsidP="006343BD">
      <w:pPr>
        <w:rPr>
          <w:color w:val="000000"/>
        </w:rPr>
      </w:pPr>
      <w:r w:rsidRPr="00166BA7">
        <w:t xml:space="preserve">Even though teachers were planning to work up until German national or British occupational pension age, there were factors that might mediate or influence this decision. </w:t>
      </w:r>
      <w:r>
        <w:t>First</w:t>
      </w:r>
      <w:r w:rsidRPr="00166BA7">
        <w:t xml:space="preserve">, teachers could be convinced to bring forward their expected retirement timing. One such factor could be family-related. </w:t>
      </w:r>
    </w:p>
    <w:p w:rsidR="009824DF" w:rsidRPr="00166BA7" w:rsidRDefault="009824DF" w:rsidP="006343BD">
      <w:pPr>
        <w:pStyle w:val="Citationlong"/>
        <w:rPr>
          <w:rFonts w:cs="Times New Roman"/>
        </w:rPr>
      </w:pPr>
      <w:r w:rsidRPr="00166BA7">
        <w:rPr>
          <w:rFonts w:cs="Times New Roman"/>
        </w:rPr>
        <w:t>Well, there is always something that could potentially alter this plan. My wife keeps nagging me that I should retire a bit earlier so that we will have a bit more time together. (</w:t>
      </w:r>
      <w:r>
        <w:rPr>
          <w:rFonts w:cs="Times New Roman"/>
        </w:rPr>
        <w:t>German male teacher, age 58</w:t>
      </w:r>
      <w:r w:rsidRPr="00166BA7">
        <w:rPr>
          <w:rFonts w:cs="Times New Roman"/>
        </w:rPr>
        <w:t>)</w:t>
      </w:r>
    </w:p>
    <w:p w:rsidR="009824DF" w:rsidRPr="00166BA7" w:rsidRDefault="009824DF" w:rsidP="006343BD">
      <w:r w:rsidRPr="00166BA7">
        <w:t xml:space="preserve">A second reason might be associated with changes in the political landscape, and corresponding institutional reforms that might affect the pension system. This was specifically with regard to the, at the time of the interview, upcoming national elections in Britain. </w:t>
      </w:r>
      <w:r>
        <w:t>Some British teachers</w:t>
      </w:r>
      <w:r w:rsidRPr="00166BA7">
        <w:t xml:space="preserve"> were concerned that their pension entitlements might be reduced, if the conservative party implemented public spending cuts. </w:t>
      </w:r>
      <w:r>
        <w:t>British teachers</w:t>
      </w:r>
      <w:r w:rsidRPr="00166BA7">
        <w:t xml:space="preserve"> felt that</w:t>
      </w:r>
      <w:r>
        <w:t>,</w:t>
      </w:r>
      <w:r w:rsidRPr="00166BA7">
        <w:t xml:space="preserve"> in light of this uncertainty</w:t>
      </w:r>
      <w:r>
        <w:t>,</w:t>
      </w:r>
      <w:r w:rsidRPr="00166BA7">
        <w:t xml:space="preserve"> it was a gamble to stay</w:t>
      </w:r>
      <w:r>
        <w:t xml:space="preserve"> in work</w:t>
      </w:r>
      <w:r w:rsidRPr="00166BA7">
        <w:t xml:space="preserve"> until age 60. Not knowing the outcome of the elections as well as the policy impl</w:t>
      </w:r>
      <w:r>
        <w:t>emented by the potentially new G</w:t>
      </w:r>
      <w:r w:rsidRPr="00166BA7">
        <w:t xml:space="preserve">overnment left them in an insecure situation, in which they found it difficult to take a decision. </w:t>
      </w:r>
      <w:r>
        <w:t>Second</w:t>
      </w:r>
      <w:r w:rsidRPr="00166BA7">
        <w:t xml:space="preserve">, teachers might have to postpone their retirement transition timing due to financial reasons. </w:t>
      </w:r>
      <w:r>
        <w:t>A British</w:t>
      </w:r>
      <w:r w:rsidRPr="00166BA7">
        <w:t xml:space="preserve"> </w:t>
      </w:r>
      <w:r>
        <w:t>school district</w:t>
      </w:r>
      <w:r w:rsidRPr="00166BA7">
        <w:t xml:space="preserve">-level HR informant confirmed that pension-related reasons might lead to the postponement of the retirement timing, especially for late </w:t>
      </w:r>
      <w:r>
        <w:t>teaching force entrants</w:t>
      </w:r>
      <w:r w:rsidRPr="00166BA7">
        <w:t xml:space="preserve"> and those who had </w:t>
      </w:r>
      <w:r>
        <w:t xml:space="preserve">taken </w:t>
      </w:r>
      <w:r w:rsidRPr="00166BA7">
        <w:t xml:space="preserve">career breaks. </w:t>
      </w:r>
    </w:p>
    <w:p w:rsidR="009824DF" w:rsidRDefault="009824DF" w:rsidP="006343BD">
      <w:pPr>
        <w:pStyle w:val="Citationlong"/>
        <w:rPr>
          <w:rFonts w:cs="Times New Roman"/>
        </w:rPr>
      </w:pPr>
      <w:r w:rsidRPr="00166BA7">
        <w:rPr>
          <w:rFonts w:cs="Times New Roman"/>
        </w:rPr>
        <w:t xml:space="preserve">It is mature students that have come in to teaching late that often impacts on and they might start in their 30’s teaching and to get their 40 years in they’ve got to go to 68 or </w:t>
      </w:r>
      <w:r w:rsidRPr="00166BA7">
        <w:rPr>
          <w:rFonts w:cs="Times New Roman"/>
        </w:rPr>
        <w:lastRenderedPageBreak/>
        <w:t>something like that in order to make it work. (...) Or if a woman has taken a break during teaching for child care reasons again they might want to work for a couple of extra years to get their full pension. (</w:t>
      </w:r>
      <w:r>
        <w:rPr>
          <w:rFonts w:cs="Times New Roman"/>
        </w:rPr>
        <w:t xml:space="preserve">British School District level, </w:t>
      </w:r>
      <w:r w:rsidRPr="00166BA7">
        <w:rPr>
          <w:rFonts w:cs="Times New Roman"/>
        </w:rPr>
        <w:t>HR</w:t>
      </w:r>
      <w:r>
        <w:rPr>
          <w:rFonts w:cs="Times New Roman"/>
        </w:rPr>
        <w:t xml:space="preserve"> Manager</w:t>
      </w:r>
      <w:r w:rsidRPr="00166BA7">
        <w:rPr>
          <w:rFonts w:cs="Times New Roman"/>
        </w:rPr>
        <w:t>)</w:t>
      </w:r>
    </w:p>
    <w:p w:rsidR="009824DF" w:rsidRPr="00166BA7" w:rsidRDefault="009824DF" w:rsidP="006343BD"/>
    <w:p w:rsidR="009824DF" w:rsidRPr="00166BA7" w:rsidRDefault="009824DF" w:rsidP="006343BD">
      <w:pPr>
        <w:pStyle w:val="berschrift2"/>
        <w:rPr>
          <w:rFonts w:cs="Times New Roman"/>
        </w:rPr>
      </w:pPr>
      <w:bookmarkStart w:id="17" w:name="_Toc279411383"/>
      <w:bookmarkStart w:id="18" w:name="_Toc288663769"/>
      <w:bookmarkStart w:id="19" w:name="_Toc290045828"/>
      <w:bookmarkStart w:id="20" w:name="_Toc294630973"/>
      <w:bookmarkStart w:id="21" w:name="_Toc302063760"/>
      <w:r w:rsidRPr="00166BA7">
        <w:rPr>
          <w:rFonts w:cs="Times New Roman"/>
        </w:rPr>
        <w:t>Working past British occupational pension and German state retirement age</w:t>
      </w:r>
      <w:bookmarkEnd w:id="17"/>
      <w:bookmarkEnd w:id="18"/>
      <w:bookmarkEnd w:id="19"/>
      <w:bookmarkEnd w:id="20"/>
      <w:bookmarkEnd w:id="21"/>
    </w:p>
    <w:p w:rsidR="009824DF" w:rsidRDefault="009824DF" w:rsidP="006343BD">
      <w:r w:rsidRPr="00166BA7">
        <w:t xml:space="preserve">The following section will discuss whether and how teachers decide to work in their profession past the British occupational pension age or the German state retirement age. In addition, </w:t>
      </w:r>
      <w:r>
        <w:t>the section</w:t>
      </w:r>
      <w:r w:rsidRPr="00166BA7">
        <w:t xml:space="preserve"> will elaborate on the British process of working past the school-level retirement age that was in existence at the time of the interviews. At the time of the interviews, British teachers experienced two institutionally- and </w:t>
      </w:r>
      <w:r>
        <w:t>organization</w:t>
      </w:r>
      <w:r w:rsidRPr="00166BA7">
        <w:t>ally-set exit timings: the occupational pension age at age 60, as elaborated on in the previous section, as well as a retirement age</w:t>
      </w:r>
      <w:r>
        <w:t xml:space="preserve"> that was set at the school-level</w:t>
      </w:r>
      <w:r w:rsidRPr="00166BA7">
        <w:t xml:space="preserve">. </w:t>
      </w:r>
    </w:p>
    <w:p w:rsidR="009824DF" w:rsidRPr="00166BA7" w:rsidRDefault="009824DF" w:rsidP="006343BD"/>
    <w:p w:rsidR="009824DF" w:rsidRPr="00166BA7" w:rsidRDefault="009824DF" w:rsidP="006343BD">
      <w:r w:rsidRPr="00166BA7">
        <w:t xml:space="preserve">None of the German teachers was aiming or wanted to work past retirement age. Instead, most teachers were eager to leave as soon as they were able to and could afford to do so. Among the British teachers interviewed, four were aiming to or were already working past the occupational pension age. One reason for this was that teachers still enjoyed their work and did not feel ready to retire. </w:t>
      </w:r>
      <w:r>
        <w:t>One teacher, for example,</w:t>
      </w:r>
      <w:r w:rsidRPr="00166BA7">
        <w:t xml:space="preserve"> kept postponing </w:t>
      </w:r>
      <w:r>
        <w:t xml:space="preserve">the timing of </w:t>
      </w:r>
      <w:r w:rsidRPr="00166BA7">
        <w:t xml:space="preserve">her retirement as there never seemed to be the right time to implement such a step. </w:t>
      </w:r>
    </w:p>
    <w:p w:rsidR="009824DF" w:rsidRPr="00166BA7" w:rsidRDefault="009824DF" w:rsidP="006343BD">
      <w:pPr>
        <w:pStyle w:val="Citationlong"/>
        <w:rPr>
          <w:rFonts w:cs="Times New Roman"/>
        </w:rPr>
      </w:pPr>
      <w:r w:rsidRPr="00166BA7">
        <w:rPr>
          <w:rFonts w:cs="Times New Roman"/>
        </w:rPr>
        <w:t>When I was 21 I said I am not going to get married until I was 25. When I was 25 I said I am not going to get married until I am 30 and I kept putting it off. I feel exactly the same about retirement. I keep thinking "well, I ought to retire" and I think, "No". (</w:t>
      </w:r>
      <w:r>
        <w:rPr>
          <w:rFonts w:cs="Times New Roman"/>
        </w:rPr>
        <w:t>British female teacher, age 61</w:t>
      </w:r>
      <w:r w:rsidRPr="00166BA7">
        <w:rPr>
          <w:rFonts w:cs="Times New Roman"/>
        </w:rPr>
        <w:t>)</w:t>
      </w:r>
    </w:p>
    <w:p w:rsidR="009824DF" w:rsidRPr="00166BA7" w:rsidRDefault="009824DF" w:rsidP="006343BD">
      <w:r>
        <w:t>Her</w:t>
      </w:r>
      <w:r w:rsidRPr="00166BA7">
        <w:t xml:space="preserve"> motivation and her driver to stay in the occupation was that she felt that she was still productive in so far as she still wanted to influence pupils´ lives. Also, she thought that she </w:t>
      </w:r>
      <w:r w:rsidRPr="00166BA7">
        <w:lastRenderedPageBreak/>
        <w:t xml:space="preserve">still had ample energy and enthusiasm for her job. This account differs from the interviews of German and British teachers who were considering taking early retirement or retirement at their respective occupational or state retirement age insofar as </w:t>
      </w:r>
      <w:r>
        <w:t>the teacher quoted above</w:t>
      </w:r>
      <w:r w:rsidRPr="00166BA7">
        <w:t xml:space="preserve"> was the only </w:t>
      </w:r>
      <w:r>
        <w:t>one</w:t>
      </w:r>
      <w:r w:rsidRPr="00166BA7">
        <w:t xml:space="preserve"> who felt that she was still motivated and enthusiastic about her job. Contrary to her, other teachers reported that they were tired, physically exhausted and were, hence, looking forward to retirement. Nevertheless, </w:t>
      </w:r>
      <w:r>
        <w:t>the British female teacher</w:t>
      </w:r>
      <w:r w:rsidRPr="00166BA7">
        <w:t xml:space="preserve"> also thought that her positive outlook might change in the future. </w:t>
      </w:r>
    </w:p>
    <w:p w:rsidR="009824DF" w:rsidRPr="00166BA7" w:rsidRDefault="009824DF" w:rsidP="006343BD">
      <w:pPr>
        <w:pStyle w:val="Citationlong"/>
        <w:rPr>
          <w:rFonts w:cs="Times New Roman"/>
        </w:rPr>
      </w:pPr>
      <w:r w:rsidRPr="00166BA7">
        <w:rPr>
          <w:rFonts w:cs="Times New Roman"/>
        </w:rPr>
        <w:t>No. No, it [retirement] isn't [on my mind]. (...) There may come a time when I have that choice taken away from me. If I become ill or if circumstances overtake me that I can't predict then I think it is possible that I would be forced into making that decision. (</w:t>
      </w:r>
      <w:r>
        <w:rPr>
          <w:rFonts w:cs="Times New Roman"/>
        </w:rPr>
        <w:t>British female teacher, age 61</w:t>
      </w:r>
      <w:r w:rsidRPr="00166BA7">
        <w:rPr>
          <w:rFonts w:cs="Times New Roman"/>
        </w:rPr>
        <w:t xml:space="preserve">) </w:t>
      </w:r>
    </w:p>
    <w:p w:rsidR="009824DF" w:rsidRPr="00166BA7" w:rsidRDefault="009824DF" w:rsidP="006343BD">
      <w:r w:rsidRPr="00166BA7">
        <w:t xml:space="preserve">While </w:t>
      </w:r>
      <w:r>
        <w:t>this teacher</w:t>
      </w:r>
      <w:r w:rsidRPr="00166BA7">
        <w:t xml:space="preserve"> had not yet decided on a retirement date, </w:t>
      </w:r>
      <w:r>
        <w:t>another British male teacher</w:t>
      </w:r>
      <w:r w:rsidRPr="00166BA7">
        <w:t xml:space="preserve"> had decided to retire at the time when his partner was going to retire. As he was waiting for her to do so, he felt that he could also spend his time working in his trade union representative function - a job which he enjoyed. Even though </w:t>
      </w:r>
      <w:r>
        <w:t>he</w:t>
      </w:r>
      <w:r w:rsidRPr="00166BA7">
        <w:t xml:space="preserve"> also wanted to do other things after retirement, he did not feel that he did not have much time left, as did many of the other teachers. </w:t>
      </w:r>
    </w:p>
    <w:p w:rsidR="009824DF" w:rsidRPr="00166BA7" w:rsidRDefault="009824DF" w:rsidP="006343BD">
      <w:pPr>
        <w:pStyle w:val="Citationlong"/>
        <w:rPr>
          <w:rFonts w:cs="Times New Roman"/>
        </w:rPr>
      </w:pPr>
      <w:r w:rsidRPr="00166BA7">
        <w:rPr>
          <w:rFonts w:cs="Times New Roman"/>
        </w:rPr>
        <w:t>No. I just think 70 is a good time. I am not worried about snuffing it too soon. We live long, all my relatives, my mother is 95 and still going strong. (</w:t>
      </w:r>
      <w:r>
        <w:rPr>
          <w:rFonts w:cs="Times New Roman"/>
        </w:rPr>
        <w:t>British male teacher, age 67</w:t>
      </w:r>
      <w:r w:rsidRPr="00166BA7">
        <w:rPr>
          <w:rFonts w:cs="Times New Roman"/>
        </w:rPr>
        <w:t>)</w:t>
      </w:r>
    </w:p>
    <w:p w:rsidR="009824DF" w:rsidRPr="00166BA7" w:rsidRDefault="009824DF" w:rsidP="006343BD">
      <w:r w:rsidRPr="00166BA7">
        <w:t xml:space="preserve">A different motivation for working past </w:t>
      </w:r>
      <w:r>
        <w:t xml:space="preserve">the British </w:t>
      </w:r>
      <w:r w:rsidRPr="00166BA7">
        <w:t xml:space="preserve">occupational pension age </w:t>
      </w:r>
      <w:r>
        <w:t>was a financial one</w:t>
      </w:r>
      <w:r w:rsidRPr="00166BA7">
        <w:t xml:space="preserve">. </w:t>
      </w:r>
      <w:r>
        <w:t>One British teacher</w:t>
      </w:r>
      <w:r w:rsidRPr="00166BA7">
        <w:t xml:space="preserve"> </w:t>
      </w:r>
      <w:r>
        <w:t xml:space="preserve">reported that she </w:t>
      </w:r>
      <w:r w:rsidRPr="00166BA7">
        <w:t>had retired three years previously and at that time had started to draw her occupational pension</w:t>
      </w:r>
      <w:r>
        <w:t>, while she was still working on a part-time basis</w:t>
      </w:r>
      <w:r w:rsidRPr="00166BA7">
        <w:t xml:space="preserve">. </w:t>
      </w:r>
      <w:r>
        <w:t>Her</w:t>
      </w:r>
      <w:r w:rsidRPr="00166BA7">
        <w:t xml:space="preserve"> motivation to work past occupational pension age was </w:t>
      </w:r>
      <w:r>
        <w:t>because</w:t>
      </w:r>
      <w:r w:rsidRPr="00166BA7">
        <w:t xml:space="preserve"> she felt that </w:t>
      </w:r>
      <w:r>
        <w:t>she</w:t>
      </w:r>
      <w:r w:rsidRPr="00166BA7">
        <w:t xml:space="preserve"> needed the extra income to cope with additional expenses</w:t>
      </w:r>
      <w:r>
        <w:t xml:space="preserve"> from having bought a holiday house</w:t>
      </w:r>
      <w:r w:rsidRPr="00166BA7">
        <w:t xml:space="preserve">. </w:t>
      </w:r>
      <w:r w:rsidRPr="00166BA7">
        <w:lastRenderedPageBreak/>
        <w:t xml:space="preserve">Working as a teacher therefore allowed </w:t>
      </w:r>
      <w:r>
        <w:t>her</w:t>
      </w:r>
      <w:r w:rsidRPr="00166BA7">
        <w:t xml:space="preserve"> to supplement her family income in order to establish a financial cushion for financial uncertainties due to what she called "</w:t>
      </w:r>
      <w:r w:rsidRPr="00166BA7">
        <w:rPr>
          <w:i/>
        </w:rPr>
        <w:t>this particular economic period</w:t>
      </w:r>
      <w:r w:rsidRPr="00166BA7">
        <w:t xml:space="preserve"> (</w:t>
      </w:r>
      <w:r>
        <w:t>British female teacher, age 65</w:t>
      </w:r>
      <w:r w:rsidRPr="00166BA7">
        <w:t xml:space="preserve">)". It is important to point out that </w:t>
      </w:r>
      <w:r>
        <w:t>this teacher´s</w:t>
      </w:r>
      <w:r w:rsidRPr="00166BA7">
        <w:t xml:space="preserve"> financial need to work was not because her pension entitlement was not sufficient, but because she and her husband wanted to be more flexible in how and where they spend their life. </w:t>
      </w:r>
      <w:r>
        <w:t xml:space="preserve">Nevertheless, she had </w:t>
      </w:r>
      <w:r w:rsidRPr="00166BA7">
        <w:t xml:space="preserve">only considered to work past occupational pension age when her </w:t>
      </w:r>
      <w:r>
        <w:t>school principal</w:t>
      </w:r>
      <w:r w:rsidRPr="00166BA7">
        <w:t xml:space="preserve"> convinced her to stay on. </w:t>
      </w:r>
      <w:r>
        <w:t>The teacher</w:t>
      </w:r>
      <w:r w:rsidRPr="00166BA7">
        <w:t xml:space="preserve"> especially highlighted that her head teacher was very positive about her staying on even though she had already officially retired and even though she herself thought that she had reached her what she calls "sell-by-date" as a teacher. The fact that her head teacher offered and allowed her to reduce her working time acted not only as an additional incentive, but also as a prerequisite for her to stay in employment. </w:t>
      </w:r>
    </w:p>
    <w:p w:rsidR="009824DF" w:rsidRPr="00166BA7" w:rsidRDefault="009824DF" w:rsidP="006343BD">
      <w:pPr>
        <w:pStyle w:val="Citationlong"/>
        <w:rPr>
          <w:rFonts w:cs="Times New Roman"/>
        </w:rPr>
      </w:pPr>
      <w:r w:rsidRPr="00166BA7">
        <w:rPr>
          <w:rFonts w:cs="Times New Roman"/>
        </w:rPr>
        <w:t>So we agreed on two days in the middle of the week, which is ideal because it actually means that I have very long weekends if I do want to go anywhere. I mean I couldn’t possibly manage full-time ever now or not for very long but doing part-time is ideal. (</w:t>
      </w:r>
      <w:r>
        <w:rPr>
          <w:rFonts w:cs="Times New Roman"/>
        </w:rPr>
        <w:t>British female teacher, age 65</w:t>
      </w:r>
      <w:r w:rsidRPr="00166BA7">
        <w:rPr>
          <w:rFonts w:cs="Times New Roman"/>
        </w:rPr>
        <w:t>)</w:t>
      </w:r>
    </w:p>
    <w:p w:rsidR="009824DF" w:rsidRDefault="009824DF" w:rsidP="006343BD"/>
    <w:p w:rsidR="009824DF" w:rsidRDefault="009824DF" w:rsidP="006343BD">
      <w:r w:rsidRPr="00166BA7">
        <w:t xml:space="preserve">All teachers were therefore still enjoying their jobs, felt motivated and enthusiastic and thought that they were still providing valuable input for their pupils or, in </w:t>
      </w:r>
      <w:r>
        <w:t>one teacher´s</w:t>
      </w:r>
      <w:r w:rsidRPr="00166BA7">
        <w:t xml:space="preserve"> case, teacher trade union constituents. Also, working provided </w:t>
      </w:r>
      <w:r>
        <w:t>them</w:t>
      </w:r>
      <w:r w:rsidRPr="00166BA7">
        <w:t xml:space="preserve"> with exposure to an age-mixed group, which </w:t>
      </w:r>
      <w:r>
        <w:t>they</w:t>
      </w:r>
      <w:r w:rsidRPr="00166BA7">
        <w:t xml:space="preserve"> found important also in later life. This is different to most other teachers interviewed who felt mentally and physically exhausted and who partly thought that younger teachers should take over. There was no recipe that explained why </w:t>
      </w:r>
      <w:r>
        <w:t>these teachers</w:t>
      </w:r>
      <w:r w:rsidRPr="00166BA7">
        <w:t xml:space="preserve"> had managed to remain motivated, even though they also reported institutional- and </w:t>
      </w:r>
      <w:r>
        <w:t>organization</w:t>
      </w:r>
      <w:r w:rsidRPr="00166BA7">
        <w:t xml:space="preserve">al-level stress factors as well as private life problems. Nevertheless, it is </w:t>
      </w:r>
      <w:r w:rsidRPr="00166BA7">
        <w:lastRenderedPageBreak/>
        <w:t>noteworthy that all of them were working in a part-time capacity. Still, the opportunity to work part-time allowed them to pursue hobbies, plan alternative careers and spend time with their families. The ability to combine work with family and hobbies therefore seems to allow teachers to reduce stress factors and to adapt their (working) lives to new priorities th</w:t>
      </w:r>
      <w:r>
        <w:t xml:space="preserve">at might emerge in later life. </w:t>
      </w:r>
    </w:p>
    <w:p w:rsidR="009824DF" w:rsidRPr="00166BA7" w:rsidRDefault="009824DF" w:rsidP="006343BD"/>
    <w:p w:rsidR="009824DF" w:rsidRPr="00166BA7" w:rsidRDefault="009824DF" w:rsidP="006343BD">
      <w:r w:rsidRPr="00166BA7">
        <w:t xml:space="preserve">There are a variety of institutional and school-level factors in Germany and Britain that hinder or facilitate whether and how teachers can work past the German state retirement age, the British occupational pension age and the British school-level retirement age. The German institutional context does not enable teachers to work past the German civil servant retirement age. This, at least, refers to teachers who want to continue working with a civil service contract. Nevertheless, German HR managers and </w:t>
      </w:r>
      <w:r>
        <w:t>school principals</w:t>
      </w:r>
      <w:r w:rsidRPr="00166BA7">
        <w:t xml:space="preserve"> specified that individual teachers might choose to work past retirement age with a non-civil servant contract. These teachers receive a new, fixed-term contract as non-civil servant employees. These incidences are, however, scarce. </w:t>
      </w:r>
      <w:r>
        <w:t>Firstly, w</w:t>
      </w:r>
      <w:r w:rsidRPr="00166BA7">
        <w:t xml:space="preserve">orking past retirement age in a teaching capacity in Germany mainly concerns teachers who teach subjects such as Latin in which there is a general teacher shortage. Secondly, it might concern cases in which an individual school requires a long-term sick leave or maternity leave cover. At the time of the interview, only </w:t>
      </w:r>
      <w:r>
        <w:t>one German case study school</w:t>
      </w:r>
      <w:r w:rsidRPr="00166BA7">
        <w:t xml:space="preserve"> employed former teachers in this capacity. Even though school management teams in general appeared to be favourable to this option, school </w:t>
      </w:r>
      <w:r>
        <w:t>employee representatives</w:t>
      </w:r>
      <w:r w:rsidRPr="00166BA7">
        <w:t xml:space="preserve"> did not support such schemes. </w:t>
      </w:r>
    </w:p>
    <w:p w:rsidR="009824DF" w:rsidRPr="00166BA7" w:rsidRDefault="009824DF" w:rsidP="006343BD">
      <w:pPr>
        <w:pStyle w:val="Citationlong"/>
        <w:rPr>
          <w:rFonts w:cs="Times New Roman"/>
        </w:rPr>
      </w:pPr>
      <w:r w:rsidRPr="00166BA7">
        <w:rPr>
          <w:rFonts w:cs="Times New Roman"/>
        </w:rPr>
        <w:t>This would be a blockade of teaching positions. These people have done their time - they can financially do without it. It is the job of the school ministry to make sure that there are sufficient qualified teachers to satisfy the staffing needs of the schools. (</w:t>
      </w:r>
      <w:r>
        <w:rPr>
          <w:rFonts w:cs="Times New Roman"/>
        </w:rPr>
        <w:t>German School 2, Employee representative</w:t>
      </w:r>
      <w:r w:rsidRPr="00166BA7">
        <w:rPr>
          <w:rFonts w:cs="Times New Roman"/>
        </w:rPr>
        <w:t xml:space="preserve">) </w:t>
      </w:r>
    </w:p>
    <w:p w:rsidR="009824DF" w:rsidRDefault="009824DF" w:rsidP="006343BD">
      <w:r>
        <w:lastRenderedPageBreak/>
        <w:t>Employee representatives</w:t>
      </w:r>
      <w:r w:rsidRPr="00166BA7">
        <w:t>, however, agreed that retired teachers might stay on a short-term basis in exceptional situations. Furthermore, some German teachers continue to work at the school in a non-teaching capacity. Some do so on a voluntary and, hence, normally unpaid basis. These teachers are especially involved in homework support for underperforming pupils, and in extracurricular activities.</w:t>
      </w:r>
    </w:p>
    <w:p w:rsidR="009824DF" w:rsidRPr="00166BA7" w:rsidRDefault="009824DF" w:rsidP="006343BD"/>
    <w:p w:rsidR="009824DF" w:rsidRPr="00166BA7" w:rsidRDefault="009824DF" w:rsidP="006343BD">
      <w:r w:rsidRPr="00166BA7">
        <w:t xml:space="preserve">There are different reasons why German teachers engage in voluntary or paid work after </w:t>
      </w:r>
      <w:r>
        <w:t xml:space="preserve">reaching </w:t>
      </w:r>
      <w:r w:rsidRPr="00166BA7">
        <w:t>retirement</w:t>
      </w:r>
      <w:r>
        <w:t xml:space="preserve"> age</w:t>
      </w:r>
      <w:r w:rsidRPr="00166BA7">
        <w:t xml:space="preserve">. Some teachers opt to do so because they find it hard to transition from employment </w:t>
      </w:r>
      <w:r>
        <w:t>in</w:t>
      </w:r>
      <w:r w:rsidRPr="00166BA7">
        <w:t xml:space="preserve">to retirement without a transition period. The </w:t>
      </w:r>
      <w:r>
        <w:t>vice principal</w:t>
      </w:r>
      <w:r w:rsidRPr="00166BA7">
        <w:t xml:space="preserve"> of </w:t>
      </w:r>
      <w:r>
        <w:t>one German case study school</w:t>
      </w:r>
      <w:r w:rsidRPr="00166BA7">
        <w:t xml:space="preserve"> thought that it might be difficult for retired teachers to cope with a feeling of no longer being needed.</w:t>
      </w:r>
    </w:p>
    <w:p w:rsidR="009824DF" w:rsidRPr="00166BA7" w:rsidRDefault="009824DF" w:rsidP="006343BD">
      <w:pPr>
        <w:pStyle w:val="Citationlong"/>
        <w:rPr>
          <w:rFonts w:cs="Times New Roman"/>
        </w:rPr>
      </w:pPr>
      <w:r w:rsidRPr="00166BA7">
        <w:rPr>
          <w:rFonts w:cs="Times New Roman"/>
        </w:rPr>
        <w:t>They were so involved in the school and in their jobs that they would fall into a deep dark hole, because they would think that they are no longer needed. (</w:t>
      </w:r>
      <w:r>
        <w:rPr>
          <w:rFonts w:cs="Times New Roman"/>
        </w:rPr>
        <w:t>German School 2, Vice Principal</w:t>
      </w:r>
      <w:r w:rsidRPr="00166BA7">
        <w:rPr>
          <w:rFonts w:cs="Times New Roman"/>
        </w:rPr>
        <w:t>)</w:t>
      </w:r>
    </w:p>
    <w:p w:rsidR="009824DF" w:rsidRDefault="009824DF" w:rsidP="006343BD">
      <w:r w:rsidRPr="00166BA7">
        <w:t>Still other teachers want to stay active after retirement age because they want or have to earn an extra income. This might be especially the case if the teacher in question has not yet reached the maximum pension entitlement due to gap years, part-time work or maternity leave. According to the German</w:t>
      </w:r>
      <w:r>
        <w:t xml:space="preserve"> school district-level</w:t>
      </w:r>
      <w:r w:rsidRPr="00166BA7">
        <w:t xml:space="preserve"> trade union representative, teachers who work past retirement age can earn up to reaching the full pension entitlement. If they have already reached the maximum pension entitlement through their pre-retirement teaching job, they will only be able to keep 20 per cent of the new income, as the new income will be charged against the pension entitlement. Nevertheless, teachers can only work for an additional three years after having reached retirement age. </w:t>
      </w:r>
    </w:p>
    <w:p w:rsidR="009824DF" w:rsidRPr="00166BA7" w:rsidRDefault="009824DF" w:rsidP="006343BD"/>
    <w:p w:rsidR="009824DF" w:rsidRDefault="009824DF" w:rsidP="006343BD">
      <w:r w:rsidRPr="00166BA7">
        <w:lastRenderedPageBreak/>
        <w:t xml:space="preserve">German teachers therefore experience significant obstacles if they want to be gainfully employed in the teaching profession after having reached retirement age. These obstacles are firstly based on the civil service nature of their pre-retirement contracts. Gainfully working past retirement age therefore involves a change of contract. Secondly, </w:t>
      </w:r>
      <w:r>
        <w:t>school district</w:t>
      </w:r>
      <w:r w:rsidRPr="00166BA7">
        <w:t xml:space="preserve">- and school-level employee representatives are apparently not likely to support schemes in which retired teachers work past retirement age. Thirdly, teachers who work past retirement age have an income cap that is based on their full pension entitlement. If a teacher has already reached </w:t>
      </w:r>
      <w:r>
        <w:t xml:space="preserve">his or </w:t>
      </w:r>
      <w:r w:rsidRPr="00166BA7">
        <w:t xml:space="preserve">her full pension entitlement, there are no significant financial incentives to continue to work past retirement age. Nevertheless, besides these institutional and employment relation-related inhibitors, school management teams supported the idea of employing retired teachers as short-term flexible </w:t>
      </w:r>
      <w:r>
        <w:t>labor</w:t>
      </w:r>
      <w:r w:rsidRPr="00166BA7">
        <w:t xml:space="preserve"> force to meet staffing needs that could not be filled with inexperienced teachers. </w:t>
      </w:r>
    </w:p>
    <w:p w:rsidR="009824DF" w:rsidRPr="00166BA7" w:rsidRDefault="009824DF" w:rsidP="006343BD"/>
    <w:p w:rsidR="009824DF" w:rsidRPr="00166BA7" w:rsidRDefault="009824DF" w:rsidP="006343BD">
      <w:r w:rsidRPr="00166BA7">
        <w:t xml:space="preserve">Contrary to their German colleagues, British teachers experienced less institutional obstacles if they wanted to work past occupational pension age or retirement age. Generally, it appears as if there are no restrictions that apply to teachers who opt to work past the occupational pension age of 60. Nevertheless, at the time of the interviews, prior to the abolishment of the default retirement age, schools set a school-level retirement age policy. Once teachers reached this age, </w:t>
      </w:r>
      <w:r>
        <w:t>school principals</w:t>
      </w:r>
      <w:r w:rsidRPr="00166BA7">
        <w:t xml:space="preserve"> normally initiated a pre-retirement process, within which teachers could request to work past the retirement age.</w:t>
      </w:r>
      <w:r>
        <w:t xml:space="preserve"> </w:t>
      </w:r>
      <w:r w:rsidRPr="00166BA7">
        <w:t xml:space="preserve">Generally, the </w:t>
      </w:r>
      <w:r>
        <w:t xml:space="preserve">principals </w:t>
      </w:r>
      <w:r w:rsidRPr="00166BA7">
        <w:t>of</w:t>
      </w:r>
      <w:r>
        <w:t xml:space="preserve"> British Schools 1 and 2</w:t>
      </w:r>
      <w:r w:rsidRPr="00166BA7">
        <w:t xml:space="preserve"> both mentioned an openness towards teachers who want to work past retirement age as "</w:t>
      </w:r>
      <w:r w:rsidRPr="00166BA7">
        <w:rPr>
          <w:i/>
        </w:rPr>
        <w:t xml:space="preserve">Normally, I would consider that they should be allowed to work as long as they wanted to </w:t>
      </w:r>
      <w:r w:rsidRPr="00166BA7">
        <w:t>(</w:t>
      </w:r>
      <w:r>
        <w:t>British School 2, Principal</w:t>
      </w:r>
      <w:r w:rsidRPr="00166BA7">
        <w:t xml:space="preserve">)", but did not report on any active persuasion activities. Nevertheless, the </w:t>
      </w:r>
      <w:r>
        <w:t>vice principal of British School 1</w:t>
      </w:r>
      <w:r w:rsidRPr="00166BA7">
        <w:t xml:space="preserve"> reported that she hardly knew of teaching staff in her school that had worked or are working past the official retirement age, despite the school´s openness to such arrangements.</w:t>
      </w:r>
    </w:p>
    <w:p w:rsidR="009824DF" w:rsidRPr="00166BA7" w:rsidRDefault="009824DF" w:rsidP="006343BD">
      <w:r w:rsidRPr="00166BA7">
        <w:lastRenderedPageBreak/>
        <w:t xml:space="preserve">Overall, teachers´ reactions vary when they reach retirement age. </w:t>
      </w:r>
    </w:p>
    <w:p w:rsidR="009824DF" w:rsidRPr="00166BA7" w:rsidRDefault="009824DF" w:rsidP="006343BD">
      <w:pPr>
        <w:pStyle w:val="Citationlong"/>
        <w:rPr>
          <w:rFonts w:cs="Times New Roman"/>
        </w:rPr>
      </w:pPr>
      <w:r w:rsidRPr="00166BA7">
        <w:rPr>
          <w:rFonts w:cs="Times New Roman"/>
        </w:rPr>
        <w:t>I wouldn’t beg anybody to stay because if they’ve made a decision and it’s for all the right reasons then they must go. (…) If you’ve given your life to education and to the school (…) and school is everything, to finish would be impossible because it becomes your second home. So, you look at how you can support that person through that. Other people have just said, ooh I am out of here. I’m going travelling. Get in me camper van and I’m going, so different people will do different things. (</w:t>
      </w:r>
      <w:r>
        <w:rPr>
          <w:rFonts w:cs="Times New Roman"/>
        </w:rPr>
        <w:t>British School 1, Principal</w:t>
      </w:r>
      <w:r w:rsidRPr="00166BA7">
        <w:rPr>
          <w:rFonts w:cs="Times New Roman"/>
        </w:rPr>
        <w:t xml:space="preserve">) </w:t>
      </w:r>
    </w:p>
    <w:p w:rsidR="009824DF" w:rsidRDefault="009824DF" w:rsidP="006343BD">
      <w:r>
        <w:t xml:space="preserve">British School 1´s principal </w:t>
      </w:r>
      <w:r w:rsidRPr="00166BA7">
        <w:t>also emphasised that the type of transition into retirement is important. According to her, teaching is a very social job, which entails a lot of personal contact. Therefore, some people might have problems adapting to a very sudden transition into retirement. She therefore advocated a combination of phased retirement and a dedicated pre-retirement preparation. Phased retirement transitions and working past retirement options are apparently negotiated individually.</w:t>
      </w:r>
    </w:p>
    <w:p w:rsidR="009824DF" w:rsidRPr="00166BA7" w:rsidRDefault="009824DF" w:rsidP="006343BD">
      <w:r w:rsidRPr="00166BA7">
        <w:t xml:space="preserve"> </w:t>
      </w:r>
    </w:p>
    <w:p w:rsidR="009824DF" w:rsidRDefault="009824DF" w:rsidP="006343BD">
      <w:r w:rsidRPr="00166BA7">
        <w:t xml:space="preserve">According to the </w:t>
      </w:r>
      <w:r>
        <w:t xml:space="preserve">British </w:t>
      </w:r>
      <w:r w:rsidRPr="00166BA7">
        <w:t xml:space="preserve">HR manager, there have not been any complaints from teachers that requests to work past retirement age were turned down. Also, the trade union representative mentioned that the </w:t>
      </w:r>
      <w:r>
        <w:t>British School District</w:t>
      </w:r>
      <w:r w:rsidRPr="00166BA7">
        <w:t xml:space="preserve"> encourages teachers who retire to consider coming back as a supply teacher. However, this is not a new policy and also not uncommon according to the trade union representative. The main incentive for retired teachers to do so is the financial compensation. Social networks do play a role, too, but since supply teachers might be placed in schools other than their own and only for a specific period of time, supply teaching does not necessarily allow retired teachers to stay in their previous work environment. Furthermore, teachers who retire can ask for a part-time contract to supplement their pension. A teacher can work part-time past retirement up until the combined salary and </w:t>
      </w:r>
      <w:r w:rsidRPr="00166BA7">
        <w:lastRenderedPageBreak/>
        <w:t>pension reaches and/or exceeds the salary earned just prior to retirement. Also, retired part-time teachers can voluntarily start a new pension plan based on the part-time teaching income. A new pension plan can be maintained until at least age 65. Therefore, the trade union representative concluded that there are many options for a teacher to transition into retirement as "</w:t>
      </w:r>
      <w:r w:rsidRPr="00166BA7">
        <w:rPr>
          <w:i/>
        </w:rPr>
        <w:t>There are variations on a theme here in terms of what you can do in terms of retirement and part retirement and step downs and all kinds of arrangements that exist</w:t>
      </w:r>
      <w:r w:rsidRPr="00166BA7">
        <w:t xml:space="preserve"> (</w:t>
      </w:r>
      <w:r>
        <w:t>British School District level, Trade Union representative</w:t>
      </w:r>
      <w:r w:rsidRPr="00166BA7">
        <w:t>)."</w:t>
      </w:r>
    </w:p>
    <w:p w:rsidR="009824DF" w:rsidRPr="00166BA7" w:rsidRDefault="009824DF" w:rsidP="006343BD"/>
    <w:p w:rsidR="009824DF" w:rsidRDefault="009824DF" w:rsidP="006343BD">
      <w:r w:rsidRPr="00166BA7">
        <w:t xml:space="preserve">British teachers can therefore opt to work past their occupational pension age as well as past their school-level retirement age. The latter, however, depends on the individual school´s needs, budgetary constraints and the </w:t>
      </w:r>
      <w:r>
        <w:t>school principal</w:t>
      </w:r>
      <w:r w:rsidRPr="00166BA7">
        <w:t>´</w:t>
      </w:r>
      <w:r>
        <w:t>s</w:t>
      </w:r>
      <w:r w:rsidRPr="00166BA7">
        <w:t xml:space="preserve"> goodwill. While </w:t>
      </w:r>
      <w:r>
        <w:t xml:space="preserve">school principals </w:t>
      </w:r>
      <w:r w:rsidRPr="00166BA7">
        <w:t xml:space="preserve">mentioned that they would like to keep dedicated staff also past retirement age, only few teachers appear to have stayed on in the </w:t>
      </w:r>
      <w:r>
        <w:t xml:space="preserve">British </w:t>
      </w:r>
      <w:r w:rsidRPr="00166BA7">
        <w:t xml:space="preserve">case study schools. It is not certain whether the low number of teachers working past retirement age mirrors teachers´ unwillingness to stay on or the school´s unwillingness or inability to negotiate working past retirement options. Nevertheless, as institutional barriers do not exist in Britain, British teachers face less challenges than do German teachers if they want to work past occupational pension age and/or past school-level retirement age. </w:t>
      </w:r>
    </w:p>
    <w:p w:rsidR="009824DF" w:rsidRPr="00166BA7" w:rsidRDefault="009824DF" w:rsidP="006343BD"/>
    <w:p w:rsidR="009824DF" w:rsidRPr="00166BA7" w:rsidRDefault="009824DF" w:rsidP="006343BD">
      <w:pPr>
        <w:pStyle w:val="berschrift2"/>
        <w:jc w:val="center"/>
        <w:rPr>
          <w:rFonts w:cs="Times New Roman"/>
        </w:rPr>
      </w:pPr>
      <w:r>
        <w:rPr>
          <w:rFonts w:cs="Times New Roman"/>
        </w:rPr>
        <w:t>CONCLUSION</w:t>
      </w:r>
    </w:p>
    <w:p w:rsidR="009824DF" w:rsidRDefault="009824DF" w:rsidP="006343BD">
      <w:r>
        <w:t>This study is</w:t>
      </w:r>
      <w:r w:rsidRPr="00166BA7">
        <w:t xml:space="preserve"> concerned with teachers´ perceptions, perspectives and motivations with regard to </w:t>
      </w:r>
      <w:r>
        <w:t>their work-retirement transition</w:t>
      </w:r>
      <w:r w:rsidRPr="00166BA7">
        <w:t xml:space="preserve">. </w:t>
      </w:r>
      <w:r>
        <w:t>The study</w:t>
      </w:r>
      <w:r w:rsidRPr="00166BA7">
        <w:t xml:space="preserve"> found that the main </w:t>
      </w:r>
      <w:r>
        <w:t xml:space="preserve">retirement-related </w:t>
      </w:r>
      <w:r w:rsidRPr="00166BA7">
        <w:t xml:space="preserve">decisions being taken differ between German and British teachers, where German teachers only have the </w:t>
      </w:r>
      <w:r>
        <w:t xml:space="preserve">institutional </w:t>
      </w:r>
      <w:r w:rsidRPr="00166BA7">
        <w:t xml:space="preserve">option to retire prior to or at the German national retirement age, while British teachers could also apply to work past their school-level retirement age. In fact, those </w:t>
      </w:r>
      <w:r w:rsidRPr="00166BA7">
        <w:lastRenderedPageBreak/>
        <w:t xml:space="preserve">German teachers that participated in the study mainly chose to retire early, while British teachers´ decisions with regard to the timing of their teaching force exit varied from early retirement to retirement at occupational pension age to working past occupational pension age. </w:t>
      </w:r>
    </w:p>
    <w:p w:rsidR="009824DF" w:rsidRDefault="009824DF" w:rsidP="006343BD"/>
    <w:p w:rsidR="009824DF" w:rsidRDefault="009824DF" w:rsidP="006343BD">
      <w:r w:rsidRPr="00166BA7">
        <w:t xml:space="preserve">There are a variety of emerging themes that influence the </w:t>
      </w:r>
      <w:r>
        <w:t>work-</w:t>
      </w:r>
      <w:r w:rsidRPr="00166BA7">
        <w:t xml:space="preserve">retirement transition decision and timing. Early retirement in both countries appears to be mostly connected with institutionally- and </w:t>
      </w:r>
      <w:r>
        <w:t>organization</w:t>
      </w:r>
      <w:r w:rsidRPr="00166BA7">
        <w:t xml:space="preserve">ally-caused work-based stress, work-life balance reasons as well as the availability of an individual financial safety net. Not retiring early was in both countries connected with a lack of such a financial safety net. Retirement at pension age in Germany was, at least for the two teachers concerned in the sample, not based on a specific motivation. However, as the German civil service law stipulates the date of retirement at age 65, these two teachers did not have </w:t>
      </w:r>
      <w:r>
        <w:t>much</w:t>
      </w:r>
      <w:r w:rsidRPr="00166BA7">
        <w:t xml:space="preserve"> choice to work past age 65. In Britain, where teachers could work beyond the occupational pension age as well as possibly past the school-level retirement age, the motivation to leave employment at age 60 had to do with work-based stress, family reasons as well as financial issues. Teachers in Britain therefore actively chose this age to retire as they</w:t>
      </w:r>
      <w:r>
        <w:t xml:space="preserve"> normally</w:t>
      </w:r>
      <w:r w:rsidRPr="00166BA7">
        <w:t xml:space="preserve"> had full access to their occupational pension plan and could, hence, </w:t>
      </w:r>
      <w:r w:rsidRPr="00F22D3F">
        <w:rPr>
          <w:lang w:val="en-US"/>
        </w:rPr>
        <w:t>honor</w:t>
      </w:r>
      <w:r w:rsidRPr="00166BA7">
        <w:t xml:space="preserve"> their financial commitments. Another reason to work up until occupational pension age was teachers´ commit</w:t>
      </w:r>
      <w:r>
        <w:t>ment to their schools and students</w:t>
      </w:r>
      <w:r w:rsidRPr="00166BA7">
        <w:t>. Working past occupational pension age only played a role in the British context, and those teachers aiming to do so mainly did so because they remained to be overall satisfied with their occupation and their work-life balance. It has to be stressed that all British teachers doing so were working part-time at the time of the interview. They were, hence, able to flexibly combine work with family responsibilities, though this had involved nego</w:t>
      </w:r>
      <w:r>
        <w:t xml:space="preserve">tiations with their employers. </w:t>
      </w:r>
    </w:p>
    <w:p w:rsidR="009824DF" w:rsidRPr="00166BA7" w:rsidRDefault="009824DF" w:rsidP="006343BD"/>
    <w:p w:rsidR="009824DF" w:rsidRDefault="009824DF" w:rsidP="006343BD">
      <w:r w:rsidRPr="00166BA7">
        <w:lastRenderedPageBreak/>
        <w:t xml:space="preserve">Based on this discussion it appears as if there are similar themes, rationales and motivations that guide British and German teachers´ anticipated </w:t>
      </w:r>
      <w:r>
        <w:t>work-retirement</w:t>
      </w:r>
      <w:r w:rsidRPr="00166BA7">
        <w:t xml:space="preserve"> transitions. As such, retirement decisions are taken at a similar age, i.e. around age 60 in Britain and between ages 60 to 63 in Germany. It might therefore be assumed that teachers in both countries aim to leave the profession at a simi</w:t>
      </w:r>
      <w:r>
        <w:t xml:space="preserve">lar point in time of their life </w:t>
      </w:r>
      <w:r w:rsidRPr="00166BA7">
        <w:t>courses</w:t>
      </w:r>
      <w:r>
        <w:t xml:space="preserve"> - hence teachers perceived a similar "right" timing for this transition</w:t>
      </w:r>
      <w:r w:rsidRPr="00166BA7">
        <w:t xml:space="preserve">. This is even though their actual anticipated type of retirement transition differed. British and German teachers therefore had divergent institutional and </w:t>
      </w:r>
      <w:r>
        <w:t>organization</w:t>
      </w:r>
      <w:r w:rsidRPr="00166BA7">
        <w:t>al opportunities and constraints that, in addition to their motivations and perceptions, guided their later life career decision-making.</w:t>
      </w:r>
    </w:p>
    <w:p w:rsidR="009824DF" w:rsidRDefault="009824DF" w:rsidP="006343BD"/>
    <w:p w:rsidR="009824DF" w:rsidRPr="00166BA7" w:rsidRDefault="009824DF" w:rsidP="006343BD">
      <w:r>
        <w:t>It therefore appears as if the British teachers interviewed were able to actively choose their transition, and hence employ human agency, within an institutional structure that enabled them design their later life careers based on their own requirements or desires. Contrary to this, German teachers either had to adhere to a more rigid institutional structure that shaped their work-retirement transition, or alternatively had to use human agency in spite of the institutional structure to implement the work-retirement transition choices they deemed suitable and desirable. This mainly involved decisions over whether or not teachers wanted to retire early and whether or not they were willing and able to pay for this themselves by foregoing income and pension entitlements. Such a financial safety net that was necessary to take such a step was mainly based on an individual´s family situation. Hence, the application of human agency in career decisions in later life in Germany was mostly mediated by the life course element of linked lives.</w:t>
      </w:r>
    </w:p>
    <w:p w:rsidR="009824DF" w:rsidRDefault="009824DF">
      <w:pPr>
        <w:autoSpaceDE/>
        <w:autoSpaceDN/>
        <w:adjustRightInd/>
        <w:spacing w:after="200" w:line="276" w:lineRule="auto"/>
        <w:jc w:val="left"/>
      </w:pPr>
      <w:r>
        <w:br w:type="page"/>
      </w:r>
    </w:p>
    <w:p w:rsidR="009824DF" w:rsidRPr="00EE5277" w:rsidRDefault="00EE5277" w:rsidP="00EE5277">
      <w:pPr>
        <w:jc w:val="center"/>
        <w:rPr>
          <w:b/>
        </w:rPr>
      </w:pPr>
      <w:r w:rsidRPr="00EE5277">
        <w:rPr>
          <w:b/>
        </w:rPr>
        <w:lastRenderedPageBreak/>
        <w:t>REFERENCES</w:t>
      </w:r>
    </w:p>
    <w:p w:rsidR="009824DF" w:rsidRPr="00EE5277" w:rsidRDefault="009824DF" w:rsidP="00EE5277">
      <w:pPr>
        <w:rPr>
          <w:noProof/>
        </w:rPr>
      </w:pPr>
      <w:bookmarkStart w:id="22" w:name="_ENREF_1"/>
      <w:r w:rsidRPr="00EE5277">
        <w:rPr>
          <w:noProof/>
        </w:rPr>
        <w:t>Alwin, D. F., &amp; McCammon, R. J. 2004. Generations, cohorts, and social change</w:t>
      </w:r>
      <w:r w:rsidR="00EE5277">
        <w:rPr>
          <w:noProof/>
        </w:rPr>
        <w:t>.</w:t>
      </w:r>
      <w:r w:rsidRPr="00EE5277">
        <w:rPr>
          <w:noProof/>
        </w:rPr>
        <w:t xml:space="preserve"> In J. T. Mortimer &amp; M. J. Shanahan (Eds.), </w:t>
      </w:r>
      <w:r w:rsidRPr="00EE5277">
        <w:rPr>
          <w:b/>
          <w:i/>
          <w:noProof/>
        </w:rPr>
        <w:t>Handbook of the Life Course</w:t>
      </w:r>
      <w:r w:rsidRPr="00EE5277">
        <w:rPr>
          <w:noProof/>
        </w:rPr>
        <w:t>: 23-49. New York: Springer.</w:t>
      </w:r>
      <w:bookmarkEnd w:id="22"/>
    </w:p>
    <w:p w:rsidR="009824DF" w:rsidRPr="00EE5277" w:rsidRDefault="009824DF" w:rsidP="00EE5277">
      <w:pPr>
        <w:rPr>
          <w:noProof/>
          <w:lang w:val="de-DE"/>
        </w:rPr>
      </w:pPr>
      <w:bookmarkStart w:id="23" w:name="_ENREF_2"/>
      <w:r w:rsidRPr="00EE5277">
        <w:rPr>
          <w:noProof/>
        </w:rPr>
        <w:t xml:space="preserve">Barmby, P. 2006. Improving teacher recruitment and retention: The importance of workload and pupil behaviour. </w:t>
      </w:r>
      <w:r w:rsidRPr="00EE5277">
        <w:rPr>
          <w:b/>
          <w:i/>
          <w:noProof/>
          <w:lang w:val="de-DE"/>
        </w:rPr>
        <w:t>Educational Research</w:t>
      </w:r>
      <w:r w:rsidRPr="00EE5277">
        <w:rPr>
          <w:noProof/>
          <w:lang w:val="de-DE"/>
        </w:rPr>
        <w:t>, 48(3): 247-265.</w:t>
      </w:r>
      <w:bookmarkEnd w:id="23"/>
    </w:p>
    <w:p w:rsidR="009824DF" w:rsidRPr="00EE5277" w:rsidRDefault="009824DF" w:rsidP="00EE5277">
      <w:pPr>
        <w:rPr>
          <w:noProof/>
        </w:rPr>
      </w:pPr>
      <w:bookmarkStart w:id="24" w:name="_ENREF_3"/>
      <w:r w:rsidRPr="00EE5277">
        <w:rPr>
          <w:noProof/>
          <w:lang w:val="de-DE"/>
        </w:rPr>
        <w:t xml:space="preserve">Bauer, J., Stamm, A., Virnich, K., Wissing, K., Müller, U., Wirsching, M., &amp; Schaarschmidt, U. 2006. </w:t>
      </w:r>
      <w:r w:rsidRPr="00EE5277">
        <w:rPr>
          <w:noProof/>
        </w:rPr>
        <w:t xml:space="preserve">Correlation between burnout syndrome and psychological and psychosomatic symptoms among teachers. </w:t>
      </w:r>
      <w:r w:rsidRPr="00EE5277">
        <w:rPr>
          <w:b/>
          <w:i/>
          <w:noProof/>
        </w:rPr>
        <w:t>International Archives of Occupational and Environmental Health</w:t>
      </w:r>
      <w:r w:rsidRPr="00EE5277">
        <w:rPr>
          <w:noProof/>
        </w:rPr>
        <w:t>, 79(3): 199-204.</w:t>
      </w:r>
      <w:bookmarkEnd w:id="24"/>
    </w:p>
    <w:p w:rsidR="009824DF" w:rsidRPr="00EE5277" w:rsidRDefault="009824DF" w:rsidP="00EE5277">
      <w:pPr>
        <w:rPr>
          <w:noProof/>
        </w:rPr>
      </w:pPr>
      <w:bookmarkStart w:id="25" w:name="_ENREF_4"/>
      <w:r w:rsidRPr="00EE5277">
        <w:rPr>
          <w:noProof/>
        </w:rPr>
        <w:t xml:space="preserve">Beardwell, J., &amp; Clayton, T. 2007. </w:t>
      </w:r>
      <w:r w:rsidRPr="00EE5277">
        <w:rPr>
          <w:b/>
          <w:i/>
          <w:noProof/>
        </w:rPr>
        <w:t>Human Resource Management - A Contemporary Approach</w:t>
      </w:r>
      <w:r w:rsidRPr="00EE5277">
        <w:rPr>
          <w:noProof/>
        </w:rPr>
        <w:t xml:space="preserve"> (5 ed.). Harlow: Prentice Hall.</w:t>
      </w:r>
      <w:bookmarkEnd w:id="25"/>
    </w:p>
    <w:p w:rsidR="009824DF" w:rsidRPr="00EE5277" w:rsidRDefault="009824DF" w:rsidP="00EE5277">
      <w:pPr>
        <w:rPr>
          <w:noProof/>
        </w:rPr>
      </w:pPr>
      <w:bookmarkStart w:id="26" w:name="_ENREF_5"/>
      <w:r w:rsidRPr="00EE5277">
        <w:rPr>
          <w:noProof/>
        </w:rPr>
        <w:t xml:space="preserve">Blossfeld, H.-P., Buchholz, S., &amp; Hofäcker, D. (Eds.). 2006. </w:t>
      </w:r>
      <w:r w:rsidRPr="00EE5277">
        <w:rPr>
          <w:b/>
          <w:i/>
          <w:noProof/>
        </w:rPr>
        <w:t>Globalization, Uncertainty and Late Careers in Society</w:t>
      </w:r>
      <w:r w:rsidRPr="00EE5277">
        <w:rPr>
          <w:noProof/>
        </w:rPr>
        <w:t>. New York: Routledge.</w:t>
      </w:r>
      <w:bookmarkEnd w:id="26"/>
    </w:p>
    <w:p w:rsidR="009824DF" w:rsidRPr="00EE5277" w:rsidRDefault="009824DF" w:rsidP="00EE5277">
      <w:pPr>
        <w:rPr>
          <w:noProof/>
        </w:rPr>
      </w:pPr>
      <w:bookmarkStart w:id="27" w:name="_ENREF_6"/>
      <w:r w:rsidRPr="00EE5277">
        <w:rPr>
          <w:noProof/>
        </w:rPr>
        <w:t xml:space="preserve">Braun, V., &amp; Clarke, V. 2006. Using thematic analysis in psychology. </w:t>
      </w:r>
      <w:r w:rsidRPr="00EE5277">
        <w:rPr>
          <w:b/>
          <w:i/>
          <w:noProof/>
        </w:rPr>
        <w:t>Qualitative Research in Psychology</w:t>
      </w:r>
      <w:r w:rsidRPr="00EE5277">
        <w:rPr>
          <w:noProof/>
        </w:rPr>
        <w:t>, 3(2): 77-101.</w:t>
      </w:r>
      <w:bookmarkEnd w:id="27"/>
    </w:p>
    <w:p w:rsidR="009824DF" w:rsidRPr="00EE5277" w:rsidRDefault="009824DF" w:rsidP="00EE5277">
      <w:pPr>
        <w:rPr>
          <w:noProof/>
        </w:rPr>
      </w:pPr>
      <w:bookmarkStart w:id="28" w:name="_ENREF_7"/>
      <w:r w:rsidRPr="00EE5277">
        <w:rPr>
          <w:noProof/>
        </w:rPr>
        <w:t xml:space="preserve">Cinamon, R. G., &amp; Rich, Y. 2005. Work-family conflict among female teachers. </w:t>
      </w:r>
      <w:r w:rsidRPr="00EE5277">
        <w:rPr>
          <w:b/>
          <w:i/>
          <w:noProof/>
        </w:rPr>
        <w:t>Teaching and Teacher Education</w:t>
      </w:r>
      <w:r w:rsidRPr="00EE5277">
        <w:rPr>
          <w:noProof/>
        </w:rPr>
        <w:t>, 21(4): 365-378.</w:t>
      </w:r>
      <w:bookmarkEnd w:id="28"/>
    </w:p>
    <w:p w:rsidR="009824DF" w:rsidRPr="00EE5277" w:rsidRDefault="009824DF" w:rsidP="00EE5277">
      <w:pPr>
        <w:rPr>
          <w:noProof/>
        </w:rPr>
      </w:pPr>
      <w:bookmarkStart w:id="29" w:name="_ENREF_8"/>
      <w:r w:rsidRPr="00EE5277">
        <w:rPr>
          <w:noProof/>
        </w:rPr>
        <w:t xml:space="preserve">Ebbinghaus, B. 2006. </w:t>
      </w:r>
      <w:r w:rsidRPr="00EE5277">
        <w:rPr>
          <w:b/>
          <w:i/>
          <w:noProof/>
        </w:rPr>
        <w:t>Reforming Early Retirement in Europe, Japan and the USA</w:t>
      </w:r>
      <w:r w:rsidRPr="00EE5277">
        <w:rPr>
          <w:noProof/>
        </w:rPr>
        <w:t>. Oxford: Oxford University Press.</w:t>
      </w:r>
      <w:bookmarkEnd w:id="29"/>
    </w:p>
    <w:p w:rsidR="009824DF" w:rsidRPr="00EE5277" w:rsidRDefault="009824DF" w:rsidP="00EE5277">
      <w:pPr>
        <w:rPr>
          <w:noProof/>
        </w:rPr>
      </w:pPr>
      <w:bookmarkStart w:id="30" w:name="_ENREF_9"/>
      <w:r w:rsidRPr="00EE5277">
        <w:rPr>
          <w:noProof/>
        </w:rPr>
        <w:t xml:space="preserve">Elder, G. H. J. 1985. </w:t>
      </w:r>
      <w:r w:rsidRPr="00EE5277">
        <w:rPr>
          <w:b/>
          <w:i/>
          <w:noProof/>
        </w:rPr>
        <w:t>Life Course Dynamics: Trajectories and Transitions, 1968-1980</w:t>
      </w:r>
      <w:r w:rsidRPr="00EE5277">
        <w:rPr>
          <w:noProof/>
        </w:rPr>
        <w:t>. Ithaca: Cornell University Press.</w:t>
      </w:r>
      <w:bookmarkEnd w:id="30"/>
    </w:p>
    <w:p w:rsidR="009824DF" w:rsidRPr="00EE5277" w:rsidRDefault="009824DF" w:rsidP="00EE5277">
      <w:pPr>
        <w:rPr>
          <w:noProof/>
        </w:rPr>
      </w:pPr>
      <w:bookmarkStart w:id="31" w:name="_ENREF_10"/>
      <w:r w:rsidRPr="00EE5277">
        <w:rPr>
          <w:noProof/>
        </w:rPr>
        <w:t xml:space="preserve">Elder, G. H. J. 2003. The life course in time and place. In W. R. Heinz, &amp; V. W. Marshall (Eds.), </w:t>
      </w:r>
      <w:r w:rsidRPr="00EE5277">
        <w:rPr>
          <w:b/>
          <w:i/>
          <w:noProof/>
        </w:rPr>
        <w:t>Social Dynamics of the Life Course</w:t>
      </w:r>
      <w:r w:rsidRPr="00EE5277">
        <w:rPr>
          <w:noProof/>
        </w:rPr>
        <w:t>: 57-72. New York: Walter de Gruyter.</w:t>
      </w:r>
      <w:bookmarkEnd w:id="31"/>
    </w:p>
    <w:p w:rsidR="009824DF" w:rsidRPr="00EE5277" w:rsidRDefault="009824DF" w:rsidP="00EE5277">
      <w:pPr>
        <w:rPr>
          <w:noProof/>
        </w:rPr>
      </w:pPr>
      <w:bookmarkStart w:id="32" w:name="_ENREF_11"/>
      <w:r w:rsidRPr="00EE5277">
        <w:rPr>
          <w:noProof/>
        </w:rPr>
        <w:lastRenderedPageBreak/>
        <w:t xml:space="preserve">Elder, G. H. J., &amp; Kirkpatrick Johnson, M. 2002. The life course and aging: Challenges, lessons, and new directions. In R. A. Settersten (Ed.), </w:t>
      </w:r>
      <w:r w:rsidRPr="00EE5277">
        <w:rPr>
          <w:b/>
          <w:i/>
          <w:noProof/>
        </w:rPr>
        <w:t>Invitation to the Life Course: Toward New Understandings of Later Life</w:t>
      </w:r>
      <w:r w:rsidRPr="00EE5277">
        <w:rPr>
          <w:noProof/>
        </w:rPr>
        <w:t>: 49-81. New York: Baywood.</w:t>
      </w:r>
      <w:bookmarkEnd w:id="32"/>
    </w:p>
    <w:p w:rsidR="009824DF" w:rsidRPr="00EE5277" w:rsidRDefault="009824DF" w:rsidP="00EE5277">
      <w:pPr>
        <w:rPr>
          <w:noProof/>
        </w:rPr>
      </w:pPr>
      <w:bookmarkStart w:id="33" w:name="_ENREF_12"/>
      <w:r w:rsidRPr="00EE5277">
        <w:rPr>
          <w:noProof/>
        </w:rPr>
        <w:t xml:space="preserve">Elder, G. H. J., Kirkpatrick Johnson, M., &amp; Crosnoe, R. 2004. The emergence and development of life course theory. In J. T. Mortimer, &amp; M. J. Shanahan (Eds.), </w:t>
      </w:r>
      <w:r w:rsidRPr="00EE5277">
        <w:rPr>
          <w:b/>
          <w:i/>
          <w:noProof/>
        </w:rPr>
        <w:t>Handbook of the Life Course</w:t>
      </w:r>
      <w:r w:rsidRPr="00EE5277">
        <w:rPr>
          <w:noProof/>
        </w:rPr>
        <w:t>: 3-19. New York: Springer.</w:t>
      </w:r>
      <w:bookmarkEnd w:id="33"/>
    </w:p>
    <w:p w:rsidR="009824DF" w:rsidRPr="00EE5277" w:rsidRDefault="009824DF" w:rsidP="00EE5277">
      <w:pPr>
        <w:rPr>
          <w:noProof/>
        </w:rPr>
      </w:pPr>
      <w:bookmarkStart w:id="34" w:name="_ENREF_13"/>
      <w:r w:rsidRPr="00EE5277">
        <w:rPr>
          <w:noProof/>
        </w:rPr>
        <w:t xml:space="preserve">Elder, G. H. J., &amp; Pavalko, E. K. 1993. Work careers in men's later years: Transitions, trajectories, and historical change. </w:t>
      </w:r>
      <w:r w:rsidRPr="00EE5277">
        <w:rPr>
          <w:b/>
          <w:i/>
          <w:noProof/>
        </w:rPr>
        <w:t>Journal of Gerontology</w:t>
      </w:r>
      <w:r w:rsidRPr="00EE5277">
        <w:rPr>
          <w:noProof/>
        </w:rPr>
        <w:t>, 48(4): 180-191.</w:t>
      </w:r>
      <w:bookmarkEnd w:id="34"/>
    </w:p>
    <w:p w:rsidR="009824DF" w:rsidRPr="00EE5277" w:rsidRDefault="009824DF" w:rsidP="00EE5277">
      <w:pPr>
        <w:rPr>
          <w:noProof/>
        </w:rPr>
      </w:pPr>
      <w:bookmarkStart w:id="35" w:name="_ENREF_14"/>
      <w:r w:rsidRPr="00EE5277">
        <w:rPr>
          <w:noProof/>
        </w:rPr>
        <w:t xml:space="preserve">Faraday, A., &amp; Plummer, K. 1979. Doing life histories. </w:t>
      </w:r>
      <w:r w:rsidRPr="00EE5277">
        <w:rPr>
          <w:b/>
          <w:i/>
          <w:noProof/>
        </w:rPr>
        <w:t>Sociological Review</w:t>
      </w:r>
      <w:r w:rsidRPr="00EE5277">
        <w:rPr>
          <w:noProof/>
        </w:rPr>
        <w:t>, 27(4): 773-798.</w:t>
      </w:r>
      <w:bookmarkEnd w:id="35"/>
    </w:p>
    <w:p w:rsidR="009824DF" w:rsidRPr="00EE5277" w:rsidRDefault="009824DF" w:rsidP="00EE5277">
      <w:pPr>
        <w:rPr>
          <w:noProof/>
        </w:rPr>
      </w:pPr>
      <w:bookmarkStart w:id="36" w:name="_ENREF_15"/>
      <w:r w:rsidRPr="00EE5277">
        <w:rPr>
          <w:noProof/>
        </w:rPr>
        <w:t xml:space="preserve">Flick, U. 2009. </w:t>
      </w:r>
      <w:r w:rsidRPr="00EE5277">
        <w:rPr>
          <w:b/>
          <w:i/>
          <w:noProof/>
        </w:rPr>
        <w:t>An Introduction to Qualitative Research</w:t>
      </w:r>
      <w:r w:rsidRPr="00EE5277">
        <w:rPr>
          <w:noProof/>
        </w:rPr>
        <w:t xml:space="preserve"> (4 ed.). London: Sage.</w:t>
      </w:r>
      <w:bookmarkEnd w:id="36"/>
    </w:p>
    <w:p w:rsidR="009824DF" w:rsidRPr="00EE5277" w:rsidRDefault="009824DF" w:rsidP="00EE5277">
      <w:pPr>
        <w:rPr>
          <w:noProof/>
        </w:rPr>
      </w:pPr>
      <w:bookmarkStart w:id="37" w:name="_ENREF_16"/>
      <w:r w:rsidRPr="00EE5277">
        <w:rPr>
          <w:noProof/>
        </w:rPr>
        <w:t xml:space="preserve">Furstenberg, F. F., Cook, T. D., Eccles, J., Elder, G. H. J., &amp; Sameroff, A. 1999. </w:t>
      </w:r>
      <w:r w:rsidRPr="00EE5277">
        <w:rPr>
          <w:b/>
          <w:i/>
          <w:noProof/>
        </w:rPr>
        <w:t>Managing to Make it: Urban Families and Adolescent Success</w:t>
      </w:r>
      <w:r w:rsidRPr="00EE5277">
        <w:rPr>
          <w:noProof/>
        </w:rPr>
        <w:t>. Chicago: University of Chicago Press.</w:t>
      </w:r>
      <w:bookmarkEnd w:id="37"/>
    </w:p>
    <w:p w:rsidR="009824DF" w:rsidRPr="00EE5277" w:rsidRDefault="009824DF" w:rsidP="00EE5277">
      <w:pPr>
        <w:rPr>
          <w:noProof/>
        </w:rPr>
      </w:pPr>
      <w:bookmarkStart w:id="38" w:name="_ENREF_17"/>
      <w:r w:rsidRPr="00EE5277">
        <w:rPr>
          <w:noProof/>
        </w:rPr>
        <w:t xml:space="preserve">Giele, J. Z., &amp; Elder, G. H. J. 1998. Life course research: Development of a field. In J. Z. Giele, &amp; G. H. J. Elder (Eds.), </w:t>
      </w:r>
      <w:r w:rsidRPr="00EE5277">
        <w:rPr>
          <w:b/>
          <w:i/>
          <w:noProof/>
        </w:rPr>
        <w:t>Methods of Life Course Research - Qualitative and Quantitative Approaches</w:t>
      </w:r>
      <w:r w:rsidRPr="00EE5277">
        <w:rPr>
          <w:noProof/>
        </w:rPr>
        <w:t>. Thousand Oaks: Sage.</w:t>
      </w:r>
      <w:bookmarkEnd w:id="38"/>
    </w:p>
    <w:p w:rsidR="009824DF" w:rsidRPr="00EE5277" w:rsidRDefault="009824DF" w:rsidP="00EE5277">
      <w:pPr>
        <w:rPr>
          <w:noProof/>
        </w:rPr>
      </w:pPr>
      <w:bookmarkStart w:id="39" w:name="_ENREF_18"/>
      <w:r w:rsidRPr="00EE5277">
        <w:rPr>
          <w:noProof/>
        </w:rPr>
        <w:t xml:space="preserve">Han, S.-K., &amp; Moen, P. 1999. Clocking out: Temporal patterning of retirement. </w:t>
      </w:r>
      <w:r w:rsidRPr="00EE5277">
        <w:rPr>
          <w:b/>
          <w:i/>
          <w:noProof/>
        </w:rPr>
        <w:t>American Journal of Sociology</w:t>
      </w:r>
      <w:r w:rsidRPr="00EE5277">
        <w:rPr>
          <w:noProof/>
        </w:rPr>
        <w:t>, 105(1): 191-236.</w:t>
      </w:r>
      <w:bookmarkEnd w:id="39"/>
    </w:p>
    <w:p w:rsidR="009824DF" w:rsidRPr="00EE5277" w:rsidRDefault="009824DF" w:rsidP="00EE5277">
      <w:pPr>
        <w:rPr>
          <w:noProof/>
        </w:rPr>
      </w:pPr>
      <w:bookmarkStart w:id="40" w:name="_ENREF_19"/>
      <w:r w:rsidRPr="00EE5277">
        <w:rPr>
          <w:noProof/>
        </w:rPr>
        <w:t xml:space="preserve">Heinz, W. R. 2003. Introduction. In W. R. Heinz, &amp; V. W. Marshall (Eds.), </w:t>
      </w:r>
      <w:r w:rsidRPr="00EE5277">
        <w:rPr>
          <w:b/>
          <w:i/>
          <w:noProof/>
        </w:rPr>
        <w:t>Social Dynamics of the Life Course</w:t>
      </w:r>
      <w:r w:rsidRPr="00EE5277">
        <w:rPr>
          <w:noProof/>
        </w:rPr>
        <w:t>: xi-xix. New York: Walter de Gruyter.</w:t>
      </w:r>
      <w:bookmarkEnd w:id="40"/>
    </w:p>
    <w:p w:rsidR="009824DF" w:rsidRPr="00EE5277" w:rsidRDefault="009824DF" w:rsidP="00EE5277">
      <w:pPr>
        <w:rPr>
          <w:noProof/>
        </w:rPr>
      </w:pPr>
      <w:bookmarkStart w:id="41" w:name="_ENREF_20"/>
      <w:r w:rsidRPr="00EE5277">
        <w:rPr>
          <w:noProof/>
        </w:rPr>
        <w:t xml:space="preserve">Hofäcker, D. 2010. </w:t>
      </w:r>
      <w:r w:rsidRPr="00EE5277">
        <w:rPr>
          <w:b/>
          <w:i/>
          <w:noProof/>
        </w:rPr>
        <w:t>Older Workers in a Globalizing World: An International Comparison of Retirement and Late-Career Patterns in Western Industrialized Countries</w:t>
      </w:r>
      <w:r w:rsidRPr="00EE5277">
        <w:rPr>
          <w:noProof/>
        </w:rPr>
        <w:t>. Cheltenham: Edward Elgar.</w:t>
      </w:r>
      <w:bookmarkEnd w:id="41"/>
    </w:p>
    <w:p w:rsidR="009824DF" w:rsidRPr="00EE5277" w:rsidRDefault="009824DF" w:rsidP="00EE5277">
      <w:pPr>
        <w:rPr>
          <w:noProof/>
        </w:rPr>
      </w:pPr>
      <w:bookmarkStart w:id="42" w:name="_ENREF_21"/>
      <w:r w:rsidRPr="00EE5277">
        <w:rPr>
          <w:noProof/>
        </w:rPr>
        <w:t xml:space="preserve">Hughes, R. E. 2001. Deciding to leave but staying: teacher burnout, precursors and turnover. </w:t>
      </w:r>
      <w:r w:rsidRPr="00EE5277">
        <w:rPr>
          <w:b/>
          <w:i/>
          <w:noProof/>
        </w:rPr>
        <w:t>International Journal of Human Resource Management</w:t>
      </w:r>
      <w:r w:rsidRPr="00EE5277">
        <w:rPr>
          <w:noProof/>
        </w:rPr>
        <w:t>, 12(2): 288-298.</w:t>
      </w:r>
      <w:bookmarkEnd w:id="42"/>
    </w:p>
    <w:p w:rsidR="009824DF" w:rsidRPr="00EE5277" w:rsidRDefault="009824DF" w:rsidP="00EE5277">
      <w:pPr>
        <w:rPr>
          <w:noProof/>
        </w:rPr>
      </w:pPr>
      <w:bookmarkStart w:id="43" w:name="_ENREF_22"/>
      <w:r w:rsidRPr="00EE5277">
        <w:rPr>
          <w:noProof/>
        </w:rPr>
        <w:lastRenderedPageBreak/>
        <w:t xml:space="preserve">Hyde, M., Ferrie, J., Higgs, P., Mein, G., &amp; Nazroo, J. 2004. The effects of pre-retirement factors and retirement route on circumstances in retirement: Findings from the Whitehall II study. </w:t>
      </w:r>
      <w:r w:rsidRPr="00EE5277">
        <w:rPr>
          <w:b/>
          <w:i/>
          <w:noProof/>
        </w:rPr>
        <w:t>Ageing &amp; Society</w:t>
      </w:r>
      <w:r w:rsidRPr="00EE5277">
        <w:rPr>
          <w:noProof/>
        </w:rPr>
        <w:t>, 24(2): 279-296.</w:t>
      </w:r>
      <w:bookmarkEnd w:id="43"/>
    </w:p>
    <w:p w:rsidR="009824DF" w:rsidRPr="00EE5277" w:rsidRDefault="009824DF" w:rsidP="00EE5277">
      <w:pPr>
        <w:rPr>
          <w:noProof/>
        </w:rPr>
      </w:pPr>
      <w:bookmarkStart w:id="44" w:name="_ENREF_23"/>
      <w:r w:rsidRPr="00EE5277">
        <w:rPr>
          <w:noProof/>
        </w:rPr>
        <w:t xml:space="preserve">Kim, J. E., &amp; Moen, P. 2002. Retirement transitions, gender, and psychological well-being: A life-course, ecological model. </w:t>
      </w:r>
      <w:r w:rsidRPr="00EE5277">
        <w:rPr>
          <w:b/>
          <w:i/>
          <w:noProof/>
        </w:rPr>
        <w:t>Journal of Gerontology: Psychological Sciences</w:t>
      </w:r>
      <w:r w:rsidRPr="00EE5277">
        <w:rPr>
          <w:noProof/>
        </w:rPr>
        <w:t>, 57</w:t>
      </w:r>
      <w:r w:rsidR="00FC4473">
        <w:rPr>
          <w:noProof/>
        </w:rPr>
        <w:t>B</w:t>
      </w:r>
      <w:r w:rsidRPr="00EE5277">
        <w:rPr>
          <w:noProof/>
        </w:rPr>
        <w:t>(3): 212-222.</w:t>
      </w:r>
      <w:bookmarkEnd w:id="44"/>
    </w:p>
    <w:p w:rsidR="009824DF" w:rsidRPr="00EE5277" w:rsidRDefault="009824DF" w:rsidP="00EE5277">
      <w:pPr>
        <w:rPr>
          <w:noProof/>
        </w:rPr>
      </w:pPr>
      <w:bookmarkStart w:id="45" w:name="_ENREF_24"/>
      <w:r w:rsidRPr="00EE5277">
        <w:rPr>
          <w:noProof/>
        </w:rPr>
        <w:t>Knight, A. 2009. Prejudice against older teachers: Theoretical and methodological inquiries. Nottingham: Thesis submitted to the University of Nottingham for the degree of Doctor of Philosophy. Retrieved from: http://etheses.nottingham.ac.uk/996/1/Thesis.pdf.</w:t>
      </w:r>
      <w:bookmarkEnd w:id="45"/>
    </w:p>
    <w:p w:rsidR="009824DF" w:rsidRPr="00EE5277" w:rsidRDefault="009824DF" w:rsidP="00EE5277">
      <w:pPr>
        <w:rPr>
          <w:noProof/>
        </w:rPr>
      </w:pPr>
      <w:bookmarkStart w:id="46" w:name="_ENREF_25"/>
      <w:r w:rsidRPr="00EE5277">
        <w:rPr>
          <w:noProof/>
        </w:rPr>
        <w:t xml:space="preserve">Macmillan, R., &amp; Eliason, S. R. 2004. Characterizing the life course as role configurations and pathways - A latent structure approach. In J. T. Mortimer, &amp; M. J. Shanahan (Eds.), </w:t>
      </w:r>
      <w:r w:rsidRPr="00EE5277">
        <w:rPr>
          <w:b/>
          <w:i/>
          <w:noProof/>
        </w:rPr>
        <w:t>The Handbook of the Life Course</w:t>
      </w:r>
      <w:r w:rsidRPr="00EE5277">
        <w:rPr>
          <w:noProof/>
        </w:rPr>
        <w:t>: 529-554. New York: Springer.</w:t>
      </w:r>
      <w:bookmarkEnd w:id="46"/>
    </w:p>
    <w:p w:rsidR="009824DF" w:rsidRPr="00EE5277" w:rsidRDefault="009824DF" w:rsidP="00EE5277">
      <w:pPr>
        <w:rPr>
          <w:noProof/>
        </w:rPr>
      </w:pPr>
      <w:bookmarkStart w:id="47" w:name="_ENREF_26"/>
      <w:r w:rsidRPr="00EE5277">
        <w:rPr>
          <w:noProof/>
        </w:rPr>
        <w:t xml:space="preserve">Maltby, T., De Vroom, B., Mirabile, M. L., &amp; Overbye, E. (Eds.). 2004. </w:t>
      </w:r>
      <w:r w:rsidRPr="00EE5277">
        <w:rPr>
          <w:b/>
          <w:i/>
          <w:noProof/>
        </w:rPr>
        <w:t>Ageing and the Transition to Retirement: A Comprehensive Analysis of European Welfare States</w:t>
      </w:r>
      <w:r w:rsidRPr="00EE5277">
        <w:rPr>
          <w:noProof/>
        </w:rPr>
        <w:t>. Aldershot: Ashgate.</w:t>
      </w:r>
      <w:bookmarkEnd w:id="47"/>
    </w:p>
    <w:p w:rsidR="009824DF" w:rsidRPr="00EE5277" w:rsidRDefault="009824DF" w:rsidP="00EE5277">
      <w:pPr>
        <w:rPr>
          <w:noProof/>
        </w:rPr>
      </w:pPr>
      <w:bookmarkStart w:id="48" w:name="_ENREF_27"/>
      <w:r w:rsidRPr="00EE5277">
        <w:rPr>
          <w:noProof/>
        </w:rPr>
        <w:t xml:space="preserve">Marmot, M. G., Banks, J., Blundell, R., Lessof, C., &amp; Nazroo, J. 2003. </w:t>
      </w:r>
      <w:r w:rsidRPr="00EE5277">
        <w:rPr>
          <w:b/>
          <w:i/>
          <w:noProof/>
        </w:rPr>
        <w:t>Health, Wealth and Lifestyles of the Older Population in England: The 2002 English Longitudinal Study of Ageing</w:t>
      </w:r>
      <w:r w:rsidRPr="00EE5277">
        <w:rPr>
          <w:noProof/>
        </w:rPr>
        <w:t>. London: Institute for Fiscal Studies.</w:t>
      </w:r>
      <w:bookmarkEnd w:id="48"/>
    </w:p>
    <w:p w:rsidR="009824DF" w:rsidRPr="00EE5277" w:rsidRDefault="009824DF" w:rsidP="00EE5277">
      <w:pPr>
        <w:rPr>
          <w:noProof/>
        </w:rPr>
      </w:pPr>
      <w:bookmarkStart w:id="49" w:name="_ENREF_28"/>
      <w:r w:rsidRPr="00EE5277">
        <w:rPr>
          <w:noProof/>
        </w:rPr>
        <w:t xml:space="preserve">Marshall, V. W., Clarke, P. J., &amp; Ballantyne, P. J. 2001. Instability in the retirement transition: Effects on health and well-being in a Canadian study. </w:t>
      </w:r>
      <w:r w:rsidRPr="00EE5277">
        <w:rPr>
          <w:b/>
          <w:i/>
          <w:noProof/>
        </w:rPr>
        <w:t>Research on Aging</w:t>
      </w:r>
      <w:r w:rsidRPr="00EE5277">
        <w:rPr>
          <w:noProof/>
        </w:rPr>
        <w:t>, 23: 379-409</w:t>
      </w:r>
    </w:p>
    <w:p w:rsidR="009824DF" w:rsidRPr="00EE5277" w:rsidRDefault="009824DF" w:rsidP="00EE5277">
      <w:pPr>
        <w:rPr>
          <w:noProof/>
        </w:rPr>
      </w:pPr>
      <w:bookmarkStart w:id="50" w:name="_ENREF_29"/>
      <w:bookmarkEnd w:id="49"/>
      <w:r w:rsidRPr="000F7C33">
        <w:rPr>
          <w:noProof/>
          <w:lang w:val="en-US"/>
        </w:rPr>
        <w:t xml:space="preserve">Marshall, V. W., &amp; Mueller, M. M. 2003. </w:t>
      </w:r>
      <w:r w:rsidRPr="00EE5277">
        <w:rPr>
          <w:noProof/>
        </w:rPr>
        <w:t xml:space="preserve">Theoretical roots of the life course perspective. In W. R. Heinz, &amp; V. W. Marshall (Eds.), </w:t>
      </w:r>
      <w:r w:rsidRPr="00EE5277">
        <w:rPr>
          <w:b/>
          <w:i/>
          <w:noProof/>
        </w:rPr>
        <w:t>Social Dynamics of the Life Course</w:t>
      </w:r>
      <w:r w:rsidRPr="00EE5277">
        <w:rPr>
          <w:noProof/>
        </w:rPr>
        <w:t>: 3-32. New York: Walter de Gruyter.</w:t>
      </w:r>
      <w:bookmarkEnd w:id="50"/>
    </w:p>
    <w:p w:rsidR="009824DF" w:rsidRPr="00EE5277" w:rsidRDefault="009824DF" w:rsidP="00EE5277">
      <w:pPr>
        <w:rPr>
          <w:noProof/>
        </w:rPr>
      </w:pPr>
      <w:bookmarkStart w:id="51" w:name="_ENREF_30"/>
      <w:r w:rsidRPr="00EE5277">
        <w:rPr>
          <w:noProof/>
        </w:rPr>
        <w:t xml:space="preserve">Mayer, K. U. 2004. Whose lives? How history, societies and institutions define and shape life courses. </w:t>
      </w:r>
      <w:r w:rsidRPr="00EE5277">
        <w:rPr>
          <w:b/>
          <w:i/>
          <w:noProof/>
        </w:rPr>
        <w:t>Research in Human Development</w:t>
      </w:r>
      <w:r w:rsidRPr="00EE5277">
        <w:rPr>
          <w:noProof/>
        </w:rPr>
        <w:t>, 1(3): 167-187.</w:t>
      </w:r>
      <w:bookmarkEnd w:id="51"/>
    </w:p>
    <w:p w:rsidR="009824DF" w:rsidRPr="00EE5277" w:rsidRDefault="009824DF" w:rsidP="00EE5277">
      <w:pPr>
        <w:rPr>
          <w:noProof/>
        </w:rPr>
      </w:pPr>
      <w:bookmarkStart w:id="52" w:name="_ENREF_31"/>
      <w:r w:rsidRPr="00EE5277">
        <w:rPr>
          <w:noProof/>
        </w:rPr>
        <w:lastRenderedPageBreak/>
        <w:t xml:space="preserve">McLeod, J. D., &amp; Almazan, E. P. 2004. Connections between childhood and adulthood. In J. T. Mortimer, &amp; M. J. Shanahan (Eds.), </w:t>
      </w:r>
      <w:r w:rsidRPr="00EE5277">
        <w:rPr>
          <w:b/>
          <w:i/>
          <w:noProof/>
        </w:rPr>
        <w:t>The Handbook of the Life Course</w:t>
      </w:r>
      <w:r w:rsidRPr="00EE5277">
        <w:rPr>
          <w:noProof/>
        </w:rPr>
        <w:t>: 391-411. New York: Springer.</w:t>
      </w:r>
      <w:bookmarkEnd w:id="52"/>
    </w:p>
    <w:p w:rsidR="009824DF" w:rsidRPr="00EE5277" w:rsidRDefault="009824DF" w:rsidP="00EE5277">
      <w:pPr>
        <w:rPr>
          <w:noProof/>
        </w:rPr>
      </w:pPr>
      <w:bookmarkStart w:id="53" w:name="_ENREF_32"/>
      <w:r w:rsidRPr="00EE5277">
        <w:rPr>
          <w:noProof/>
        </w:rPr>
        <w:t xml:space="preserve">McLeskey, J., Tyler, N. C., &amp; Flippin, S. S. 2004. The supply of and demand for special education teachers: A review of research regarding the chronic shortage of special education teachers. </w:t>
      </w:r>
      <w:r w:rsidRPr="00EE5277">
        <w:rPr>
          <w:b/>
          <w:i/>
          <w:noProof/>
        </w:rPr>
        <w:t>The Journal of Special Education</w:t>
      </w:r>
      <w:r w:rsidRPr="00EE5277">
        <w:rPr>
          <w:noProof/>
        </w:rPr>
        <w:t>, 38(1): 5-21.</w:t>
      </w:r>
      <w:bookmarkEnd w:id="53"/>
    </w:p>
    <w:p w:rsidR="009824DF" w:rsidRPr="00EE5277" w:rsidRDefault="009824DF" w:rsidP="00EE5277">
      <w:pPr>
        <w:rPr>
          <w:noProof/>
        </w:rPr>
      </w:pPr>
      <w:bookmarkStart w:id="54" w:name="_ENREF_33"/>
      <w:r w:rsidRPr="00EE5277">
        <w:rPr>
          <w:noProof/>
        </w:rPr>
        <w:t xml:space="preserve">Menter, I. 2002. Border crossing: Teacher supply and retention in England and Scotland. </w:t>
      </w:r>
      <w:r w:rsidRPr="00EE5277">
        <w:rPr>
          <w:b/>
          <w:i/>
          <w:noProof/>
        </w:rPr>
        <w:t>Scottish Educational Review</w:t>
      </w:r>
      <w:r w:rsidRPr="00EE5277">
        <w:rPr>
          <w:noProof/>
        </w:rPr>
        <w:t>, 34: 40-50.</w:t>
      </w:r>
      <w:bookmarkEnd w:id="54"/>
    </w:p>
    <w:p w:rsidR="009824DF" w:rsidRPr="00EE5277" w:rsidRDefault="009824DF" w:rsidP="00EE5277">
      <w:pPr>
        <w:rPr>
          <w:noProof/>
        </w:rPr>
      </w:pPr>
      <w:bookmarkStart w:id="55" w:name="_ENREF_34"/>
      <w:r w:rsidRPr="00EE5277">
        <w:rPr>
          <w:noProof/>
        </w:rPr>
        <w:t xml:space="preserve">Moen, P. 2004. Midcourse - Navigating retirement and a new life stage. In J. T. Mortimer, &amp; M. J. Shanahan (Eds.), </w:t>
      </w:r>
      <w:r w:rsidRPr="00EE5277">
        <w:rPr>
          <w:b/>
          <w:i/>
          <w:noProof/>
        </w:rPr>
        <w:t>Handbook of the Life Course</w:t>
      </w:r>
      <w:r w:rsidRPr="00EE5277">
        <w:rPr>
          <w:noProof/>
        </w:rPr>
        <w:t>: 269-291. New York: Springer.</w:t>
      </w:r>
      <w:bookmarkEnd w:id="55"/>
    </w:p>
    <w:p w:rsidR="009824DF" w:rsidRPr="00EE5277" w:rsidRDefault="009824DF" w:rsidP="00EE5277">
      <w:pPr>
        <w:rPr>
          <w:noProof/>
        </w:rPr>
      </w:pPr>
      <w:bookmarkStart w:id="56" w:name="_ENREF_35"/>
      <w:r w:rsidRPr="00EE5277">
        <w:rPr>
          <w:noProof/>
        </w:rPr>
        <w:t xml:space="preserve">Neugarten, B. L., &amp; Hagestad, G. O. 1976. Age and the life course. In R. H. Binstock, &amp; E. Shanas (Eds.), </w:t>
      </w:r>
      <w:r w:rsidRPr="00EE5277">
        <w:rPr>
          <w:b/>
          <w:i/>
          <w:noProof/>
        </w:rPr>
        <w:t>Handbook of Aging and the Social Sciences</w:t>
      </w:r>
      <w:r w:rsidRPr="00EE5277">
        <w:rPr>
          <w:noProof/>
        </w:rPr>
        <w:t>: 35-55. New York: Van Nostrand Reinhold.</w:t>
      </w:r>
      <w:bookmarkEnd w:id="56"/>
    </w:p>
    <w:p w:rsidR="009824DF" w:rsidRPr="00EE5277" w:rsidRDefault="009824DF" w:rsidP="00EE5277">
      <w:pPr>
        <w:rPr>
          <w:noProof/>
        </w:rPr>
      </w:pPr>
      <w:bookmarkStart w:id="57" w:name="_ENREF_36"/>
      <w:r w:rsidRPr="00EE5277">
        <w:rPr>
          <w:noProof/>
        </w:rPr>
        <w:t xml:space="preserve">OECD. 2003a. </w:t>
      </w:r>
      <w:r w:rsidRPr="00EE5277">
        <w:rPr>
          <w:b/>
          <w:i/>
          <w:noProof/>
        </w:rPr>
        <w:t>Attracting, developing and retaining effective teachers - OECD Activity - Country Background Report for the Federal Republic of Germany</w:t>
      </w:r>
      <w:r w:rsidRPr="00EE5277">
        <w:rPr>
          <w:noProof/>
        </w:rPr>
        <w:t>. Paris: OECD.</w:t>
      </w:r>
      <w:bookmarkEnd w:id="57"/>
    </w:p>
    <w:p w:rsidR="009824DF" w:rsidRPr="00EE5277" w:rsidRDefault="009824DF" w:rsidP="00EE5277">
      <w:pPr>
        <w:rPr>
          <w:noProof/>
        </w:rPr>
      </w:pPr>
      <w:bookmarkStart w:id="58" w:name="_ENREF_37"/>
      <w:r w:rsidRPr="00EE5277">
        <w:rPr>
          <w:noProof/>
        </w:rPr>
        <w:t xml:space="preserve">OECD. 2003b. </w:t>
      </w:r>
      <w:r w:rsidRPr="00EE5277">
        <w:rPr>
          <w:b/>
          <w:i/>
          <w:noProof/>
        </w:rPr>
        <w:t>Attracting, developing and retaining effective teachers in the United Kingdom of Great-Britain and Northern Ireland - OECD country background report</w:t>
      </w:r>
      <w:r w:rsidRPr="00EE5277">
        <w:rPr>
          <w:noProof/>
        </w:rPr>
        <w:t>. Paris: OECD.</w:t>
      </w:r>
      <w:bookmarkEnd w:id="58"/>
    </w:p>
    <w:p w:rsidR="009824DF" w:rsidRPr="00EE5277" w:rsidRDefault="009824DF" w:rsidP="00EE5277">
      <w:pPr>
        <w:rPr>
          <w:noProof/>
        </w:rPr>
      </w:pPr>
      <w:bookmarkStart w:id="59" w:name="_ENREF_38"/>
      <w:r w:rsidRPr="00EE5277">
        <w:rPr>
          <w:noProof/>
        </w:rPr>
        <w:t xml:space="preserve">OECD. 2005. Teachers matter - Attracting, developing and retaining effective teachers, </w:t>
      </w:r>
      <w:r w:rsidRPr="00EE5277">
        <w:rPr>
          <w:b/>
          <w:i/>
          <w:noProof/>
        </w:rPr>
        <w:t>Education and Training Policy</w:t>
      </w:r>
      <w:r w:rsidRPr="00EE5277">
        <w:rPr>
          <w:noProof/>
        </w:rPr>
        <w:t>. Paris: OECD.</w:t>
      </w:r>
      <w:bookmarkEnd w:id="59"/>
    </w:p>
    <w:p w:rsidR="009824DF" w:rsidRPr="00EE5277" w:rsidRDefault="009824DF" w:rsidP="00EE5277">
      <w:pPr>
        <w:rPr>
          <w:noProof/>
        </w:rPr>
      </w:pPr>
      <w:bookmarkStart w:id="60" w:name="_ENREF_39"/>
      <w:r w:rsidRPr="00EE5277">
        <w:rPr>
          <w:noProof/>
        </w:rPr>
        <w:t xml:space="preserve">OECD. 2006. </w:t>
      </w:r>
      <w:r w:rsidRPr="00EE5277">
        <w:rPr>
          <w:b/>
          <w:i/>
          <w:noProof/>
        </w:rPr>
        <w:t>Ageing and Employment Policies: Live Longer, Work Longer</w:t>
      </w:r>
      <w:r w:rsidRPr="00EE5277">
        <w:rPr>
          <w:noProof/>
        </w:rPr>
        <w:t>. Paris: OECD.</w:t>
      </w:r>
      <w:bookmarkEnd w:id="60"/>
    </w:p>
    <w:p w:rsidR="009824DF" w:rsidRPr="00EE5277" w:rsidRDefault="009824DF" w:rsidP="00EE5277">
      <w:pPr>
        <w:rPr>
          <w:noProof/>
        </w:rPr>
      </w:pPr>
      <w:bookmarkStart w:id="61" w:name="_ENREF_40"/>
      <w:r w:rsidRPr="00EE5277">
        <w:rPr>
          <w:noProof/>
        </w:rPr>
        <w:t xml:space="preserve">Platman, K. 2003. The self-designed career in later life: A study of older portfolio workers in the United Kingdom. </w:t>
      </w:r>
      <w:r w:rsidRPr="00EE5277">
        <w:rPr>
          <w:b/>
          <w:i/>
          <w:noProof/>
        </w:rPr>
        <w:t>Ageing &amp; Society</w:t>
      </w:r>
      <w:r w:rsidRPr="00EE5277">
        <w:rPr>
          <w:noProof/>
        </w:rPr>
        <w:t>, 23(3): 281-302.</w:t>
      </w:r>
      <w:bookmarkEnd w:id="61"/>
    </w:p>
    <w:p w:rsidR="009824DF" w:rsidRPr="00EE5277" w:rsidRDefault="009824DF" w:rsidP="00EE5277">
      <w:pPr>
        <w:rPr>
          <w:noProof/>
        </w:rPr>
      </w:pPr>
      <w:bookmarkStart w:id="62" w:name="_ENREF_41"/>
      <w:r w:rsidRPr="00EE5277">
        <w:rPr>
          <w:noProof/>
        </w:rPr>
        <w:t xml:space="preserve">Redman, T., &amp; Snape, E. 2002. Ageism in teaching: Stereotypical beliefs and discriminatory attitudes towards the over 50s. </w:t>
      </w:r>
      <w:r w:rsidRPr="00EE5277">
        <w:rPr>
          <w:b/>
          <w:i/>
          <w:noProof/>
        </w:rPr>
        <w:t>Work Employment and Society</w:t>
      </w:r>
      <w:r w:rsidRPr="00EE5277">
        <w:rPr>
          <w:noProof/>
        </w:rPr>
        <w:t>, 16(2): 355-371.</w:t>
      </w:r>
      <w:bookmarkEnd w:id="62"/>
    </w:p>
    <w:p w:rsidR="009824DF" w:rsidRPr="00EE5277" w:rsidRDefault="009824DF" w:rsidP="00EE5277">
      <w:pPr>
        <w:rPr>
          <w:noProof/>
        </w:rPr>
      </w:pPr>
      <w:bookmarkStart w:id="63" w:name="_ENREF_42"/>
      <w:r w:rsidRPr="00EE5277">
        <w:rPr>
          <w:noProof/>
        </w:rPr>
        <w:lastRenderedPageBreak/>
        <w:t xml:space="preserve">Skaalvik, E. M., &amp; Skaalvik, S. 2010. Teacher self-efficacy and teacher burnout: A study of relations. </w:t>
      </w:r>
      <w:r w:rsidRPr="00EE5277">
        <w:rPr>
          <w:b/>
          <w:i/>
          <w:noProof/>
        </w:rPr>
        <w:t>Teaching and Teacher Education</w:t>
      </w:r>
      <w:r w:rsidRPr="00EE5277">
        <w:rPr>
          <w:noProof/>
        </w:rPr>
        <w:t>, 26(4): 1059-1069.</w:t>
      </w:r>
      <w:bookmarkEnd w:id="63"/>
    </w:p>
    <w:p w:rsidR="009824DF" w:rsidRPr="00EE5277" w:rsidRDefault="009824DF" w:rsidP="00EE5277">
      <w:pPr>
        <w:rPr>
          <w:noProof/>
        </w:rPr>
      </w:pPr>
      <w:bookmarkStart w:id="64" w:name="_ENREF_43"/>
      <w:r w:rsidRPr="00EE5277">
        <w:rPr>
          <w:noProof/>
        </w:rPr>
        <w:t xml:space="preserve">Smithers, A., &amp; Robinson, P. 2004. </w:t>
      </w:r>
      <w:r w:rsidRPr="00EE5277">
        <w:rPr>
          <w:b/>
          <w:i/>
          <w:noProof/>
        </w:rPr>
        <w:t>Teacher Turnover, Wastage and Destinations</w:t>
      </w:r>
      <w:r w:rsidRPr="00EE5277">
        <w:rPr>
          <w:noProof/>
        </w:rPr>
        <w:t>. Nottingham: Department for Education and Skills.</w:t>
      </w:r>
      <w:bookmarkEnd w:id="64"/>
    </w:p>
    <w:p w:rsidR="009824DF" w:rsidRPr="00EE5277" w:rsidRDefault="009824DF" w:rsidP="00EE5277">
      <w:pPr>
        <w:rPr>
          <w:noProof/>
          <w:lang w:val="de-DE"/>
        </w:rPr>
      </w:pPr>
      <w:bookmarkStart w:id="65" w:name="_ENREF_44"/>
      <w:r w:rsidRPr="00EE5277">
        <w:rPr>
          <w:noProof/>
        </w:rPr>
        <w:t xml:space="preserve">Stake, R. E. 2005. Qualitative case studies. In N. K. Denzin, &amp; Y. S. Lincoln (Eds.), </w:t>
      </w:r>
      <w:r w:rsidRPr="00EE5277">
        <w:rPr>
          <w:b/>
          <w:i/>
          <w:noProof/>
        </w:rPr>
        <w:t>The Sage Handbook of Qualitative Research</w:t>
      </w:r>
      <w:r w:rsidRPr="00EE5277">
        <w:rPr>
          <w:noProof/>
        </w:rPr>
        <w:t xml:space="preserve">, 3 ed.: 411-442. </w:t>
      </w:r>
      <w:r w:rsidRPr="00EE5277">
        <w:rPr>
          <w:noProof/>
          <w:lang w:val="de-DE"/>
        </w:rPr>
        <w:t>Thousand Oaks: Sage.</w:t>
      </w:r>
      <w:bookmarkEnd w:id="65"/>
    </w:p>
    <w:p w:rsidR="009824DF" w:rsidRPr="00EE5277" w:rsidRDefault="009824DF" w:rsidP="00EE5277">
      <w:pPr>
        <w:rPr>
          <w:noProof/>
          <w:lang w:val="de-DE"/>
        </w:rPr>
      </w:pPr>
      <w:bookmarkStart w:id="66" w:name="_ENREF_45"/>
      <w:r w:rsidRPr="00EE5277">
        <w:rPr>
          <w:noProof/>
          <w:lang w:val="de-DE"/>
        </w:rPr>
        <w:t xml:space="preserve">Terhart, E. 2010. Personalauswahl, Personaleinsatz und Personalentwicklung an Schulen. In H. Altrichter, &amp; K. Maag Merki (Eds.), </w:t>
      </w:r>
      <w:r w:rsidRPr="00EE5277">
        <w:rPr>
          <w:b/>
          <w:i/>
          <w:noProof/>
          <w:lang w:val="de-DE"/>
        </w:rPr>
        <w:t>Handbuch Neue Steuerung im Schulsystem</w:t>
      </w:r>
      <w:r w:rsidRPr="00EE5277">
        <w:rPr>
          <w:noProof/>
          <w:lang w:val="de-DE"/>
        </w:rPr>
        <w:t>: 255-275. Wiesbaden: VS Verlag für Sozialwissenschaften.</w:t>
      </w:r>
      <w:bookmarkEnd w:id="66"/>
    </w:p>
    <w:p w:rsidR="009824DF" w:rsidRPr="00EE5277" w:rsidRDefault="009824DF" w:rsidP="00EE5277">
      <w:pPr>
        <w:rPr>
          <w:noProof/>
          <w:lang w:val="de-DE"/>
        </w:rPr>
      </w:pPr>
      <w:bookmarkStart w:id="67" w:name="_ENREF_46"/>
      <w:r w:rsidRPr="00EE5277">
        <w:rPr>
          <w:noProof/>
          <w:lang w:val="de-DE"/>
        </w:rPr>
        <w:t xml:space="preserve">Terhart, E., Czerwenka, K., Ehrlich, K., Jordan, F., &amp; Schmidt, H. J. 1994. </w:t>
      </w:r>
      <w:r w:rsidRPr="00EE5277">
        <w:rPr>
          <w:b/>
          <w:i/>
          <w:noProof/>
          <w:lang w:val="de-DE"/>
        </w:rPr>
        <w:t>Berufsbiographien von Lehrerinnen und Lehrern</w:t>
      </w:r>
      <w:r w:rsidRPr="00EE5277">
        <w:rPr>
          <w:noProof/>
          <w:lang w:val="de-DE"/>
        </w:rPr>
        <w:t>. Frankfurt/Main: Peter Lang.</w:t>
      </w:r>
      <w:bookmarkEnd w:id="67"/>
    </w:p>
    <w:p w:rsidR="009824DF" w:rsidRPr="00EE5277" w:rsidRDefault="009824DF" w:rsidP="00EE5277">
      <w:pPr>
        <w:rPr>
          <w:noProof/>
        </w:rPr>
      </w:pPr>
      <w:bookmarkStart w:id="68" w:name="_ENREF_47"/>
      <w:r w:rsidRPr="00EE5277">
        <w:rPr>
          <w:noProof/>
          <w:lang w:val="de-DE"/>
        </w:rPr>
        <w:t xml:space="preserve">Troman, G., &amp; Woods, P. 2000. </w:t>
      </w:r>
      <w:r w:rsidRPr="00EE5277">
        <w:rPr>
          <w:noProof/>
        </w:rPr>
        <w:t xml:space="preserve">Careers under stress: Teacher adaptations at a time of intensive reform. </w:t>
      </w:r>
      <w:r w:rsidRPr="00EE5277">
        <w:rPr>
          <w:b/>
          <w:i/>
          <w:noProof/>
        </w:rPr>
        <w:t>Journal of Educational Change</w:t>
      </w:r>
      <w:r w:rsidRPr="00EE5277">
        <w:rPr>
          <w:noProof/>
        </w:rPr>
        <w:t>, 1(3): 253-275.</w:t>
      </w:r>
      <w:bookmarkEnd w:id="68"/>
    </w:p>
    <w:p w:rsidR="009824DF" w:rsidRPr="00EE5277" w:rsidRDefault="009824DF" w:rsidP="00EE5277">
      <w:pPr>
        <w:rPr>
          <w:noProof/>
        </w:rPr>
      </w:pPr>
      <w:bookmarkStart w:id="69" w:name="_ENREF_48"/>
      <w:r w:rsidRPr="00EE5277">
        <w:rPr>
          <w:noProof/>
        </w:rPr>
        <w:t xml:space="preserve">Vickerstaff, S., &amp; Cox, J. 2005. Retirement and risk: The individualisation of retirement experiences? </w:t>
      </w:r>
      <w:r w:rsidRPr="00EE5277">
        <w:rPr>
          <w:b/>
          <w:i/>
          <w:noProof/>
        </w:rPr>
        <w:t>The Sociological Review</w:t>
      </w:r>
      <w:r w:rsidRPr="00EE5277">
        <w:rPr>
          <w:noProof/>
        </w:rPr>
        <w:t>, 53(1): 77-95.</w:t>
      </w:r>
      <w:bookmarkEnd w:id="69"/>
    </w:p>
    <w:p w:rsidR="009824DF" w:rsidRPr="00EE5277" w:rsidRDefault="009824DF" w:rsidP="00EE5277">
      <w:pPr>
        <w:rPr>
          <w:noProof/>
        </w:rPr>
      </w:pPr>
      <w:bookmarkStart w:id="70" w:name="_ENREF_49"/>
      <w:r w:rsidRPr="00EE5277">
        <w:rPr>
          <w:noProof/>
        </w:rPr>
        <w:t xml:space="preserve">Wethington, E., Cooper, H., &amp; Holmes, C. S. 1997. Turning points in mid life. In I. H. Gotlib, &amp; B. Weathon (Eds.), </w:t>
      </w:r>
      <w:r w:rsidRPr="00EE5277">
        <w:rPr>
          <w:b/>
          <w:i/>
          <w:noProof/>
        </w:rPr>
        <w:t>Stress and Adversity over the Life Course: Trajectories and Turning Points</w:t>
      </w:r>
      <w:r w:rsidRPr="00EE5277">
        <w:rPr>
          <w:noProof/>
        </w:rPr>
        <w:t>: 215-231. New York: Cambridge University Press.</w:t>
      </w:r>
      <w:bookmarkEnd w:id="70"/>
    </w:p>
    <w:p w:rsidR="00A94137" w:rsidRDefault="009824DF">
      <w:bookmarkStart w:id="71" w:name="_ENREF_50"/>
      <w:r w:rsidRPr="00EE5277">
        <w:rPr>
          <w:noProof/>
        </w:rPr>
        <w:t xml:space="preserve">Yin, R. K. 2009. </w:t>
      </w:r>
      <w:r w:rsidRPr="00EE5277">
        <w:rPr>
          <w:b/>
          <w:i/>
          <w:noProof/>
        </w:rPr>
        <w:t>Case Study Research : Design and Methods</w:t>
      </w:r>
      <w:r w:rsidRPr="00EE5277">
        <w:rPr>
          <w:noProof/>
        </w:rPr>
        <w:t xml:space="preserve"> (4 ed.). Thousand Oaks: Sage.</w:t>
      </w:r>
      <w:bookmarkEnd w:id="71"/>
    </w:p>
    <w:sectPr w:rsidR="00A94137" w:rsidSect="00A9413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47A" w:rsidRDefault="00BD347A" w:rsidP="009824DF">
      <w:pPr>
        <w:spacing w:line="240" w:lineRule="auto"/>
      </w:pPr>
      <w:r>
        <w:separator/>
      </w:r>
    </w:p>
  </w:endnote>
  <w:endnote w:type="continuationSeparator" w:id="0">
    <w:p w:rsidR="00BD347A" w:rsidRDefault="00BD347A" w:rsidP="009824DF">
      <w:pPr>
        <w:spacing w:line="240" w:lineRule="auto"/>
      </w:pPr>
      <w:r>
        <w:continuationSeparator/>
      </w:r>
    </w:p>
  </w:endnote>
  <w:endnote w:id="1">
    <w:p w:rsidR="006343BD" w:rsidRPr="00EA05A8" w:rsidRDefault="006343BD">
      <w:pPr>
        <w:pStyle w:val="Endnotentext"/>
        <w:rPr>
          <w:lang w:val="en-US"/>
        </w:rPr>
      </w:pPr>
      <w:r>
        <w:rPr>
          <w:rStyle w:val="Endnotenzeichen"/>
        </w:rPr>
        <w:endnoteRef/>
      </w:r>
      <w:r>
        <w:t xml:space="preserve"> </w:t>
      </w:r>
      <w:r w:rsidRPr="00CC1607">
        <w:t>The wastage rate refers to those teachers who leave full-time employment at one school without taking up full-time employment at another school.</w:t>
      </w:r>
    </w:p>
  </w:endnote>
  <w:endnote w:id="2">
    <w:p w:rsidR="006343BD" w:rsidRPr="001E1C7C" w:rsidRDefault="006343BD">
      <w:pPr>
        <w:pStyle w:val="Endnotentext"/>
        <w:rPr>
          <w:lang w:val="en-US"/>
        </w:rPr>
      </w:pPr>
      <w:r>
        <w:rPr>
          <w:rStyle w:val="Endnotenzeichen"/>
        </w:rPr>
        <w:endnoteRef/>
      </w:r>
      <w:r>
        <w:t xml:space="preserve"> </w:t>
      </w:r>
      <w:r w:rsidRPr="00CC1607">
        <w:t>In Germany, side-entrants are university graduates who did not follow university degree programmes to become a teacher, who, however, have degrees in one or more of the skill shortage subjects. These individuals are offered to complete the second, practical, phase of the teacher training.</w:t>
      </w:r>
    </w:p>
  </w:endnote>
  <w:endnote w:id="3">
    <w:p w:rsidR="006343BD" w:rsidRDefault="006343BD">
      <w:pPr>
        <w:pStyle w:val="Endnotentext"/>
      </w:pPr>
      <w:r>
        <w:rPr>
          <w:rStyle w:val="Endnotenzeichen"/>
        </w:rPr>
        <w:endnoteRef/>
      </w:r>
      <w:r>
        <w:t xml:space="preserve"> </w:t>
      </w:r>
      <w:r w:rsidRPr="000E64B1">
        <w:t xml:space="preserve">In Germany, </w:t>
      </w:r>
      <w:r>
        <w:t>"</w:t>
      </w:r>
      <w:r w:rsidRPr="000E64B1">
        <w:t>Gesamtschulen</w:t>
      </w:r>
      <w:r>
        <w:t>"</w:t>
      </w:r>
      <w:r w:rsidRPr="000E64B1">
        <w:t xml:space="preserve"> were selected in order to most closely match the student </w:t>
      </w:r>
      <w:r>
        <w:t xml:space="preserve">performance </w:t>
      </w:r>
      <w:r w:rsidRPr="000E64B1">
        <w:t xml:space="preserve">structure of the respective </w:t>
      </w:r>
      <w:r>
        <w:t xml:space="preserve">German </w:t>
      </w:r>
      <w:r w:rsidRPr="000E64B1">
        <w:t>school with the British comprehensive school.</w:t>
      </w:r>
    </w:p>
    <w:p w:rsidR="006343BD" w:rsidRPr="0095594B" w:rsidRDefault="006343BD">
      <w:pPr>
        <w:pStyle w:val="Endnotentext"/>
        <w:rPr>
          <w:lang w:val="en-US"/>
        </w:rPr>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575045"/>
      <w:docPartObj>
        <w:docPartGallery w:val="Page Numbers (Bottom of Page)"/>
        <w:docPartUnique/>
      </w:docPartObj>
    </w:sdtPr>
    <w:sdtContent>
      <w:p w:rsidR="006343BD" w:rsidRDefault="006343BD">
        <w:pPr>
          <w:pStyle w:val="Fuzeile"/>
          <w:jc w:val="right"/>
        </w:pPr>
        <w:fldSimple w:instr=" PAGE   \* MERGEFORMAT ">
          <w:r w:rsidR="00A709DE">
            <w:rPr>
              <w:noProof/>
            </w:rPr>
            <w:t>4</w:t>
          </w:r>
        </w:fldSimple>
      </w:p>
    </w:sdtContent>
  </w:sdt>
  <w:p w:rsidR="006343BD" w:rsidRDefault="006343B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47A" w:rsidRDefault="00BD347A" w:rsidP="009824DF">
      <w:pPr>
        <w:spacing w:line="240" w:lineRule="auto"/>
      </w:pPr>
      <w:r>
        <w:separator/>
      </w:r>
    </w:p>
  </w:footnote>
  <w:footnote w:type="continuationSeparator" w:id="0">
    <w:p w:rsidR="00BD347A" w:rsidRDefault="00BD347A" w:rsidP="009824D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proofState w:spelling="clean"/>
  <w:defaultTabStop w:val="708"/>
  <w:hyphenationZone w:val="425"/>
  <w:characterSpacingControl w:val="doNotCompress"/>
  <w:footnotePr>
    <w:footnote w:id="-1"/>
    <w:footnote w:id="0"/>
  </w:footnotePr>
  <w:endnotePr>
    <w:endnote w:id="-1"/>
    <w:endnote w:id="0"/>
  </w:endnotePr>
  <w:compat/>
  <w:docVars>
    <w:docVar w:name="EN.InstantFormat" w:val="&lt;ENInstantFormat&gt;&lt;Enabled&gt;0&lt;/Enabled&gt;&lt;ScanUnformatted&gt;1&lt;/ScanUnformatted&gt;&lt;ScanChanges&gt;1&lt;/ScanChanges&gt;&lt;/ENInstantFormat&gt;"/>
  </w:docVars>
  <w:rsids>
    <w:rsidRoot w:val="009824DF"/>
    <w:rsid w:val="00045717"/>
    <w:rsid w:val="000F7C33"/>
    <w:rsid w:val="001357F8"/>
    <w:rsid w:val="00142D47"/>
    <w:rsid w:val="0019255E"/>
    <w:rsid w:val="001A5F86"/>
    <w:rsid w:val="001B6A5C"/>
    <w:rsid w:val="001E1C7C"/>
    <w:rsid w:val="00256592"/>
    <w:rsid w:val="002648A9"/>
    <w:rsid w:val="00275ED0"/>
    <w:rsid w:val="00275F6F"/>
    <w:rsid w:val="002D197A"/>
    <w:rsid w:val="003D1D18"/>
    <w:rsid w:val="00492560"/>
    <w:rsid w:val="004C4C76"/>
    <w:rsid w:val="004D600A"/>
    <w:rsid w:val="0051107D"/>
    <w:rsid w:val="00531C89"/>
    <w:rsid w:val="005455EA"/>
    <w:rsid w:val="005713CD"/>
    <w:rsid w:val="00574746"/>
    <w:rsid w:val="006056B6"/>
    <w:rsid w:val="006343BD"/>
    <w:rsid w:val="00663B96"/>
    <w:rsid w:val="00697D7B"/>
    <w:rsid w:val="006F5A29"/>
    <w:rsid w:val="007403F2"/>
    <w:rsid w:val="007A6D8E"/>
    <w:rsid w:val="007C45ED"/>
    <w:rsid w:val="00807A6A"/>
    <w:rsid w:val="008520EB"/>
    <w:rsid w:val="00854A1F"/>
    <w:rsid w:val="00905B62"/>
    <w:rsid w:val="009225C2"/>
    <w:rsid w:val="0095594B"/>
    <w:rsid w:val="00981041"/>
    <w:rsid w:val="00981B65"/>
    <w:rsid w:val="009824DF"/>
    <w:rsid w:val="0098513B"/>
    <w:rsid w:val="009B0084"/>
    <w:rsid w:val="00A03CE1"/>
    <w:rsid w:val="00A709DE"/>
    <w:rsid w:val="00A94137"/>
    <w:rsid w:val="00AC507B"/>
    <w:rsid w:val="00AF2B1A"/>
    <w:rsid w:val="00B01D18"/>
    <w:rsid w:val="00B57EF2"/>
    <w:rsid w:val="00BD347A"/>
    <w:rsid w:val="00C55AEB"/>
    <w:rsid w:val="00C6436B"/>
    <w:rsid w:val="00CC1607"/>
    <w:rsid w:val="00CE1CCE"/>
    <w:rsid w:val="00D55B65"/>
    <w:rsid w:val="00E97875"/>
    <w:rsid w:val="00EA05A8"/>
    <w:rsid w:val="00ED324C"/>
    <w:rsid w:val="00EE5277"/>
    <w:rsid w:val="00FB6D76"/>
    <w:rsid w:val="00FC1C00"/>
    <w:rsid w:val="00FC447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24DF"/>
    <w:pPr>
      <w:autoSpaceDE w:val="0"/>
      <w:autoSpaceDN w:val="0"/>
      <w:adjustRightInd w:val="0"/>
      <w:spacing w:after="0" w:line="480" w:lineRule="auto"/>
      <w:jc w:val="both"/>
    </w:pPr>
    <w:rPr>
      <w:rFonts w:ascii="Times New Roman" w:hAnsi="Times New Roman" w:cs="Times New Roman"/>
      <w:sz w:val="24"/>
      <w:szCs w:val="24"/>
      <w:lang w:val="en-GB"/>
    </w:rPr>
  </w:style>
  <w:style w:type="paragraph" w:styleId="berschrift1">
    <w:name w:val="heading 1"/>
    <w:basedOn w:val="Standard"/>
    <w:next w:val="Standard"/>
    <w:link w:val="berschrift1Zchn"/>
    <w:uiPriority w:val="9"/>
    <w:qFormat/>
    <w:rsid w:val="009824DF"/>
    <w:pPr>
      <w:keepNext/>
      <w:keepLines/>
      <w:spacing w:before="480" w:after="240" w:line="240" w:lineRule="auto"/>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9824DF"/>
    <w:pPr>
      <w:keepNext/>
      <w:keepLines/>
      <w:spacing w:before="200" w:after="120"/>
      <w:outlineLvl w:val="1"/>
    </w:pPr>
    <w:rPr>
      <w:rFonts w:eastAsiaTheme="majorEastAsia" w:cstheme="majorBidi"/>
      <w:b/>
      <w:bCs/>
      <w:sz w:val="26"/>
      <w:szCs w:val="26"/>
    </w:rPr>
  </w:style>
  <w:style w:type="paragraph" w:styleId="berschrift3">
    <w:name w:val="heading 3"/>
    <w:basedOn w:val="Standard"/>
    <w:next w:val="Standard"/>
    <w:link w:val="berschrift3Zchn"/>
    <w:uiPriority w:val="9"/>
    <w:unhideWhenUsed/>
    <w:qFormat/>
    <w:rsid w:val="009824DF"/>
    <w:pPr>
      <w:keepNext/>
      <w:keepLines/>
      <w:spacing w:before="200" w:after="120"/>
      <w:outlineLvl w:val="2"/>
    </w:pPr>
    <w:rPr>
      <w:rFonts w:eastAsiaTheme="majorEastAsia" w:cstheme="majorBidi"/>
      <w:b/>
      <w:bCs/>
    </w:rPr>
  </w:style>
  <w:style w:type="paragraph" w:styleId="berschrift4">
    <w:name w:val="heading 4"/>
    <w:basedOn w:val="Standard"/>
    <w:next w:val="Standard"/>
    <w:link w:val="berschrift4Zchn"/>
    <w:autoRedefine/>
    <w:uiPriority w:val="9"/>
    <w:unhideWhenUsed/>
    <w:qFormat/>
    <w:rsid w:val="009824DF"/>
    <w:pPr>
      <w:keepNext/>
      <w:keepLines/>
      <w:spacing w:before="160" w:after="120" w:line="240" w:lineRule="auto"/>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unhideWhenUsed/>
    <w:qFormat/>
    <w:rsid w:val="009824DF"/>
    <w:pPr>
      <w:keepNext/>
      <w:keepLines/>
      <w:spacing w:before="200" w:after="120" w:line="240" w:lineRule="auto"/>
      <w:outlineLvl w:val="4"/>
    </w:pPr>
    <w:rPr>
      <w:rFonts w:asciiTheme="majorHAnsi" w:eastAsiaTheme="majorEastAsia" w:hAnsiTheme="majorHAnsi"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Citation"/>
    <w:link w:val="KeinLeerraumZchn"/>
    <w:uiPriority w:val="1"/>
    <w:qFormat/>
    <w:rsid w:val="009824DF"/>
    <w:pPr>
      <w:spacing w:after="0" w:line="240" w:lineRule="auto"/>
    </w:pPr>
    <w:rPr>
      <w:rFonts w:eastAsiaTheme="minorEastAsia" w:cs="Courier New"/>
      <w:sz w:val="24"/>
      <w:szCs w:val="24"/>
      <w:lang w:eastAsia="de-DE"/>
    </w:rPr>
  </w:style>
  <w:style w:type="character" w:customStyle="1" w:styleId="KeinLeerraumZchn">
    <w:name w:val="Kein Leerraum Zchn"/>
    <w:aliases w:val="Citation Zchn"/>
    <w:basedOn w:val="Absatz-Standardschriftart"/>
    <w:link w:val="KeinLeerraum"/>
    <w:uiPriority w:val="1"/>
    <w:rsid w:val="009824DF"/>
    <w:rPr>
      <w:rFonts w:eastAsiaTheme="minorEastAsia" w:cs="Courier New"/>
      <w:sz w:val="24"/>
      <w:szCs w:val="24"/>
      <w:lang w:eastAsia="de-DE"/>
    </w:rPr>
  </w:style>
  <w:style w:type="character" w:customStyle="1" w:styleId="berschrift1Zchn">
    <w:name w:val="Überschrift 1 Zchn"/>
    <w:basedOn w:val="Absatz-Standardschriftart"/>
    <w:link w:val="berschrift1"/>
    <w:uiPriority w:val="9"/>
    <w:rsid w:val="009824DF"/>
    <w:rPr>
      <w:rFonts w:ascii="Times New Roman" w:eastAsiaTheme="majorEastAsia" w:hAnsi="Times New Roman" w:cstheme="majorBidi"/>
      <w:b/>
      <w:bCs/>
      <w:sz w:val="28"/>
      <w:szCs w:val="28"/>
      <w:lang w:val="en-GB"/>
    </w:rPr>
  </w:style>
  <w:style w:type="character" w:customStyle="1" w:styleId="berschrift2Zchn">
    <w:name w:val="Überschrift 2 Zchn"/>
    <w:basedOn w:val="Absatz-Standardschriftart"/>
    <w:link w:val="berschrift2"/>
    <w:uiPriority w:val="9"/>
    <w:rsid w:val="009824DF"/>
    <w:rPr>
      <w:rFonts w:ascii="Times New Roman" w:eastAsiaTheme="majorEastAsia" w:hAnsi="Times New Roman" w:cstheme="majorBidi"/>
      <w:b/>
      <w:bCs/>
      <w:sz w:val="26"/>
      <w:szCs w:val="26"/>
      <w:lang w:val="en-GB"/>
    </w:rPr>
  </w:style>
  <w:style w:type="character" w:customStyle="1" w:styleId="berschrift3Zchn">
    <w:name w:val="Überschrift 3 Zchn"/>
    <w:basedOn w:val="Absatz-Standardschriftart"/>
    <w:link w:val="berschrift3"/>
    <w:uiPriority w:val="9"/>
    <w:rsid w:val="009824DF"/>
    <w:rPr>
      <w:rFonts w:ascii="Times New Roman" w:eastAsiaTheme="majorEastAsia" w:hAnsi="Times New Roman" w:cstheme="majorBidi"/>
      <w:b/>
      <w:bCs/>
      <w:sz w:val="24"/>
      <w:szCs w:val="24"/>
      <w:lang w:val="en-GB"/>
    </w:rPr>
  </w:style>
  <w:style w:type="character" w:customStyle="1" w:styleId="berschrift4Zchn">
    <w:name w:val="Überschrift 4 Zchn"/>
    <w:basedOn w:val="Absatz-Standardschriftart"/>
    <w:link w:val="berschrift4"/>
    <w:uiPriority w:val="9"/>
    <w:rsid w:val="009824DF"/>
    <w:rPr>
      <w:rFonts w:asciiTheme="majorHAnsi" w:eastAsiaTheme="majorEastAsia" w:hAnsiTheme="majorHAnsi" w:cstheme="majorBidi"/>
      <w:b/>
      <w:bCs/>
      <w:i/>
      <w:iCs/>
      <w:sz w:val="24"/>
      <w:szCs w:val="24"/>
      <w:lang w:val="en-GB"/>
    </w:rPr>
  </w:style>
  <w:style w:type="character" w:customStyle="1" w:styleId="berschrift5Zchn">
    <w:name w:val="Überschrift 5 Zchn"/>
    <w:basedOn w:val="Absatz-Standardschriftart"/>
    <w:link w:val="berschrift5"/>
    <w:uiPriority w:val="9"/>
    <w:rsid w:val="009824DF"/>
    <w:rPr>
      <w:rFonts w:asciiTheme="majorHAnsi" w:eastAsiaTheme="majorEastAsia" w:hAnsiTheme="majorHAnsi" w:cstheme="majorBidi"/>
      <w:sz w:val="24"/>
      <w:szCs w:val="24"/>
      <w:lang w:val="en-GB"/>
    </w:rPr>
  </w:style>
  <w:style w:type="paragraph" w:styleId="Beschriftung">
    <w:name w:val="caption"/>
    <w:basedOn w:val="Abbildungsverzeichnis"/>
    <w:next w:val="Standard"/>
    <w:autoRedefine/>
    <w:uiPriority w:val="35"/>
    <w:unhideWhenUsed/>
    <w:qFormat/>
    <w:rsid w:val="009824DF"/>
    <w:pPr>
      <w:autoSpaceDE/>
      <w:autoSpaceDN/>
      <w:adjustRightInd/>
      <w:spacing w:after="120" w:line="240" w:lineRule="auto"/>
    </w:pPr>
    <w:rPr>
      <w:b/>
      <w:bCs/>
      <w:color w:val="000000" w:themeColor="text1"/>
      <w:sz w:val="22"/>
      <w:szCs w:val="18"/>
    </w:rPr>
  </w:style>
  <w:style w:type="paragraph" w:styleId="Abbildungsverzeichnis">
    <w:name w:val="table of figures"/>
    <w:basedOn w:val="Standard"/>
    <w:next w:val="Standard"/>
    <w:uiPriority w:val="99"/>
    <w:semiHidden/>
    <w:unhideWhenUsed/>
    <w:rsid w:val="009824DF"/>
  </w:style>
  <w:style w:type="paragraph" w:styleId="Titel">
    <w:name w:val="Title"/>
    <w:basedOn w:val="berschrift1"/>
    <w:next w:val="Standard"/>
    <w:link w:val="TitelZchn"/>
    <w:autoRedefine/>
    <w:uiPriority w:val="10"/>
    <w:qFormat/>
    <w:rsid w:val="009824DF"/>
    <w:pPr>
      <w:pBdr>
        <w:bottom w:val="single" w:sz="8" w:space="4" w:color="4F81BD" w:themeColor="accent1"/>
      </w:pBdr>
      <w:spacing w:before="0" w:after="300"/>
      <w:contextualSpacing/>
    </w:pPr>
    <w:rPr>
      <w:spacing w:val="5"/>
      <w:kern w:val="28"/>
      <w:sz w:val="36"/>
      <w:szCs w:val="52"/>
    </w:rPr>
  </w:style>
  <w:style w:type="character" w:customStyle="1" w:styleId="TitelZchn">
    <w:name w:val="Titel Zchn"/>
    <w:basedOn w:val="Absatz-Standardschriftart"/>
    <w:link w:val="Titel"/>
    <w:uiPriority w:val="10"/>
    <w:rsid w:val="009824DF"/>
    <w:rPr>
      <w:rFonts w:ascii="Times New Roman" w:eastAsiaTheme="majorEastAsia" w:hAnsi="Times New Roman" w:cstheme="majorBidi"/>
      <w:b/>
      <w:bCs/>
      <w:spacing w:val="5"/>
      <w:kern w:val="28"/>
      <w:sz w:val="36"/>
      <w:szCs w:val="52"/>
      <w:lang w:val="en-GB"/>
    </w:rPr>
  </w:style>
  <w:style w:type="character" w:styleId="Fett">
    <w:name w:val="Strong"/>
    <w:basedOn w:val="Absatz-Standardschriftart"/>
    <w:uiPriority w:val="22"/>
    <w:qFormat/>
    <w:rsid w:val="009824DF"/>
    <w:rPr>
      <w:b/>
      <w:bCs/>
    </w:rPr>
  </w:style>
  <w:style w:type="character" w:styleId="Hervorhebung">
    <w:name w:val="Emphasis"/>
    <w:basedOn w:val="Absatz-Standardschriftart"/>
    <w:uiPriority w:val="20"/>
    <w:qFormat/>
    <w:rsid w:val="009824DF"/>
    <w:rPr>
      <w:i/>
      <w:iCs/>
    </w:rPr>
  </w:style>
  <w:style w:type="paragraph" w:styleId="Listenabsatz">
    <w:name w:val="List Paragraph"/>
    <w:basedOn w:val="Abbildungsverzeichnis"/>
    <w:uiPriority w:val="34"/>
    <w:qFormat/>
    <w:rsid w:val="009824DF"/>
    <w:pPr>
      <w:ind w:left="720"/>
      <w:contextualSpacing/>
    </w:pPr>
  </w:style>
  <w:style w:type="paragraph" w:styleId="Anfhrungszeichen">
    <w:name w:val="Quote"/>
    <w:basedOn w:val="Standard"/>
    <w:next w:val="Standard"/>
    <w:link w:val="AnfhrungszeichenZchn"/>
    <w:uiPriority w:val="29"/>
    <w:qFormat/>
    <w:rsid w:val="009824DF"/>
    <w:rPr>
      <w:i/>
      <w:iCs/>
      <w:color w:val="000000" w:themeColor="text1"/>
    </w:rPr>
  </w:style>
  <w:style w:type="character" w:customStyle="1" w:styleId="AnfhrungszeichenZchn">
    <w:name w:val="Anführungszeichen Zchn"/>
    <w:basedOn w:val="Absatz-Standardschriftart"/>
    <w:link w:val="Anfhrungszeichen"/>
    <w:uiPriority w:val="29"/>
    <w:rsid w:val="009824DF"/>
    <w:rPr>
      <w:rFonts w:ascii="Times New Roman" w:hAnsi="Times New Roman" w:cs="Times New Roman"/>
      <w:i/>
      <w:iCs/>
      <w:color w:val="000000" w:themeColor="text1"/>
      <w:sz w:val="24"/>
      <w:szCs w:val="24"/>
      <w:lang w:val="en-GB"/>
    </w:rPr>
  </w:style>
  <w:style w:type="character" w:styleId="SchwacherVerweis">
    <w:name w:val="Subtle Reference"/>
    <w:aliases w:val="Source of Figure"/>
    <w:uiPriority w:val="31"/>
    <w:qFormat/>
    <w:rsid w:val="009824DF"/>
    <w:rPr>
      <w:rFonts w:asciiTheme="minorHAnsi" w:hAnsiTheme="minorHAnsi"/>
      <w:dstrike w:val="0"/>
      <w:color w:val="auto"/>
      <w:sz w:val="20"/>
      <w:u w:val="none"/>
      <w:vertAlign w:val="baseline"/>
    </w:rPr>
  </w:style>
  <w:style w:type="character" w:styleId="Buchtitel">
    <w:name w:val="Book Title"/>
    <w:basedOn w:val="Absatz-Standardschriftart"/>
    <w:uiPriority w:val="33"/>
    <w:qFormat/>
    <w:rsid w:val="009824DF"/>
    <w:rPr>
      <w:b/>
      <w:bCs/>
      <w:smallCaps/>
      <w:spacing w:val="5"/>
    </w:rPr>
  </w:style>
  <w:style w:type="paragraph" w:styleId="Inhaltsverzeichnisberschrift">
    <w:name w:val="TOC Heading"/>
    <w:basedOn w:val="berschrift1"/>
    <w:next w:val="Standard"/>
    <w:uiPriority w:val="39"/>
    <w:semiHidden/>
    <w:unhideWhenUsed/>
    <w:qFormat/>
    <w:rsid w:val="009824DF"/>
    <w:pPr>
      <w:autoSpaceDE/>
      <w:autoSpaceDN/>
      <w:adjustRightInd/>
      <w:spacing w:line="276" w:lineRule="auto"/>
      <w:jc w:val="left"/>
      <w:outlineLvl w:val="9"/>
    </w:pPr>
  </w:style>
  <w:style w:type="paragraph" w:customStyle="1" w:styleId="Citationlong">
    <w:name w:val="Citation long"/>
    <w:basedOn w:val="Standard"/>
    <w:link w:val="CitationlongZchn"/>
    <w:autoRedefine/>
    <w:qFormat/>
    <w:rsid w:val="009824DF"/>
    <w:pPr>
      <w:spacing w:after="120"/>
      <w:ind w:left="709"/>
    </w:pPr>
    <w:rPr>
      <w:rFonts w:cstheme="minorHAnsi"/>
      <w:bCs/>
      <w:szCs w:val="20"/>
    </w:rPr>
  </w:style>
  <w:style w:type="character" w:customStyle="1" w:styleId="CitationlongZchn">
    <w:name w:val="Citation long Zchn"/>
    <w:basedOn w:val="Absatz-Standardschriftart"/>
    <w:link w:val="Citationlong"/>
    <w:rsid w:val="009824DF"/>
    <w:rPr>
      <w:rFonts w:ascii="Times New Roman" w:hAnsi="Times New Roman" w:cstheme="minorHAnsi"/>
      <w:bCs/>
      <w:sz w:val="24"/>
      <w:szCs w:val="20"/>
      <w:lang w:val="en-GB"/>
    </w:rPr>
  </w:style>
  <w:style w:type="paragraph" w:styleId="Kopfzeile">
    <w:name w:val="header"/>
    <w:basedOn w:val="Standard"/>
    <w:link w:val="KopfzeileZchn"/>
    <w:uiPriority w:val="99"/>
    <w:semiHidden/>
    <w:unhideWhenUsed/>
    <w:rsid w:val="009824DF"/>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9824DF"/>
    <w:rPr>
      <w:rFonts w:ascii="Times New Roman" w:hAnsi="Times New Roman" w:cs="Times New Roman"/>
      <w:sz w:val="24"/>
      <w:szCs w:val="24"/>
      <w:lang w:val="en-GB"/>
    </w:rPr>
  </w:style>
  <w:style w:type="paragraph" w:styleId="Fuzeile">
    <w:name w:val="footer"/>
    <w:basedOn w:val="Standard"/>
    <w:link w:val="FuzeileZchn"/>
    <w:uiPriority w:val="99"/>
    <w:unhideWhenUsed/>
    <w:rsid w:val="009824D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824DF"/>
    <w:rPr>
      <w:rFonts w:ascii="Times New Roman" w:hAnsi="Times New Roman" w:cs="Times New Roman"/>
      <w:sz w:val="24"/>
      <w:szCs w:val="24"/>
      <w:lang w:val="en-GB"/>
    </w:rPr>
  </w:style>
  <w:style w:type="character" w:styleId="Hyperlink">
    <w:name w:val="Hyperlink"/>
    <w:basedOn w:val="Absatz-Standardschriftart"/>
    <w:uiPriority w:val="99"/>
    <w:unhideWhenUsed/>
    <w:rsid w:val="009824DF"/>
    <w:rPr>
      <w:color w:val="0000FF" w:themeColor="hyperlink"/>
      <w:u w:val="single"/>
    </w:rPr>
  </w:style>
  <w:style w:type="paragraph" w:styleId="Textkrper">
    <w:name w:val="Body Text"/>
    <w:basedOn w:val="Standard"/>
    <w:link w:val="TextkrperZchn"/>
    <w:uiPriority w:val="99"/>
    <w:rsid w:val="009824DF"/>
    <w:pPr>
      <w:spacing w:line="360" w:lineRule="auto"/>
    </w:pPr>
    <w:rPr>
      <w:rFonts w:asciiTheme="minorHAnsi" w:hAnsiTheme="minorHAnsi"/>
    </w:rPr>
  </w:style>
  <w:style w:type="character" w:customStyle="1" w:styleId="TextkrperZchn">
    <w:name w:val="Textkörper Zchn"/>
    <w:basedOn w:val="Absatz-Standardschriftart"/>
    <w:link w:val="Textkrper"/>
    <w:uiPriority w:val="99"/>
    <w:rsid w:val="009824DF"/>
    <w:rPr>
      <w:rFonts w:cs="Times New Roman"/>
      <w:sz w:val="24"/>
      <w:szCs w:val="24"/>
      <w:lang w:val="en-GB"/>
    </w:rPr>
  </w:style>
  <w:style w:type="paragraph" w:styleId="Funotentext">
    <w:name w:val="footnote text"/>
    <w:basedOn w:val="Standard"/>
    <w:link w:val="FunotentextZchn"/>
    <w:autoRedefine/>
    <w:semiHidden/>
    <w:rsid w:val="009824DF"/>
    <w:pPr>
      <w:spacing w:line="240" w:lineRule="auto"/>
    </w:pPr>
    <w:rPr>
      <w:sz w:val="20"/>
      <w:szCs w:val="20"/>
    </w:rPr>
  </w:style>
  <w:style w:type="character" w:customStyle="1" w:styleId="FunotentextZchn">
    <w:name w:val="Fußnotentext Zchn"/>
    <w:basedOn w:val="Absatz-Standardschriftart"/>
    <w:link w:val="Funotentext"/>
    <w:semiHidden/>
    <w:rsid w:val="009824DF"/>
    <w:rPr>
      <w:rFonts w:ascii="Times New Roman" w:hAnsi="Times New Roman" w:cs="Times New Roman"/>
      <w:sz w:val="20"/>
      <w:szCs w:val="20"/>
      <w:lang w:val="en-GB"/>
    </w:rPr>
  </w:style>
  <w:style w:type="character" w:styleId="Funotenzeichen">
    <w:name w:val="footnote reference"/>
    <w:basedOn w:val="Absatz-Standardschriftart"/>
    <w:semiHidden/>
    <w:rsid w:val="009824DF"/>
    <w:rPr>
      <w:vertAlign w:val="superscript"/>
    </w:rPr>
  </w:style>
  <w:style w:type="character" w:styleId="Kommentarzeichen">
    <w:name w:val="annotation reference"/>
    <w:basedOn w:val="Absatz-Standardschriftart"/>
    <w:uiPriority w:val="99"/>
    <w:semiHidden/>
    <w:unhideWhenUsed/>
    <w:rsid w:val="009824DF"/>
    <w:rPr>
      <w:sz w:val="16"/>
      <w:szCs w:val="16"/>
    </w:rPr>
  </w:style>
  <w:style w:type="paragraph" w:styleId="Kommentartext">
    <w:name w:val="annotation text"/>
    <w:basedOn w:val="Standard"/>
    <w:link w:val="KommentartextZchn"/>
    <w:uiPriority w:val="99"/>
    <w:semiHidden/>
    <w:unhideWhenUsed/>
    <w:rsid w:val="009824D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824DF"/>
    <w:rPr>
      <w:rFonts w:ascii="Times New Roman" w:hAnsi="Times New Roman" w:cs="Times New Roman"/>
      <w:sz w:val="20"/>
      <w:szCs w:val="20"/>
      <w:lang w:val="en-GB"/>
    </w:rPr>
  </w:style>
  <w:style w:type="paragraph" w:styleId="Kommentarthema">
    <w:name w:val="annotation subject"/>
    <w:basedOn w:val="Kommentartext"/>
    <w:next w:val="Kommentartext"/>
    <w:link w:val="KommentarthemaZchn"/>
    <w:uiPriority w:val="99"/>
    <w:semiHidden/>
    <w:unhideWhenUsed/>
    <w:rsid w:val="009824DF"/>
    <w:rPr>
      <w:b/>
      <w:bCs/>
    </w:rPr>
  </w:style>
  <w:style w:type="character" w:customStyle="1" w:styleId="KommentarthemaZchn">
    <w:name w:val="Kommentarthema Zchn"/>
    <w:basedOn w:val="KommentartextZchn"/>
    <w:link w:val="Kommentarthema"/>
    <w:uiPriority w:val="99"/>
    <w:semiHidden/>
    <w:rsid w:val="009824DF"/>
    <w:rPr>
      <w:b/>
      <w:bCs/>
    </w:rPr>
  </w:style>
  <w:style w:type="paragraph" w:styleId="Sprechblasentext">
    <w:name w:val="Balloon Text"/>
    <w:basedOn w:val="Standard"/>
    <w:link w:val="SprechblasentextZchn"/>
    <w:uiPriority w:val="99"/>
    <w:semiHidden/>
    <w:unhideWhenUsed/>
    <w:rsid w:val="009824D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24DF"/>
    <w:rPr>
      <w:rFonts w:ascii="Tahoma" w:hAnsi="Tahoma" w:cs="Tahoma"/>
      <w:sz w:val="16"/>
      <w:szCs w:val="16"/>
      <w:lang w:val="en-GB"/>
    </w:rPr>
  </w:style>
  <w:style w:type="paragraph" w:styleId="Endnotentext">
    <w:name w:val="endnote text"/>
    <w:basedOn w:val="Standard"/>
    <w:link w:val="EndnotentextZchn"/>
    <w:uiPriority w:val="99"/>
    <w:semiHidden/>
    <w:unhideWhenUsed/>
    <w:rsid w:val="00EA05A8"/>
    <w:pPr>
      <w:spacing w:line="240" w:lineRule="auto"/>
    </w:pPr>
    <w:rPr>
      <w:sz w:val="20"/>
      <w:szCs w:val="20"/>
    </w:rPr>
  </w:style>
  <w:style w:type="character" w:customStyle="1" w:styleId="EndnotentextZchn">
    <w:name w:val="Endnotentext Zchn"/>
    <w:basedOn w:val="Absatz-Standardschriftart"/>
    <w:link w:val="Endnotentext"/>
    <w:uiPriority w:val="99"/>
    <w:semiHidden/>
    <w:rsid w:val="00EA05A8"/>
    <w:rPr>
      <w:rFonts w:ascii="Times New Roman" w:hAnsi="Times New Roman" w:cs="Times New Roman"/>
      <w:sz w:val="20"/>
      <w:szCs w:val="20"/>
      <w:lang w:val="en-GB"/>
    </w:rPr>
  </w:style>
  <w:style w:type="character" w:styleId="Endnotenzeichen">
    <w:name w:val="endnote reference"/>
    <w:basedOn w:val="Absatz-Standardschriftart"/>
    <w:uiPriority w:val="99"/>
    <w:semiHidden/>
    <w:unhideWhenUsed/>
    <w:rsid w:val="00EA05A8"/>
    <w:rPr>
      <w:vertAlign w:val="superscript"/>
    </w:rPr>
  </w:style>
  <w:style w:type="paragraph" w:customStyle="1" w:styleId="p">
    <w:name w:val="p"/>
    <w:basedOn w:val="Standard"/>
    <w:rsid w:val="004C4C76"/>
    <w:pPr>
      <w:autoSpaceDE/>
      <w:autoSpaceDN/>
      <w:adjustRightInd/>
      <w:spacing w:before="100" w:beforeAutospacing="1" w:after="100" w:afterAutospacing="1" w:line="240" w:lineRule="auto"/>
      <w:jc w:val="left"/>
    </w:pPr>
    <w:rPr>
      <w:rFonts w:eastAsia="Times New Roman"/>
      <w:lang w:val="de-DE" w:eastAsia="de-DE"/>
    </w:rPr>
  </w:style>
</w:styles>
</file>

<file path=word/webSettings.xml><?xml version="1.0" encoding="utf-8"?>
<w:webSettings xmlns:r="http://schemas.openxmlformats.org/officeDocument/2006/relationships" xmlns:w="http://schemas.openxmlformats.org/wordprocessingml/2006/main">
  <w:divs>
    <w:div w:id="766846374">
      <w:bodyDiv w:val="1"/>
      <w:marLeft w:val="0"/>
      <w:marRight w:val="0"/>
      <w:marTop w:val="0"/>
      <w:marBottom w:val="0"/>
      <w:divBdr>
        <w:top w:val="none" w:sz="0" w:space="0" w:color="auto"/>
        <w:left w:val="none" w:sz="0" w:space="0" w:color="auto"/>
        <w:bottom w:val="none" w:sz="0" w:space="0" w:color="auto"/>
        <w:right w:val="none" w:sz="0" w:space="0" w:color="auto"/>
      </w:divBdr>
      <w:divsChild>
        <w:div w:id="356739527">
          <w:marLeft w:val="0"/>
          <w:marRight w:val="0"/>
          <w:marTop w:val="0"/>
          <w:marBottom w:val="0"/>
          <w:divBdr>
            <w:top w:val="none" w:sz="0" w:space="0" w:color="auto"/>
            <w:left w:val="none" w:sz="0" w:space="0" w:color="auto"/>
            <w:bottom w:val="none" w:sz="0" w:space="0" w:color="auto"/>
            <w:right w:val="none" w:sz="0" w:space="0" w:color="auto"/>
          </w:divBdr>
        </w:div>
      </w:divsChild>
    </w:div>
    <w:div w:id="897134084">
      <w:bodyDiv w:val="1"/>
      <w:marLeft w:val="0"/>
      <w:marRight w:val="0"/>
      <w:marTop w:val="0"/>
      <w:marBottom w:val="0"/>
      <w:divBdr>
        <w:top w:val="none" w:sz="0" w:space="0" w:color="auto"/>
        <w:left w:val="none" w:sz="0" w:space="0" w:color="auto"/>
        <w:bottom w:val="none" w:sz="0" w:space="0" w:color="auto"/>
        <w:right w:val="none" w:sz="0" w:space="0" w:color="auto"/>
      </w:divBdr>
    </w:div>
    <w:div w:id="182774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9812</Words>
  <Characters>61822</Characters>
  <Application>Microsoft Office Word</Application>
  <DocSecurity>0</DocSecurity>
  <Lines>515</Lines>
  <Paragraphs>142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Schroder</dc:creator>
  <cp:lastModifiedBy>Heike Schroder</cp:lastModifiedBy>
  <cp:revision>2</cp:revision>
  <dcterms:created xsi:type="dcterms:W3CDTF">2012-01-29T18:34:00Z</dcterms:created>
  <dcterms:modified xsi:type="dcterms:W3CDTF">2012-01-29T18:34:00Z</dcterms:modified>
</cp:coreProperties>
</file>