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69A38" w14:textId="77777777" w:rsidR="0087018C" w:rsidRDefault="0087018C" w:rsidP="0087018C">
      <w:pPr>
        <w:pStyle w:val="Articletitle"/>
        <w:spacing w:line="480" w:lineRule="auto"/>
        <w:jc w:val="center"/>
        <w:rPr>
          <w:lang w:val="en-US"/>
        </w:rPr>
      </w:pPr>
      <w:r>
        <w:rPr>
          <w:lang w:val="en-US"/>
        </w:rPr>
        <w:t>A paradigm-shift for measuring diversity climate</w:t>
      </w:r>
    </w:p>
    <w:p w14:paraId="4946FFB4" w14:textId="77777777" w:rsidR="0087018C" w:rsidRDefault="0087018C" w:rsidP="0087018C">
      <w:pPr>
        <w:spacing w:line="480" w:lineRule="auto"/>
        <w:rPr>
          <w:lang w:val="en-US"/>
        </w:rPr>
      </w:pPr>
    </w:p>
    <w:p w14:paraId="43CC806C" w14:textId="77777777" w:rsidR="0087018C" w:rsidRDefault="0087018C" w:rsidP="0087018C">
      <w:pPr>
        <w:spacing w:line="480" w:lineRule="auto"/>
        <w:rPr>
          <w:lang w:val="en-US"/>
        </w:rPr>
      </w:pPr>
      <w:r>
        <w:rPr>
          <w:lang w:val="en-US"/>
        </w:rPr>
        <w:t>Gaëlle Cachat-Rosset (contact)</w:t>
      </w:r>
    </w:p>
    <w:p w14:paraId="17677585" w14:textId="77777777" w:rsidR="0087018C" w:rsidRDefault="0087018C" w:rsidP="0087018C">
      <w:pPr>
        <w:spacing w:line="480" w:lineRule="auto"/>
        <w:rPr>
          <w:lang w:val="en-US"/>
        </w:rPr>
      </w:pPr>
      <w:r>
        <w:rPr>
          <w:lang w:val="en-US"/>
        </w:rPr>
        <w:t>Department of CSR and Human Resources, Toulouse Business School, France</w:t>
      </w:r>
    </w:p>
    <w:p w14:paraId="77143153" w14:textId="77777777" w:rsidR="0087018C" w:rsidRDefault="005467E6" w:rsidP="0087018C">
      <w:pPr>
        <w:spacing w:line="480" w:lineRule="auto"/>
        <w:rPr>
          <w:lang w:val="en-US"/>
        </w:rPr>
      </w:pPr>
      <w:hyperlink r:id="rId8" w:history="1">
        <w:r w:rsidR="0087018C">
          <w:rPr>
            <w:rStyle w:val="Lienhypertexte"/>
            <w:lang w:val="en-US"/>
          </w:rPr>
          <w:t>gaelle.falcon@bbox.fr</w:t>
        </w:r>
      </w:hyperlink>
      <w:r w:rsidR="0087018C">
        <w:rPr>
          <w:lang w:val="en-US"/>
        </w:rPr>
        <w:t xml:space="preserve"> - +33 (0)6 20 35 56 62</w:t>
      </w:r>
    </w:p>
    <w:p w14:paraId="0123B40D" w14:textId="77777777" w:rsidR="0087018C" w:rsidRDefault="0087018C">
      <w:pPr>
        <w:spacing w:after="200" w:line="276" w:lineRule="auto"/>
        <w:rPr>
          <w:b/>
          <w:sz w:val="28"/>
          <w:lang w:val="en-US" w:eastAsia="en-GB"/>
        </w:rPr>
      </w:pPr>
      <w:bookmarkStart w:id="0" w:name="_GoBack"/>
      <w:bookmarkEnd w:id="0"/>
      <w:r>
        <w:rPr>
          <w:lang w:val="en-US"/>
        </w:rPr>
        <w:br w:type="page"/>
      </w:r>
    </w:p>
    <w:p w14:paraId="50E56166" w14:textId="5E97D06C" w:rsidR="001F5641" w:rsidRDefault="00D32BFB" w:rsidP="00F61836">
      <w:pPr>
        <w:pStyle w:val="Articletitle"/>
        <w:spacing w:line="480" w:lineRule="auto"/>
        <w:jc w:val="center"/>
        <w:rPr>
          <w:lang w:val="en-US"/>
        </w:rPr>
      </w:pPr>
      <w:r>
        <w:rPr>
          <w:lang w:val="en-US"/>
        </w:rPr>
        <w:lastRenderedPageBreak/>
        <w:t xml:space="preserve">A paradigm-shift for </w:t>
      </w:r>
      <w:r w:rsidR="001522AD">
        <w:rPr>
          <w:lang w:val="en-US"/>
        </w:rPr>
        <w:t xml:space="preserve">measuring </w:t>
      </w:r>
      <w:r w:rsidR="00D22753">
        <w:rPr>
          <w:lang w:val="en-US"/>
        </w:rPr>
        <w:t>diversity climate</w:t>
      </w:r>
    </w:p>
    <w:p w14:paraId="1DF160F1" w14:textId="77777777" w:rsidR="00D264A2" w:rsidRPr="00D264A2" w:rsidRDefault="00D264A2" w:rsidP="00D264A2">
      <w:pPr>
        <w:rPr>
          <w:lang w:val="en-US" w:eastAsia="en-GB"/>
        </w:rPr>
      </w:pPr>
    </w:p>
    <w:p w14:paraId="1FD591C2" w14:textId="2F020111" w:rsidR="000E4329" w:rsidRDefault="009D4803" w:rsidP="00D264A2">
      <w:pPr>
        <w:spacing w:line="480" w:lineRule="auto"/>
        <w:jc w:val="both"/>
        <w:rPr>
          <w:lang w:val="en-US"/>
        </w:rPr>
      </w:pPr>
      <w:bookmarkStart w:id="1" w:name="_Hlk532065274"/>
      <w:r>
        <w:rPr>
          <w:lang w:val="en-US"/>
        </w:rPr>
        <w:t>Despite</w:t>
      </w:r>
      <w:r w:rsidR="00945E63">
        <w:rPr>
          <w:lang w:val="en-US"/>
        </w:rPr>
        <w:t xml:space="preserve"> its increasing societal importance, </w:t>
      </w:r>
      <w:r w:rsidR="004B1685">
        <w:rPr>
          <w:lang w:val="en-US"/>
        </w:rPr>
        <w:t>diversity climate (</w:t>
      </w:r>
      <w:r w:rsidR="00945E63">
        <w:rPr>
          <w:lang w:val="en-US"/>
        </w:rPr>
        <w:t>DC</w:t>
      </w:r>
      <w:r w:rsidR="004B1685">
        <w:rPr>
          <w:lang w:val="en-US"/>
        </w:rPr>
        <w:t>)</w:t>
      </w:r>
      <w:r w:rsidR="00945E63">
        <w:rPr>
          <w:lang w:val="en-US"/>
        </w:rPr>
        <w:t xml:space="preserve"> has </w:t>
      </w:r>
      <w:r w:rsidR="007B2E86">
        <w:rPr>
          <w:lang w:val="en-US"/>
        </w:rPr>
        <w:t xml:space="preserve">still </w:t>
      </w:r>
      <w:r w:rsidR="00945E63">
        <w:rPr>
          <w:lang w:val="en-US"/>
        </w:rPr>
        <w:t>remained inconsistently conceptualized and operationalized</w:t>
      </w:r>
      <w:r w:rsidR="008B6A2A">
        <w:rPr>
          <w:lang w:val="en-US"/>
        </w:rPr>
        <w:t xml:space="preserve"> (</w:t>
      </w:r>
      <w:r w:rsidR="008B6A2A" w:rsidRPr="00E22DD0">
        <w:rPr>
          <w:lang w:val="en-US"/>
        </w:rPr>
        <w:t>Cachat-Rosset et al., 2017</w:t>
      </w:r>
      <w:r w:rsidR="008B6A2A">
        <w:rPr>
          <w:lang w:val="en-US"/>
        </w:rPr>
        <w:t>; Chrobot-Mason and Aramovich, 2013; Dwertmann et al., 2016; McKay and Avery, 2015)</w:t>
      </w:r>
      <w:r w:rsidR="00945E63">
        <w:rPr>
          <w:lang w:val="en-US"/>
        </w:rPr>
        <w:t xml:space="preserve">. </w:t>
      </w:r>
      <w:r w:rsidR="008B6A2A">
        <w:rPr>
          <w:lang w:val="en-US"/>
        </w:rPr>
        <w:t>To answer this important issue, t</w:t>
      </w:r>
      <w:r w:rsidR="00D264A2" w:rsidRPr="00D264A2">
        <w:rPr>
          <w:lang w:val="en-US"/>
        </w:rPr>
        <w:t xml:space="preserve">his study aims at developing a robust </w:t>
      </w:r>
      <w:r w:rsidR="00D22753">
        <w:rPr>
          <w:lang w:val="en-US"/>
        </w:rPr>
        <w:t>(</w:t>
      </w:r>
      <w:r w:rsidR="004254E4">
        <w:rPr>
          <w:lang w:val="en-US"/>
        </w:rPr>
        <w:t>DC</w:t>
      </w:r>
      <w:r w:rsidR="00D22753">
        <w:rPr>
          <w:lang w:val="en-US"/>
        </w:rPr>
        <w:t>)</w:t>
      </w:r>
      <w:r w:rsidR="00D264A2" w:rsidRPr="00D264A2">
        <w:rPr>
          <w:lang w:val="en-US"/>
        </w:rPr>
        <w:t xml:space="preserve"> scale and provide empirical validation for the newly-designed </w:t>
      </w:r>
      <w:r w:rsidR="008B6A2A">
        <w:rPr>
          <w:lang w:val="en-US"/>
        </w:rPr>
        <w:t>conceptualization</w:t>
      </w:r>
      <w:r w:rsidR="00454354" w:rsidRPr="00D264A2">
        <w:rPr>
          <w:lang w:val="en-US"/>
        </w:rPr>
        <w:t xml:space="preserve"> </w:t>
      </w:r>
      <w:r w:rsidR="008B6A2A">
        <w:rPr>
          <w:lang w:val="en-US"/>
        </w:rPr>
        <w:t xml:space="preserve">from Cachat-Rosset et al. (2017) </w:t>
      </w:r>
      <w:r w:rsidR="00D264A2" w:rsidRPr="00D264A2">
        <w:rPr>
          <w:lang w:val="en-US"/>
        </w:rPr>
        <w:t>that consists of three distinct facets</w:t>
      </w:r>
      <w:bookmarkEnd w:id="1"/>
      <w:r w:rsidR="008B6A2A">
        <w:rPr>
          <w:lang w:val="en-US"/>
        </w:rPr>
        <w:t xml:space="preserve">: </w:t>
      </w:r>
      <w:r w:rsidR="003A0996">
        <w:rPr>
          <w:lang w:val="en-US"/>
        </w:rPr>
        <w:t>intentionality, programm</w:t>
      </w:r>
      <w:r w:rsidR="00414C6F">
        <w:rPr>
          <w:lang w:val="en-US"/>
        </w:rPr>
        <w:t>ing</w:t>
      </w:r>
      <w:r w:rsidR="003A0996">
        <w:rPr>
          <w:lang w:val="en-US"/>
        </w:rPr>
        <w:t>, praxis</w:t>
      </w:r>
      <w:r w:rsidR="00D264A2" w:rsidRPr="00D264A2">
        <w:rPr>
          <w:lang w:val="en-US"/>
        </w:rPr>
        <w:t xml:space="preserve">. </w:t>
      </w:r>
      <w:r w:rsidR="008F5975">
        <w:rPr>
          <w:lang w:val="en-US"/>
        </w:rPr>
        <w:t xml:space="preserve">Relying on the </w:t>
      </w:r>
      <w:r w:rsidR="008F5975" w:rsidRPr="008B6A2A">
        <w:rPr>
          <w:i/>
          <w:lang w:val="en-US"/>
        </w:rPr>
        <w:t>diversity system structure</w:t>
      </w:r>
      <w:r w:rsidR="008F5975">
        <w:rPr>
          <w:lang w:val="en-US"/>
        </w:rPr>
        <w:t xml:space="preserve"> approach from Arthur and Boyles (2007) and the </w:t>
      </w:r>
      <w:r w:rsidR="008F5975" w:rsidRPr="008B6A2A">
        <w:rPr>
          <w:i/>
          <w:lang w:val="en-US"/>
        </w:rPr>
        <w:t>diversity management system components</w:t>
      </w:r>
      <w:r w:rsidR="008F5975">
        <w:rPr>
          <w:lang w:val="en-US"/>
        </w:rPr>
        <w:t xml:space="preserve"> from Kulik (2014), we develop a measure with a structural approach </w:t>
      </w:r>
      <w:r w:rsidR="008B6A2A">
        <w:rPr>
          <w:lang w:val="en-US"/>
        </w:rPr>
        <w:t xml:space="preserve">of DC </w:t>
      </w:r>
      <w:r w:rsidR="008F5975">
        <w:rPr>
          <w:lang w:val="en-US"/>
        </w:rPr>
        <w:t xml:space="preserve">and </w:t>
      </w:r>
      <w:r w:rsidR="008B6A2A">
        <w:rPr>
          <w:lang w:val="en-US"/>
        </w:rPr>
        <w:t xml:space="preserve">we </w:t>
      </w:r>
      <w:r w:rsidR="008F5975">
        <w:rPr>
          <w:lang w:val="en-US"/>
        </w:rPr>
        <w:t>question</w:t>
      </w:r>
      <w:r w:rsidR="008F5975" w:rsidRPr="00D264A2">
        <w:rPr>
          <w:lang w:val="en-US"/>
        </w:rPr>
        <w:t xml:space="preserve"> established diversity management paradigms</w:t>
      </w:r>
      <w:r w:rsidR="008F5975">
        <w:rPr>
          <w:lang w:val="en-US"/>
        </w:rPr>
        <w:t xml:space="preserve"> </w:t>
      </w:r>
      <w:r w:rsidR="008B6A2A">
        <w:rPr>
          <w:lang w:val="en-US"/>
        </w:rPr>
        <w:t xml:space="preserve">as a way </w:t>
      </w:r>
      <w:r w:rsidR="008F5975">
        <w:rPr>
          <w:lang w:val="en-US"/>
        </w:rPr>
        <w:t xml:space="preserve">for assessing DC </w:t>
      </w:r>
      <w:r w:rsidR="008F5975" w:rsidRPr="009C4C2D">
        <w:rPr>
          <w:lang w:val="en-US"/>
        </w:rPr>
        <w:t>(</w:t>
      </w:r>
      <w:r w:rsidR="008F5975" w:rsidRPr="00245B05">
        <w:rPr>
          <w:lang w:val="en-GB" w:eastAsia="en-GB"/>
        </w:rPr>
        <w:t>Dwertmann</w:t>
      </w:r>
      <w:r w:rsidR="008F5975">
        <w:rPr>
          <w:lang w:val="en-GB" w:eastAsia="en-GB"/>
        </w:rPr>
        <w:t xml:space="preserve"> et al.,</w:t>
      </w:r>
      <w:r w:rsidR="008F5975" w:rsidRPr="00245B05">
        <w:rPr>
          <w:lang w:val="en-GB" w:eastAsia="en-GB"/>
        </w:rPr>
        <w:t xml:space="preserve"> 2016</w:t>
      </w:r>
      <w:r w:rsidR="008F5975">
        <w:rPr>
          <w:lang w:val="en-GB" w:eastAsia="en-GB"/>
        </w:rPr>
        <w:t xml:space="preserve">; </w:t>
      </w:r>
      <w:r w:rsidR="008F5975" w:rsidRPr="00245B05">
        <w:rPr>
          <w:lang w:val="en-GB" w:eastAsia="en-GB"/>
        </w:rPr>
        <w:t>Thomas</w:t>
      </w:r>
      <w:r w:rsidR="008F5975">
        <w:rPr>
          <w:lang w:val="en-GB" w:eastAsia="en-GB"/>
        </w:rPr>
        <w:t>, 1990;</w:t>
      </w:r>
      <w:r w:rsidR="008F5975" w:rsidRPr="00245B05">
        <w:rPr>
          <w:lang w:val="en-GB" w:eastAsia="en-GB"/>
        </w:rPr>
        <w:t xml:space="preserve"> Thomas and Ely</w:t>
      </w:r>
      <w:r w:rsidR="008F5975">
        <w:rPr>
          <w:lang w:val="en-GB" w:eastAsia="en-GB"/>
        </w:rPr>
        <w:t>,</w:t>
      </w:r>
      <w:r w:rsidR="008F5975" w:rsidRPr="00245B05">
        <w:rPr>
          <w:lang w:val="en-GB" w:eastAsia="en-GB"/>
        </w:rPr>
        <w:t xml:space="preserve"> 1996)</w:t>
      </w:r>
      <w:r w:rsidR="008F5975" w:rsidRPr="00D264A2">
        <w:rPr>
          <w:lang w:val="en-US"/>
        </w:rPr>
        <w:t xml:space="preserve">. </w:t>
      </w:r>
      <w:r w:rsidR="000A77C7">
        <w:rPr>
          <w:lang w:val="en-US"/>
        </w:rPr>
        <w:t xml:space="preserve">We </w:t>
      </w:r>
      <w:r w:rsidR="00C20EAE" w:rsidRPr="00D264A2">
        <w:rPr>
          <w:lang w:val="en-US"/>
        </w:rPr>
        <w:t xml:space="preserve">develop </w:t>
      </w:r>
      <w:r w:rsidR="008B6A2A">
        <w:rPr>
          <w:lang w:val="en-US"/>
        </w:rPr>
        <w:t xml:space="preserve">and validate </w:t>
      </w:r>
      <w:r w:rsidR="00C20EAE" w:rsidRPr="00D264A2">
        <w:rPr>
          <w:lang w:val="en-US"/>
        </w:rPr>
        <w:t>a reliable 1</w:t>
      </w:r>
      <w:r w:rsidR="00F15951">
        <w:rPr>
          <w:lang w:val="en-US"/>
        </w:rPr>
        <w:t>1</w:t>
      </w:r>
      <w:r w:rsidR="00C20EAE" w:rsidRPr="00D264A2">
        <w:rPr>
          <w:lang w:val="en-US"/>
        </w:rPr>
        <w:t xml:space="preserve">-item scale </w:t>
      </w:r>
      <w:r w:rsidR="000A77C7">
        <w:rPr>
          <w:lang w:val="en-US"/>
        </w:rPr>
        <w:t>resulting from</w:t>
      </w:r>
      <w:r w:rsidR="00D264A2" w:rsidRPr="00D264A2">
        <w:rPr>
          <w:lang w:val="en-US"/>
        </w:rPr>
        <w:t xml:space="preserve"> </w:t>
      </w:r>
      <w:r w:rsidR="00C20EAE">
        <w:rPr>
          <w:lang w:val="en-US"/>
        </w:rPr>
        <w:t xml:space="preserve">a </w:t>
      </w:r>
      <w:r w:rsidR="000A77C7">
        <w:rPr>
          <w:lang w:val="en-US"/>
        </w:rPr>
        <w:t>three</w:t>
      </w:r>
      <w:r w:rsidR="00C20EAE">
        <w:rPr>
          <w:lang w:val="en-US"/>
        </w:rPr>
        <w:t>-st</w:t>
      </w:r>
      <w:r w:rsidR="008B6A2A">
        <w:rPr>
          <w:lang w:val="en-US"/>
        </w:rPr>
        <w:t>age</w:t>
      </w:r>
      <w:r w:rsidR="00C20EAE">
        <w:rPr>
          <w:lang w:val="en-US"/>
        </w:rPr>
        <w:t xml:space="preserve"> development process </w:t>
      </w:r>
      <w:r w:rsidR="00D264A2" w:rsidRPr="00D264A2">
        <w:rPr>
          <w:lang w:val="en-US"/>
        </w:rPr>
        <w:t>(N=150; N=398; N=</w:t>
      </w:r>
      <w:r w:rsidR="0043254C" w:rsidRPr="00D264A2">
        <w:rPr>
          <w:lang w:val="en-US"/>
        </w:rPr>
        <w:t>2</w:t>
      </w:r>
      <w:r w:rsidR="0043254C">
        <w:rPr>
          <w:lang w:val="en-US"/>
        </w:rPr>
        <w:t>21</w:t>
      </w:r>
      <w:r w:rsidR="00D264A2" w:rsidRPr="00D264A2">
        <w:rPr>
          <w:lang w:val="en-US"/>
        </w:rPr>
        <w:t xml:space="preserve">) at individual and </w:t>
      </w:r>
      <w:r w:rsidR="008B6A2A">
        <w:rPr>
          <w:lang w:val="en-US"/>
        </w:rPr>
        <w:t>higher</w:t>
      </w:r>
      <w:r w:rsidR="00D264A2" w:rsidRPr="00D264A2">
        <w:rPr>
          <w:lang w:val="en-US"/>
        </w:rPr>
        <w:t xml:space="preserve"> levels</w:t>
      </w:r>
      <w:r w:rsidR="00C20EAE">
        <w:rPr>
          <w:lang w:val="en-US"/>
        </w:rPr>
        <w:t xml:space="preserve">. </w:t>
      </w:r>
      <w:r w:rsidR="00D264A2" w:rsidRPr="00D264A2">
        <w:rPr>
          <w:lang w:val="en-US"/>
        </w:rPr>
        <w:t xml:space="preserve">The nomological validity </w:t>
      </w:r>
      <w:r w:rsidR="008B6A2A">
        <w:rPr>
          <w:lang w:val="en-US"/>
        </w:rPr>
        <w:t>i</w:t>
      </w:r>
      <w:r w:rsidR="00D264A2" w:rsidRPr="00D264A2">
        <w:rPr>
          <w:lang w:val="en-US"/>
        </w:rPr>
        <w:t xml:space="preserve">s established by examining </w:t>
      </w:r>
      <w:r w:rsidR="008B6A2A">
        <w:rPr>
          <w:lang w:val="en-US"/>
        </w:rPr>
        <w:t>the</w:t>
      </w:r>
      <w:r w:rsidR="00D264A2" w:rsidRPr="00D264A2">
        <w:rPr>
          <w:lang w:val="en-US"/>
        </w:rPr>
        <w:t xml:space="preserve"> impact </w:t>
      </w:r>
      <w:r w:rsidR="008B6A2A">
        <w:rPr>
          <w:lang w:val="en-US"/>
        </w:rPr>
        <w:t xml:space="preserve">of DC </w:t>
      </w:r>
      <w:r w:rsidR="00D264A2" w:rsidRPr="00D264A2">
        <w:rPr>
          <w:lang w:val="en-US"/>
        </w:rPr>
        <w:t>on social integration</w:t>
      </w:r>
      <w:r w:rsidR="008B6A2A">
        <w:rPr>
          <w:lang w:val="en-US"/>
        </w:rPr>
        <w:t xml:space="preserve"> at unit level</w:t>
      </w:r>
      <w:r w:rsidR="00D264A2" w:rsidRPr="00D264A2">
        <w:rPr>
          <w:lang w:val="en-US"/>
        </w:rPr>
        <w:t xml:space="preserve">. We assess the predictive power of the newly designed instrument by comparing it to </w:t>
      </w:r>
      <w:r w:rsidR="008B6A2A">
        <w:rPr>
          <w:lang w:val="en-US"/>
        </w:rPr>
        <w:t>the</w:t>
      </w:r>
      <w:r w:rsidR="00D264A2" w:rsidRPr="00D264A2">
        <w:rPr>
          <w:lang w:val="en-US"/>
        </w:rPr>
        <w:t xml:space="preserve"> well-established measure </w:t>
      </w:r>
      <w:r w:rsidR="008B6A2A">
        <w:rPr>
          <w:lang w:val="en-US"/>
        </w:rPr>
        <w:t xml:space="preserve">from </w:t>
      </w:r>
      <w:r w:rsidR="00D264A2" w:rsidRPr="00D264A2">
        <w:rPr>
          <w:lang w:val="en-US"/>
        </w:rPr>
        <w:t>McKay</w:t>
      </w:r>
      <w:r w:rsidR="00BD3FAC">
        <w:rPr>
          <w:lang w:val="en-US"/>
        </w:rPr>
        <w:t xml:space="preserve"> et al.</w:t>
      </w:r>
      <w:r w:rsidR="00D264A2" w:rsidRPr="00D264A2">
        <w:rPr>
          <w:lang w:val="en-US"/>
        </w:rPr>
        <w:t xml:space="preserve"> </w:t>
      </w:r>
      <w:r w:rsidR="008B6A2A">
        <w:rPr>
          <w:lang w:val="en-US"/>
        </w:rPr>
        <w:t>(</w:t>
      </w:r>
      <w:r w:rsidR="00D264A2" w:rsidRPr="00D264A2">
        <w:rPr>
          <w:lang w:val="en-US"/>
        </w:rPr>
        <w:t xml:space="preserve">2008). </w:t>
      </w:r>
      <w:r w:rsidR="00945E63">
        <w:rPr>
          <w:lang w:val="en-US"/>
        </w:rPr>
        <w:t xml:space="preserve">We </w:t>
      </w:r>
      <w:r w:rsidR="003A0996">
        <w:rPr>
          <w:lang w:val="en-US"/>
        </w:rPr>
        <w:t xml:space="preserve">finally </w:t>
      </w:r>
      <w:r w:rsidR="00945E63">
        <w:rPr>
          <w:lang w:val="en-US"/>
        </w:rPr>
        <w:t xml:space="preserve">discuss the implications of our research and </w:t>
      </w:r>
      <w:r w:rsidR="00C20EAE">
        <w:rPr>
          <w:lang w:val="en-US"/>
        </w:rPr>
        <w:t>propose a</w:t>
      </w:r>
      <w:r w:rsidR="00E0014E">
        <w:rPr>
          <w:lang w:val="en-US"/>
        </w:rPr>
        <w:t>n innovative taxonomy of organizations’ diversity profiles.</w:t>
      </w:r>
    </w:p>
    <w:p w14:paraId="442DF4CE" w14:textId="0D238872" w:rsidR="00917811" w:rsidRPr="007B220B" w:rsidRDefault="00927A89" w:rsidP="00D264A2">
      <w:pPr>
        <w:spacing w:line="480" w:lineRule="auto"/>
        <w:jc w:val="both"/>
        <w:rPr>
          <w:lang w:val="en-US"/>
        </w:rPr>
      </w:pPr>
      <w:r w:rsidRPr="00B6444E">
        <w:rPr>
          <w:b/>
          <w:lang w:val="en-US"/>
        </w:rPr>
        <w:t>Keywords:</w:t>
      </w:r>
      <w:r w:rsidRPr="00B6444E">
        <w:rPr>
          <w:lang w:val="en-US"/>
        </w:rPr>
        <w:t xml:space="preserve"> </w:t>
      </w:r>
      <w:r w:rsidR="00D22753">
        <w:rPr>
          <w:lang w:val="en-US"/>
        </w:rPr>
        <w:t>diversity climate</w:t>
      </w:r>
      <w:r w:rsidRPr="00B6444E">
        <w:rPr>
          <w:lang w:val="en-US"/>
        </w:rPr>
        <w:t xml:space="preserve">, </w:t>
      </w:r>
      <w:r w:rsidR="00F549E8" w:rsidRPr="00B6444E">
        <w:rPr>
          <w:lang w:val="en-US"/>
        </w:rPr>
        <w:t xml:space="preserve">diversity management, </w:t>
      </w:r>
      <w:r w:rsidR="000C7D9D">
        <w:rPr>
          <w:lang w:val="en-US"/>
        </w:rPr>
        <w:t xml:space="preserve">diversity paradigms, </w:t>
      </w:r>
      <w:r w:rsidR="00B33870">
        <w:rPr>
          <w:lang w:val="en-US"/>
        </w:rPr>
        <w:t xml:space="preserve">multi-level analysis, </w:t>
      </w:r>
      <w:r w:rsidR="000F009B" w:rsidRPr="00B6444E">
        <w:rPr>
          <w:lang w:val="en-US"/>
        </w:rPr>
        <w:t xml:space="preserve">social integration, </w:t>
      </w:r>
      <w:r w:rsidR="007B220B">
        <w:rPr>
          <w:lang w:val="en-US"/>
        </w:rPr>
        <w:t>scale development and validation</w:t>
      </w:r>
    </w:p>
    <w:p w14:paraId="31F565CF" w14:textId="1D954CE9" w:rsidR="0099758C" w:rsidRDefault="0099758C">
      <w:pPr>
        <w:spacing w:after="200" w:line="276" w:lineRule="auto"/>
        <w:rPr>
          <w:rFonts w:cs="Arial"/>
          <w:b/>
          <w:bCs/>
          <w:kern w:val="32"/>
          <w:sz w:val="22"/>
          <w:szCs w:val="32"/>
          <w:lang w:val="en-US" w:eastAsia="en-GB"/>
        </w:rPr>
      </w:pPr>
      <w:bookmarkStart w:id="2" w:name="_Toc528231589"/>
      <w:r>
        <w:rPr>
          <w:rFonts w:cs="Arial"/>
          <w:b/>
          <w:bCs/>
          <w:kern w:val="32"/>
          <w:sz w:val="22"/>
          <w:szCs w:val="32"/>
          <w:lang w:val="en-US" w:eastAsia="en-GB"/>
        </w:rPr>
        <w:br w:type="page"/>
      </w:r>
    </w:p>
    <w:bookmarkEnd w:id="2"/>
    <w:p w14:paraId="52739267" w14:textId="4A8DD5E3" w:rsidR="00710C27" w:rsidRPr="00E7714B" w:rsidRDefault="004E03A7" w:rsidP="00B16B0E">
      <w:pPr>
        <w:pBdr>
          <w:top w:val="nil"/>
          <w:left w:val="nil"/>
          <w:bottom w:val="nil"/>
          <w:right w:val="nil"/>
          <w:between w:val="nil"/>
        </w:pBdr>
        <w:spacing w:line="480" w:lineRule="auto"/>
        <w:jc w:val="center"/>
        <w:rPr>
          <w:color w:val="000000"/>
          <w:u w:val="single"/>
          <w:lang w:val="en-US"/>
        </w:rPr>
      </w:pPr>
      <w:r>
        <w:rPr>
          <w:color w:val="000000"/>
          <w:u w:val="single"/>
          <w:lang w:val="en-US"/>
        </w:rPr>
        <w:lastRenderedPageBreak/>
        <w:t>PURPOSE</w:t>
      </w:r>
    </w:p>
    <w:p w14:paraId="236A513A" w14:textId="6DCCDC93" w:rsidR="00B72507" w:rsidRDefault="0007693E" w:rsidP="002475F4">
      <w:pPr>
        <w:spacing w:line="480" w:lineRule="auto"/>
        <w:jc w:val="both"/>
        <w:rPr>
          <w:lang w:val="en-US"/>
        </w:rPr>
      </w:pPr>
      <w:r>
        <w:rPr>
          <w:lang w:val="en-GB" w:eastAsia="en-GB"/>
        </w:rPr>
        <w:t xml:space="preserve">Modern societies evolve towards what Vertovec (2007) has termed </w:t>
      </w:r>
      <w:r w:rsidR="00454354">
        <w:rPr>
          <w:lang w:val="en-GB" w:eastAsia="en-GB"/>
        </w:rPr>
        <w:t>‘</w:t>
      </w:r>
      <w:r>
        <w:rPr>
          <w:lang w:val="en-GB" w:eastAsia="en-GB"/>
        </w:rPr>
        <w:t>super-diversity</w:t>
      </w:r>
      <w:r w:rsidR="00454354">
        <w:rPr>
          <w:lang w:val="en-GB" w:eastAsia="en-GB"/>
        </w:rPr>
        <w:t>’</w:t>
      </w:r>
      <w:r>
        <w:rPr>
          <w:lang w:val="en-GB" w:eastAsia="en-GB"/>
        </w:rPr>
        <w:t xml:space="preserve">. As far </w:t>
      </w:r>
      <w:r w:rsidR="00454354">
        <w:rPr>
          <w:lang w:val="en-GB" w:eastAsia="en-GB"/>
        </w:rPr>
        <w:t xml:space="preserve">as </w:t>
      </w:r>
      <w:r>
        <w:rPr>
          <w:lang w:val="en-GB" w:eastAsia="en-GB"/>
        </w:rPr>
        <w:t xml:space="preserve">businesses are concerned, there has been </w:t>
      </w:r>
      <w:r w:rsidR="00454354">
        <w:rPr>
          <w:lang w:val="en-GB" w:eastAsia="en-GB"/>
        </w:rPr>
        <w:t xml:space="preserve">a </w:t>
      </w:r>
      <w:r>
        <w:rPr>
          <w:lang w:val="en-GB" w:eastAsia="en-GB"/>
        </w:rPr>
        <w:t>longstanding support for promoting workforce diversity</w:t>
      </w:r>
      <w:r w:rsidR="00454354">
        <w:rPr>
          <w:lang w:val="en-GB" w:eastAsia="en-GB"/>
        </w:rPr>
        <w:t xml:space="preserve"> as it engenders a variety of benefits for organizations and societies </w:t>
      </w:r>
      <w:r>
        <w:rPr>
          <w:lang w:val="en-GB" w:eastAsia="en-GB"/>
        </w:rPr>
        <w:t>(European Commission, 200</w:t>
      </w:r>
      <w:r w:rsidR="00860F69">
        <w:rPr>
          <w:lang w:val="en-GB" w:eastAsia="en-GB"/>
        </w:rPr>
        <w:t>3</w:t>
      </w:r>
      <w:r>
        <w:rPr>
          <w:lang w:val="en-GB" w:eastAsia="en-GB"/>
        </w:rPr>
        <w:t xml:space="preserve">). </w:t>
      </w:r>
      <w:r w:rsidR="00972FDC">
        <w:rPr>
          <w:lang w:val="en-GB" w:eastAsia="en-GB"/>
        </w:rPr>
        <w:t>Di</w:t>
      </w:r>
      <w:r w:rsidR="00017EC5" w:rsidRPr="009C4C2D">
        <w:rPr>
          <w:lang w:val="en-GB" w:eastAsia="en-GB"/>
        </w:rPr>
        <w:t xml:space="preserve">versity </w:t>
      </w:r>
      <w:r w:rsidR="00CB1B50">
        <w:rPr>
          <w:lang w:val="en-GB" w:eastAsia="en-GB"/>
        </w:rPr>
        <w:t xml:space="preserve">has been shown to </w:t>
      </w:r>
      <w:r w:rsidR="00017EC5" w:rsidRPr="009C4C2D">
        <w:rPr>
          <w:lang w:val="en-GB" w:eastAsia="en-GB"/>
        </w:rPr>
        <w:t>foster innovation</w:t>
      </w:r>
      <w:r w:rsidR="00E456C7" w:rsidRPr="009C4C2D">
        <w:rPr>
          <w:lang w:val="en-GB" w:eastAsia="en-GB"/>
        </w:rPr>
        <w:t xml:space="preserve"> </w:t>
      </w:r>
      <w:r w:rsidR="00E456C7" w:rsidRPr="009C4C2D">
        <w:rPr>
          <w:lang w:val="en-US"/>
        </w:rPr>
        <w:t>(Ozgen</w:t>
      </w:r>
      <w:r w:rsidR="00C6245C">
        <w:rPr>
          <w:lang w:val="en-US"/>
        </w:rPr>
        <w:t xml:space="preserve"> et al.</w:t>
      </w:r>
      <w:r w:rsidR="00E456C7" w:rsidRPr="009C4C2D">
        <w:rPr>
          <w:lang w:val="en-US"/>
        </w:rPr>
        <w:t>, 2013</w:t>
      </w:r>
      <w:r w:rsidR="00AF7BD2">
        <w:rPr>
          <w:lang w:val="en-US"/>
        </w:rPr>
        <w:t>;</w:t>
      </w:r>
      <w:r w:rsidR="00AF7BD2" w:rsidRPr="00AF7BD2">
        <w:rPr>
          <w:lang w:val="en-US"/>
        </w:rPr>
        <w:t xml:space="preserve"> </w:t>
      </w:r>
      <w:r w:rsidR="00AF7BD2" w:rsidRPr="009C4C2D">
        <w:rPr>
          <w:lang w:val="en-US"/>
        </w:rPr>
        <w:t>Van der Vegt and Janssen, 2003</w:t>
      </w:r>
      <w:r w:rsidR="00E456C7" w:rsidRPr="009C4C2D">
        <w:rPr>
          <w:lang w:val="en-US"/>
        </w:rPr>
        <w:t>)</w:t>
      </w:r>
      <w:r w:rsidR="00017EC5" w:rsidRPr="009C4C2D">
        <w:rPr>
          <w:lang w:val="en-GB" w:eastAsia="en-GB"/>
        </w:rPr>
        <w:t xml:space="preserve">, creativity and problem solving </w:t>
      </w:r>
      <w:r w:rsidR="00E456C7" w:rsidRPr="009C4C2D">
        <w:rPr>
          <w:lang w:val="en-US"/>
        </w:rPr>
        <w:t>(Cox and Blake, 1991; Richard</w:t>
      </w:r>
      <w:r w:rsidR="00C6245C">
        <w:rPr>
          <w:lang w:val="en-US"/>
        </w:rPr>
        <w:t xml:space="preserve"> et al.</w:t>
      </w:r>
      <w:r w:rsidR="00E456C7" w:rsidRPr="009C4C2D">
        <w:rPr>
          <w:lang w:val="en-US"/>
        </w:rPr>
        <w:t xml:space="preserve">, 2013) </w:t>
      </w:r>
      <w:r w:rsidR="00017EC5" w:rsidRPr="009C4C2D">
        <w:rPr>
          <w:lang w:val="en-GB" w:eastAsia="en-GB"/>
        </w:rPr>
        <w:t xml:space="preserve">and more diversified </w:t>
      </w:r>
      <w:r w:rsidR="00E456C7" w:rsidRPr="009C4C2D">
        <w:rPr>
          <w:lang w:val="en-US"/>
        </w:rPr>
        <w:t>customers</w:t>
      </w:r>
      <w:r w:rsidR="00E456C7" w:rsidRPr="009C4C2D">
        <w:rPr>
          <w:lang w:val="en-GB" w:eastAsia="en-GB"/>
        </w:rPr>
        <w:t xml:space="preserve"> </w:t>
      </w:r>
      <w:r w:rsidR="00E456C7" w:rsidRPr="009C4C2D">
        <w:rPr>
          <w:lang w:val="en-US"/>
        </w:rPr>
        <w:t>(Cox, 1993; Herring, 2009; Thomas and Ely</w:t>
      </w:r>
      <w:r w:rsidR="001747DF">
        <w:rPr>
          <w:lang w:val="en-US"/>
        </w:rPr>
        <w:t>,</w:t>
      </w:r>
      <w:r w:rsidR="00E456C7" w:rsidRPr="009C4C2D">
        <w:rPr>
          <w:lang w:val="en-US"/>
        </w:rPr>
        <w:t xml:space="preserve"> 1996)</w:t>
      </w:r>
      <w:r w:rsidR="00017EC5" w:rsidRPr="009C4C2D">
        <w:rPr>
          <w:lang w:val="en-GB" w:eastAsia="en-GB"/>
        </w:rPr>
        <w:t xml:space="preserve">. </w:t>
      </w:r>
      <w:r w:rsidR="001504FB">
        <w:rPr>
          <w:lang w:val="en-GB" w:eastAsia="en-GB"/>
        </w:rPr>
        <w:t>However,</w:t>
      </w:r>
      <w:r w:rsidR="00A4095E">
        <w:rPr>
          <w:lang w:val="en-GB" w:eastAsia="en-GB"/>
        </w:rPr>
        <w:t xml:space="preserve"> early </w:t>
      </w:r>
      <w:r w:rsidR="00454354">
        <w:rPr>
          <w:lang w:val="en-GB" w:eastAsia="en-GB"/>
        </w:rPr>
        <w:t>research</w:t>
      </w:r>
      <w:r w:rsidR="00A4095E">
        <w:rPr>
          <w:lang w:val="en-GB" w:eastAsia="en-GB"/>
        </w:rPr>
        <w:t xml:space="preserve"> suggested that </w:t>
      </w:r>
      <w:r w:rsidR="001504FB">
        <w:rPr>
          <w:lang w:val="en-GB" w:eastAsia="en-GB"/>
        </w:rPr>
        <w:t xml:space="preserve">diversity </w:t>
      </w:r>
      <w:r w:rsidR="001504FB" w:rsidRPr="00E7714B">
        <w:rPr>
          <w:i/>
          <w:iCs/>
          <w:lang w:val="en-GB" w:eastAsia="en-GB"/>
        </w:rPr>
        <w:t>per se</w:t>
      </w:r>
      <w:r w:rsidR="001504FB">
        <w:rPr>
          <w:lang w:val="en-GB" w:eastAsia="en-GB"/>
        </w:rPr>
        <w:t xml:space="preserve"> does not benefit organization</w:t>
      </w:r>
      <w:r w:rsidR="00F15951">
        <w:rPr>
          <w:lang w:val="en-GB" w:eastAsia="en-GB"/>
        </w:rPr>
        <w:t>s and needs a proper context</w:t>
      </w:r>
      <w:r w:rsidR="001504FB">
        <w:rPr>
          <w:lang w:val="en-GB" w:eastAsia="en-GB"/>
        </w:rPr>
        <w:t xml:space="preserve"> to blossom (Cox </w:t>
      </w:r>
      <w:r w:rsidR="00FB0A77">
        <w:rPr>
          <w:lang w:val="en-GB" w:eastAsia="en-GB"/>
        </w:rPr>
        <w:t>and</w:t>
      </w:r>
      <w:r w:rsidR="001504FB">
        <w:rPr>
          <w:lang w:val="en-GB" w:eastAsia="en-GB"/>
        </w:rPr>
        <w:t xml:space="preserve"> Blake, 1991). </w:t>
      </w:r>
      <w:r w:rsidR="001522AD">
        <w:rPr>
          <w:lang w:val="en-GB" w:eastAsia="en-GB"/>
        </w:rPr>
        <w:t xml:space="preserve">Regardless of </w:t>
      </w:r>
      <w:r w:rsidR="00454354">
        <w:rPr>
          <w:lang w:val="en-GB" w:eastAsia="en-GB"/>
        </w:rPr>
        <w:t>contextual considerations</w:t>
      </w:r>
      <w:r w:rsidR="001522AD">
        <w:rPr>
          <w:lang w:val="en-GB" w:eastAsia="en-GB"/>
        </w:rPr>
        <w:t>,</w:t>
      </w:r>
      <w:r w:rsidR="00F15951">
        <w:rPr>
          <w:lang w:val="en-GB" w:eastAsia="en-GB"/>
        </w:rPr>
        <w:t xml:space="preserve"> </w:t>
      </w:r>
      <w:r w:rsidR="001504FB">
        <w:rPr>
          <w:lang w:val="en-US"/>
        </w:rPr>
        <w:t>DC</w:t>
      </w:r>
      <w:r w:rsidR="001522AD" w:rsidRPr="001522AD">
        <w:rPr>
          <w:lang w:val="en-US"/>
        </w:rPr>
        <w:t xml:space="preserve"> </w:t>
      </w:r>
      <w:r w:rsidR="0016087E">
        <w:rPr>
          <w:lang w:val="en-US"/>
        </w:rPr>
        <w:t xml:space="preserve">has been identified as </w:t>
      </w:r>
      <w:r w:rsidR="001522AD">
        <w:rPr>
          <w:lang w:val="en-US"/>
        </w:rPr>
        <w:t xml:space="preserve">a </w:t>
      </w:r>
      <w:r w:rsidR="00454354">
        <w:rPr>
          <w:lang w:val="en-US"/>
        </w:rPr>
        <w:t xml:space="preserve">key </w:t>
      </w:r>
      <w:r w:rsidR="0016087E">
        <w:rPr>
          <w:lang w:val="en-US"/>
        </w:rPr>
        <w:t>concept</w:t>
      </w:r>
      <w:r w:rsidR="00B72507">
        <w:rPr>
          <w:lang w:val="en-US"/>
        </w:rPr>
        <w:t xml:space="preserve"> </w:t>
      </w:r>
      <w:r w:rsidR="004254E4">
        <w:rPr>
          <w:lang w:val="en-US"/>
        </w:rPr>
        <w:t>expected</w:t>
      </w:r>
      <w:r w:rsidR="00906DFF" w:rsidRPr="009C4C2D">
        <w:rPr>
          <w:lang w:val="en-US"/>
        </w:rPr>
        <w:t xml:space="preserve"> </w:t>
      </w:r>
      <w:r w:rsidR="004254E4">
        <w:rPr>
          <w:lang w:val="en-US"/>
        </w:rPr>
        <w:t xml:space="preserve">to </w:t>
      </w:r>
      <w:r w:rsidR="00454354">
        <w:rPr>
          <w:lang w:val="en-US"/>
        </w:rPr>
        <w:t xml:space="preserve">strongly </w:t>
      </w:r>
      <w:r w:rsidR="004254E4">
        <w:rPr>
          <w:lang w:val="en-US"/>
        </w:rPr>
        <w:t xml:space="preserve">moderate </w:t>
      </w:r>
      <w:r w:rsidR="00906DFF" w:rsidRPr="009C4C2D">
        <w:rPr>
          <w:lang w:val="en-US"/>
        </w:rPr>
        <w:t xml:space="preserve">the relationship between </w:t>
      </w:r>
      <w:r w:rsidR="00DA6309" w:rsidRPr="009C4C2D">
        <w:rPr>
          <w:lang w:val="en-US"/>
        </w:rPr>
        <w:t xml:space="preserve">an organization’s </w:t>
      </w:r>
      <w:r w:rsidR="00F512CA">
        <w:rPr>
          <w:lang w:val="en-US"/>
        </w:rPr>
        <w:t xml:space="preserve">workforce </w:t>
      </w:r>
      <w:r w:rsidR="00906DFF" w:rsidRPr="009C4C2D">
        <w:rPr>
          <w:lang w:val="en-US"/>
        </w:rPr>
        <w:t xml:space="preserve">diversity and </w:t>
      </w:r>
      <w:r w:rsidR="00454354">
        <w:rPr>
          <w:lang w:val="en-US"/>
        </w:rPr>
        <w:t xml:space="preserve">both </w:t>
      </w:r>
      <w:r w:rsidR="0006709A">
        <w:rPr>
          <w:lang w:val="en-US"/>
        </w:rPr>
        <w:t>individual and organizational</w:t>
      </w:r>
      <w:r w:rsidR="00906DFF" w:rsidRPr="009C4C2D">
        <w:rPr>
          <w:lang w:val="en-US"/>
        </w:rPr>
        <w:t xml:space="preserve"> </w:t>
      </w:r>
      <w:r w:rsidR="00CB1B50">
        <w:rPr>
          <w:lang w:val="en-US"/>
        </w:rPr>
        <w:t xml:space="preserve">positive </w:t>
      </w:r>
      <w:r w:rsidR="00906DFF" w:rsidRPr="009C4C2D">
        <w:rPr>
          <w:lang w:val="en-US"/>
        </w:rPr>
        <w:t>outcomes</w:t>
      </w:r>
      <w:r w:rsidR="00CB1B50">
        <w:rPr>
          <w:lang w:val="en-US"/>
        </w:rPr>
        <w:t>, while preventing possible negative ones</w:t>
      </w:r>
      <w:r>
        <w:rPr>
          <w:lang w:val="en-US"/>
        </w:rPr>
        <w:t>. It is also expected to be a mediator between</w:t>
      </w:r>
      <w:r w:rsidR="00ED641F">
        <w:rPr>
          <w:lang w:val="en-US"/>
        </w:rPr>
        <w:t xml:space="preserve"> human resource </w:t>
      </w:r>
      <w:r w:rsidR="000C2987">
        <w:rPr>
          <w:lang w:val="en-US"/>
        </w:rPr>
        <w:t xml:space="preserve">(HR) </w:t>
      </w:r>
      <w:r w:rsidR="00ED641F">
        <w:rPr>
          <w:lang w:val="en-US"/>
        </w:rPr>
        <w:t>management</w:t>
      </w:r>
      <w:r>
        <w:rPr>
          <w:lang w:val="en-US"/>
        </w:rPr>
        <w:t xml:space="preserve"> practices </w:t>
      </w:r>
      <w:r w:rsidR="00CB1B50">
        <w:rPr>
          <w:lang w:val="en-US"/>
        </w:rPr>
        <w:t xml:space="preserve">in favor of diversity </w:t>
      </w:r>
      <w:r>
        <w:rPr>
          <w:lang w:val="en-US"/>
        </w:rPr>
        <w:t xml:space="preserve">and </w:t>
      </w:r>
      <w:r w:rsidR="00454354">
        <w:rPr>
          <w:lang w:val="en-US"/>
        </w:rPr>
        <w:t xml:space="preserve">the abovementioned </w:t>
      </w:r>
      <w:r>
        <w:rPr>
          <w:lang w:val="en-US"/>
        </w:rPr>
        <w:t>outcomes</w:t>
      </w:r>
      <w:r w:rsidR="001522AD">
        <w:rPr>
          <w:lang w:val="en-US"/>
        </w:rPr>
        <w:t xml:space="preserve"> (Cox and Blake, 1991)</w:t>
      </w:r>
      <w:r w:rsidR="00E456C7" w:rsidRPr="009C4C2D">
        <w:rPr>
          <w:lang w:val="en-US"/>
        </w:rPr>
        <w:t xml:space="preserve">. </w:t>
      </w:r>
      <w:r w:rsidR="00CB1B50">
        <w:rPr>
          <w:lang w:val="en-US"/>
        </w:rPr>
        <w:t xml:space="preserve">So, </w:t>
      </w:r>
      <w:r w:rsidR="0016087E">
        <w:rPr>
          <w:lang w:val="en-US"/>
        </w:rPr>
        <w:t>DC stresses the crucial importance of employees’ perceptions for the success of diversity management</w:t>
      </w:r>
      <w:r w:rsidR="00520577">
        <w:rPr>
          <w:lang w:val="en-US"/>
        </w:rPr>
        <w:t xml:space="preserve">, </w:t>
      </w:r>
      <w:r w:rsidR="000C7D9D">
        <w:rPr>
          <w:lang w:val="en-US"/>
        </w:rPr>
        <w:t>especially in a context of increasing signals of resistance towards diversity</w:t>
      </w:r>
      <w:r w:rsidR="0016087E">
        <w:rPr>
          <w:lang w:val="en-US"/>
        </w:rPr>
        <w:t>.</w:t>
      </w:r>
    </w:p>
    <w:p w14:paraId="6A73D114" w14:textId="3658E680" w:rsidR="007E26C1" w:rsidRDefault="00383D84" w:rsidP="001253F9">
      <w:pPr>
        <w:spacing w:line="480" w:lineRule="auto"/>
        <w:jc w:val="both"/>
        <w:rPr>
          <w:lang w:val="en-US"/>
        </w:rPr>
      </w:pPr>
      <w:r w:rsidRPr="009C4C2D">
        <w:rPr>
          <w:lang w:val="en-US"/>
        </w:rPr>
        <w:t xml:space="preserve">Unfortunately, </w:t>
      </w:r>
      <w:r w:rsidR="00454354">
        <w:rPr>
          <w:lang w:val="en-US"/>
        </w:rPr>
        <w:t>scholars in the</w:t>
      </w:r>
      <w:r w:rsidR="0006709A">
        <w:rPr>
          <w:lang w:val="en-US"/>
        </w:rPr>
        <w:t xml:space="preserve"> </w:t>
      </w:r>
      <w:r w:rsidR="001504FB">
        <w:rPr>
          <w:lang w:val="en-US"/>
        </w:rPr>
        <w:t xml:space="preserve">DC </w:t>
      </w:r>
      <w:r w:rsidR="00454354">
        <w:rPr>
          <w:lang w:val="en-US"/>
        </w:rPr>
        <w:t>body of research have consensually acknowledged</w:t>
      </w:r>
      <w:r w:rsidR="000A77C7">
        <w:rPr>
          <w:lang w:val="en-US"/>
        </w:rPr>
        <w:t xml:space="preserve"> </w:t>
      </w:r>
      <w:r w:rsidR="00712517" w:rsidRPr="009C4C2D">
        <w:rPr>
          <w:lang w:val="en-US"/>
        </w:rPr>
        <w:t xml:space="preserve">that </w:t>
      </w:r>
      <w:r w:rsidR="00454354">
        <w:rPr>
          <w:lang w:val="en-US"/>
        </w:rPr>
        <w:t xml:space="preserve">the </w:t>
      </w:r>
      <w:r w:rsidR="00B064B4">
        <w:rPr>
          <w:lang w:val="en-US"/>
        </w:rPr>
        <w:t xml:space="preserve">concept </w:t>
      </w:r>
      <w:r w:rsidR="00712517" w:rsidRPr="009C4C2D">
        <w:rPr>
          <w:lang w:val="en-US"/>
        </w:rPr>
        <w:t>remain</w:t>
      </w:r>
      <w:r w:rsidR="00454354">
        <w:rPr>
          <w:lang w:val="en-US"/>
        </w:rPr>
        <w:t>ed</w:t>
      </w:r>
      <w:r w:rsidR="00712517" w:rsidRPr="009C4C2D">
        <w:rPr>
          <w:lang w:val="en-US"/>
        </w:rPr>
        <w:t xml:space="preserve"> poorly conceptualized</w:t>
      </w:r>
      <w:r w:rsidR="002511A4" w:rsidRPr="009C4C2D">
        <w:rPr>
          <w:lang w:val="en-US"/>
        </w:rPr>
        <w:t xml:space="preserve"> and operationalize</w:t>
      </w:r>
      <w:r w:rsidR="00494021">
        <w:rPr>
          <w:lang w:val="en-US"/>
        </w:rPr>
        <w:t>d</w:t>
      </w:r>
      <w:r w:rsidR="000A77C7">
        <w:rPr>
          <w:lang w:val="en-US"/>
        </w:rPr>
        <w:t xml:space="preserve"> (</w:t>
      </w:r>
      <w:r w:rsidR="00AF7BD2" w:rsidRPr="00E22DD0">
        <w:rPr>
          <w:lang w:val="en-US"/>
        </w:rPr>
        <w:t>Cachat-Rosset et al., 2017</w:t>
      </w:r>
      <w:r w:rsidR="00AF7BD2">
        <w:rPr>
          <w:lang w:val="en-US"/>
        </w:rPr>
        <w:t xml:space="preserve">; </w:t>
      </w:r>
      <w:r w:rsidR="001504FB">
        <w:rPr>
          <w:lang w:val="en-US"/>
        </w:rPr>
        <w:t xml:space="preserve">Chrobot-Mason </w:t>
      </w:r>
      <w:r w:rsidR="00FB0A77">
        <w:rPr>
          <w:lang w:val="en-US"/>
        </w:rPr>
        <w:t>and</w:t>
      </w:r>
      <w:r w:rsidR="001504FB">
        <w:rPr>
          <w:lang w:val="en-US"/>
        </w:rPr>
        <w:t xml:space="preserve"> Aramovich, 2013; </w:t>
      </w:r>
      <w:r w:rsidR="00AF7BD2">
        <w:rPr>
          <w:lang w:val="en-US"/>
        </w:rPr>
        <w:t xml:space="preserve">Dwertmann et al., 2016; </w:t>
      </w:r>
      <w:r w:rsidR="000A77C7">
        <w:rPr>
          <w:lang w:val="en-US"/>
        </w:rPr>
        <w:t xml:space="preserve">McKay </w:t>
      </w:r>
      <w:r w:rsidR="00FB0A77">
        <w:rPr>
          <w:lang w:val="en-US"/>
        </w:rPr>
        <w:t>and</w:t>
      </w:r>
      <w:r w:rsidR="000A77C7">
        <w:rPr>
          <w:lang w:val="en-US"/>
        </w:rPr>
        <w:t xml:space="preserve"> Avery, 2015)</w:t>
      </w:r>
      <w:r w:rsidR="00354DAD" w:rsidRPr="009C4C2D">
        <w:rPr>
          <w:lang w:val="en-US"/>
        </w:rPr>
        <w:t>.</w:t>
      </w:r>
      <w:r w:rsidR="00712517" w:rsidRPr="009C4C2D">
        <w:rPr>
          <w:lang w:val="en-US"/>
        </w:rPr>
        <w:t xml:space="preserve"> </w:t>
      </w:r>
      <w:r w:rsidR="00DC4967" w:rsidRPr="00DC4967">
        <w:rPr>
          <w:lang w:val="en-US"/>
        </w:rPr>
        <w:t>Dwertmann et al. (2016</w:t>
      </w:r>
      <w:r w:rsidR="00FB3229">
        <w:rPr>
          <w:lang w:val="en-US"/>
        </w:rPr>
        <w:t>, p.1137</w:t>
      </w:r>
      <w:r w:rsidR="00DC4967" w:rsidRPr="00DC4967">
        <w:rPr>
          <w:lang w:val="en-US"/>
        </w:rPr>
        <w:t>)</w:t>
      </w:r>
      <w:r w:rsidR="00DC4967">
        <w:rPr>
          <w:lang w:val="en-US"/>
        </w:rPr>
        <w:t xml:space="preserve"> </w:t>
      </w:r>
      <w:r w:rsidR="00A04ABB">
        <w:rPr>
          <w:lang w:val="en-US"/>
        </w:rPr>
        <w:t>argued</w:t>
      </w:r>
      <w:r w:rsidR="00DC4967" w:rsidRPr="00DC4967">
        <w:rPr>
          <w:lang w:val="en-US"/>
        </w:rPr>
        <w:t xml:space="preserve"> that </w:t>
      </w:r>
      <w:r w:rsidR="00A04ABB">
        <w:rPr>
          <w:lang w:val="en-US"/>
        </w:rPr>
        <w:t xml:space="preserve">conceptual lack of clarity </w:t>
      </w:r>
      <w:r w:rsidR="001F055E">
        <w:rPr>
          <w:lang w:val="en-US"/>
        </w:rPr>
        <w:t>about</w:t>
      </w:r>
      <w:r w:rsidR="00DC4967" w:rsidRPr="00DC4967">
        <w:rPr>
          <w:lang w:val="en-US"/>
        </w:rPr>
        <w:t xml:space="preserve"> the </w:t>
      </w:r>
      <w:r w:rsidR="001F055E">
        <w:rPr>
          <w:lang w:val="en-US"/>
        </w:rPr>
        <w:t>DC</w:t>
      </w:r>
      <w:r w:rsidR="00DC4967">
        <w:rPr>
          <w:lang w:val="en-US"/>
        </w:rPr>
        <w:t xml:space="preserve"> </w:t>
      </w:r>
      <w:r w:rsidR="00DC4967" w:rsidRPr="00DC4967">
        <w:rPr>
          <w:lang w:val="en-US"/>
        </w:rPr>
        <w:t>con</w:t>
      </w:r>
      <w:r w:rsidR="00DC4967">
        <w:rPr>
          <w:lang w:val="en-US"/>
        </w:rPr>
        <w:t>cept</w:t>
      </w:r>
      <w:r w:rsidR="00DC4967" w:rsidRPr="00DC4967">
        <w:rPr>
          <w:lang w:val="en-US"/>
        </w:rPr>
        <w:t xml:space="preserve"> </w:t>
      </w:r>
      <w:r w:rsidR="00FB3229">
        <w:rPr>
          <w:lang w:val="en-US"/>
        </w:rPr>
        <w:t>“</w:t>
      </w:r>
      <w:r w:rsidR="00DC4967" w:rsidRPr="00A04ABB">
        <w:rPr>
          <w:i/>
          <w:lang w:val="en-US"/>
        </w:rPr>
        <w:t>have hindered the advancement of diversity climate research</w:t>
      </w:r>
      <w:r w:rsidR="00FB3229">
        <w:rPr>
          <w:lang w:val="en-US"/>
        </w:rPr>
        <w:t>”</w:t>
      </w:r>
      <w:r w:rsidR="001F055E">
        <w:rPr>
          <w:lang w:val="en-US"/>
        </w:rPr>
        <w:t xml:space="preserve">, </w:t>
      </w:r>
      <w:r w:rsidR="001F055E" w:rsidRPr="001F055E">
        <w:rPr>
          <w:lang w:val="en-US"/>
        </w:rPr>
        <w:t xml:space="preserve">ambiguously </w:t>
      </w:r>
      <w:r w:rsidR="00FB3229">
        <w:rPr>
          <w:lang w:val="en-US"/>
        </w:rPr>
        <w:t>relying</w:t>
      </w:r>
      <w:r w:rsidR="001F055E" w:rsidRPr="001F055E">
        <w:rPr>
          <w:lang w:val="en-US"/>
        </w:rPr>
        <w:t xml:space="preserve"> on a </w:t>
      </w:r>
      <w:r w:rsidR="001F055E" w:rsidRPr="00FE04BF">
        <w:rPr>
          <w:i/>
          <w:iCs/>
          <w:lang w:val="en-US"/>
        </w:rPr>
        <w:t>fairness and discrimination</w:t>
      </w:r>
      <w:r w:rsidR="001F055E" w:rsidRPr="001F055E">
        <w:rPr>
          <w:lang w:val="en-US"/>
        </w:rPr>
        <w:t xml:space="preserve"> perspective as well as on a </w:t>
      </w:r>
      <w:r w:rsidR="001F055E" w:rsidRPr="00FE04BF">
        <w:rPr>
          <w:i/>
          <w:iCs/>
          <w:lang w:val="en-US"/>
        </w:rPr>
        <w:t>synergy</w:t>
      </w:r>
      <w:r w:rsidR="001F055E">
        <w:rPr>
          <w:lang w:val="en-US"/>
        </w:rPr>
        <w:t xml:space="preserve"> </w:t>
      </w:r>
      <w:r w:rsidR="001F055E" w:rsidRPr="001F055E">
        <w:rPr>
          <w:lang w:val="en-US"/>
        </w:rPr>
        <w:t>one</w:t>
      </w:r>
      <w:r w:rsidR="00834474">
        <w:rPr>
          <w:lang w:val="en-US"/>
        </w:rPr>
        <w:t xml:space="preserve"> and providing confusion in levels of analysis for DC. </w:t>
      </w:r>
      <w:r w:rsidR="007E26C1">
        <w:rPr>
          <w:lang w:val="en-US"/>
        </w:rPr>
        <w:t>In a recent attempt to answer the calls for DC concept clarification, Cachat-Rosset et al. (2017)</w:t>
      </w:r>
      <w:r w:rsidR="007E26C1" w:rsidRPr="00C14A2F">
        <w:rPr>
          <w:lang w:val="en-US"/>
        </w:rPr>
        <w:t xml:space="preserve"> </w:t>
      </w:r>
      <w:r w:rsidR="007E26C1">
        <w:rPr>
          <w:lang w:val="en-US"/>
        </w:rPr>
        <w:t xml:space="preserve">produced a </w:t>
      </w:r>
      <w:r w:rsidR="002738EE">
        <w:rPr>
          <w:lang w:val="en-US"/>
        </w:rPr>
        <w:t>systematic analysis of existing</w:t>
      </w:r>
      <w:r w:rsidR="007E26C1">
        <w:rPr>
          <w:lang w:val="en-US"/>
        </w:rPr>
        <w:t xml:space="preserve"> DC literature</w:t>
      </w:r>
      <w:r w:rsidR="00C93B27">
        <w:rPr>
          <w:lang w:val="en-US"/>
        </w:rPr>
        <w:t>.</w:t>
      </w:r>
      <w:r w:rsidR="007E26C1">
        <w:rPr>
          <w:lang w:val="en-US"/>
        </w:rPr>
        <w:t xml:space="preserve"> </w:t>
      </w:r>
      <w:r w:rsidR="00D2196E">
        <w:rPr>
          <w:lang w:val="en-US"/>
        </w:rPr>
        <w:t>They</w:t>
      </w:r>
      <w:r w:rsidR="008759DE">
        <w:rPr>
          <w:lang w:val="en-US"/>
        </w:rPr>
        <w:t xml:space="preserve"> highlight</w:t>
      </w:r>
      <w:r w:rsidR="00D2196E">
        <w:rPr>
          <w:lang w:val="en-US"/>
        </w:rPr>
        <w:t>ed</w:t>
      </w:r>
      <w:r w:rsidR="008759DE">
        <w:rPr>
          <w:lang w:val="en-US"/>
        </w:rPr>
        <w:t xml:space="preserve"> serious concerns regarding the levels of conceptualization, </w:t>
      </w:r>
      <w:r w:rsidR="007D196B">
        <w:rPr>
          <w:lang w:val="en-US"/>
        </w:rPr>
        <w:t xml:space="preserve">the </w:t>
      </w:r>
      <w:r w:rsidR="008759DE" w:rsidRPr="008759DE">
        <w:rPr>
          <w:lang w:val="en-US"/>
        </w:rPr>
        <w:t>fuzzy multi-</w:t>
      </w:r>
      <w:r w:rsidR="008759DE" w:rsidRPr="008759DE">
        <w:rPr>
          <w:lang w:val="en-US"/>
        </w:rPr>
        <w:lastRenderedPageBreak/>
        <w:t>dimensionality</w:t>
      </w:r>
      <w:r w:rsidR="008759DE">
        <w:rPr>
          <w:lang w:val="en-US"/>
        </w:rPr>
        <w:t xml:space="preserve"> </w:t>
      </w:r>
      <w:r w:rsidR="008759DE" w:rsidRPr="008759DE">
        <w:rPr>
          <w:lang w:val="en-US"/>
        </w:rPr>
        <w:t xml:space="preserve">of </w:t>
      </w:r>
      <w:r w:rsidR="008759DE">
        <w:rPr>
          <w:lang w:val="en-US"/>
        </w:rPr>
        <w:t>the concept</w:t>
      </w:r>
      <w:r w:rsidR="001253F9">
        <w:rPr>
          <w:lang w:val="en-US"/>
        </w:rPr>
        <w:t>, i</w:t>
      </w:r>
      <w:r w:rsidR="001253F9" w:rsidRPr="001253F9">
        <w:rPr>
          <w:lang w:val="en-US"/>
        </w:rPr>
        <w:t xml:space="preserve">nconsistencies between </w:t>
      </w:r>
      <w:r w:rsidR="001253F9">
        <w:rPr>
          <w:lang w:val="en-US"/>
        </w:rPr>
        <w:t xml:space="preserve">the DC </w:t>
      </w:r>
      <w:r w:rsidR="001253F9" w:rsidRPr="001253F9">
        <w:rPr>
          <w:lang w:val="en-US"/>
        </w:rPr>
        <w:t>conceptualization and</w:t>
      </w:r>
      <w:r w:rsidR="001253F9">
        <w:rPr>
          <w:lang w:val="en-US"/>
        </w:rPr>
        <w:t xml:space="preserve"> </w:t>
      </w:r>
      <w:r w:rsidR="00ED2F7F">
        <w:rPr>
          <w:lang w:val="en-US"/>
        </w:rPr>
        <w:t xml:space="preserve">its </w:t>
      </w:r>
      <w:r w:rsidR="001253F9" w:rsidRPr="001253F9">
        <w:rPr>
          <w:lang w:val="en-US"/>
        </w:rPr>
        <w:t>operationalization</w:t>
      </w:r>
      <w:r w:rsidR="008759DE">
        <w:rPr>
          <w:lang w:val="en-US"/>
        </w:rPr>
        <w:t xml:space="preserve"> and </w:t>
      </w:r>
      <w:r w:rsidR="00ED2F7F">
        <w:rPr>
          <w:lang w:val="en-US"/>
        </w:rPr>
        <w:t xml:space="preserve">finally </w:t>
      </w:r>
      <w:r w:rsidR="008759DE">
        <w:rPr>
          <w:lang w:val="en-US"/>
        </w:rPr>
        <w:t>an over</w:t>
      </w:r>
      <w:r w:rsidR="00FB3229">
        <w:rPr>
          <w:lang w:val="en-US"/>
        </w:rPr>
        <w:t xml:space="preserve">ly </w:t>
      </w:r>
      <w:r w:rsidR="008759DE">
        <w:rPr>
          <w:lang w:val="en-US"/>
        </w:rPr>
        <w:t xml:space="preserve">dominant </w:t>
      </w:r>
      <w:r w:rsidR="00ED2F7F">
        <w:rPr>
          <w:lang w:val="en-US"/>
        </w:rPr>
        <w:t>Anglo-Saxon</w:t>
      </w:r>
      <w:r w:rsidR="008759DE">
        <w:rPr>
          <w:lang w:val="en-US"/>
        </w:rPr>
        <w:t xml:space="preserve"> context</w:t>
      </w:r>
      <w:r w:rsidR="007D196B">
        <w:rPr>
          <w:lang w:val="en-US"/>
        </w:rPr>
        <w:t xml:space="preserve"> that </w:t>
      </w:r>
      <w:r w:rsidR="00D60D6A">
        <w:rPr>
          <w:lang w:val="en-US"/>
        </w:rPr>
        <w:t>limit</w:t>
      </w:r>
      <w:r w:rsidR="00484D1A">
        <w:rPr>
          <w:lang w:val="en-US"/>
        </w:rPr>
        <w:t>s</w:t>
      </w:r>
      <w:r w:rsidR="00D60D6A">
        <w:rPr>
          <w:lang w:val="en-US"/>
        </w:rPr>
        <w:t xml:space="preserve"> its </w:t>
      </w:r>
      <w:r w:rsidR="007D196B">
        <w:rPr>
          <w:lang w:val="en-US"/>
        </w:rPr>
        <w:t>use</w:t>
      </w:r>
      <w:r w:rsidR="00D60D6A">
        <w:rPr>
          <w:lang w:val="en-US"/>
        </w:rPr>
        <w:t xml:space="preserve"> in different </w:t>
      </w:r>
      <w:r w:rsidR="00484D1A">
        <w:rPr>
          <w:lang w:val="en-US"/>
        </w:rPr>
        <w:t xml:space="preserve">cultural </w:t>
      </w:r>
      <w:r w:rsidR="00D60D6A">
        <w:rPr>
          <w:lang w:val="en-US"/>
        </w:rPr>
        <w:t>contexts</w:t>
      </w:r>
      <w:r w:rsidR="007E26C1">
        <w:rPr>
          <w:lang w:val="en-US"/>
        </w:rPr>
        <w:t xml:space="preserve">. </w:t>
      </w:r>
      <w:r w:rsidR="007E466A">
        <w:rPr>
          <w:lang w:val="en-US"/>
        </w:rPr>
        <w:t>Then</w:t>
      </w:r>
      <w:r w:rsidR="007E26C1">
        <w:rPr>
          <w:lang w:val="en-US"/>
        </w:rPr>
        <w:t xml:space="preserve">, </w:t>
      </w:r>
      <w:r w:rsidR="00F332E0">
        <w:rPr>
          <w:lang w:val="en-US"/>
        </w:rPr>
        <w:t xml:space="preserve">relying on organizational climate framework </w:t>
      </w:r>
      <w:r w:rsidR="00F332E0" w:rsidRPr="009F5504">
        <w:rPr>
          <w:lang w:val="en-US"/>
        </w:rPr>
        <w:t>(Schneider and Reichers,</w:t>
      </w:r>
      <w:r w:rsidR="00F332E0">
        <w:rPr>
          <w:lang w:val="en-US"/>
        </w:rPr>
        <w:t xml:space="preserve"> </w:t>
      </w:r>
      <w:r w:rsidR="00F332E0" w:rsidRPr="009F5504">
        <w:rPr>
          <w:lang w:val="en-US"/>
        </w:rPr>
        <w:t>1983)</w:t>
      </w:r>
      <w:r w:rsidR="00F332E0">
        <w:rPr>
          <w:lang w:val="en-US"/>
        </w:rPr>
        <w:t xml:space="preserve">, </w:t>
      </w:r>
      <w:r w:rsidR="007E26C1">
        <w:rPr>
          <w:lang w:val="en-US"/>
        </w:rPr>
        <w:t xml:space="preserve">they </w:t>
      </w:r>
      <w:r w:rsidR="007E466A">
        <w:rPr>
          <w:lang w:val="en-US"/>
        </w:rPr>
        <w:t>provided a reconstruction of the concept emerg</w:t>
      </w:r>
      <w:r w:rsidR="00F332E0">
        <w:rPr>
          <w:lang w:val="en-US"/>
        </w:rPr>
        <w:t>ing</w:t>
      </w:r>
      <w:r w:rsidR="007E466A">
        <w:rPr>
          <w:lang w:val="en-US"/>
        </w:rPr>
        <w:t xml:space="preserve"> from the systematic </w:t>
      </w:r>
      <w:r w:rsidR="007E466A" w:rsidRPr="007E466A">
        <w:rPr>
          <w:lang w:val="en-US"/>
        </w:rPr>
        <w:t>analysis of the conceptual definitions</w:t>
      </w:r>
      <w:r w:rsidR="007E466A">
        <w:rPr>
          <w:lang w:val="en-US"/>
        </w:rPr>
        <w:t xml:space="preserve"> and dimensions of DC </w:t>
      </w:r>
      <w:r w:rsidR="00F332E0">
        <w:rPr>
          <w:lang w:val="en-US"/>
        </w:rPr>
        <w:t xml:space="preserve">and thus </w:t>
      </w:r>
      <w:r w:rsidR="007E466A" w:rsidRPr="007E466A">
        <w:rPr>
          <w:lang w:val="en-US"/>
        </w:rPr>
        <w:t>reinforcing its conceptual v</w:t>
      </w:r>
      <w:r w:rsidR="007E466A">
        <w:rPr>
          <w:lang w:val="en-US"/>
        </w:rPr>
        <w:t xml:space="preserve">alidity. Cachat-Rosset et al. (2017, p.12) </w:t>
      </w:r>
      <w:r w:rsidR="007E26C1">
        <w:rPr>
          <w:lang w:val="en-US"/>
        </w:rPr>
        <w:t>define</w:t>
      </w:r>
      <w:r w:rsidR="007E466A">
        <w:rPr>
          <w:lang w:val="en-US"/>
        </w:rPr>
        <w:t>d</w:t>
      </w:r>
      <w:r w:rsidR="007E26C1">
        <w:rPr>
          <w:lang w:val="en-US"/>
        </w:rPr>
        <w:t xml:space="preserve"> DC as “</w:t>
      </w:r>
      <w:r w:rsidR="007E26C1" w:rsidRPr="00F24B7E">
        <w:rPr>
          <w:i/>
          <w:lang w:val="en-US"/>
        </w:rPr>
        <w:t>the shared perception by employees of intent, programs, attitudes and behaviors in favor of visible or invisible forms of diversity relevant to the organization’s social context</w:t>
      </w:r>
      <w:r w:rsidR="007E26C1">
        <w:rPr>
          <w:lang w:val="en-US"/>
        </w:rPr>
        <w:t>”</w:t>
      </w:r>
      <w:r w:rsidR="007E26C1" w:rsidRPr="00F11975">
        <w:rPr>
          <w:lang w:val="en-US"/>
        </w:rPr>
        <w:t>.</w:t>
      </w:r>
      <w:r w:rsidR="007E26C1">
        <w:rPr>
          <w:lang w:val="en-US"/>
        </w:rPr>
        <w:t xml:space="preserve"> They conceptualize</w:t>
      </w:r>
      <w:r w:rsidR="009C1BEA">
        <w:rPr>
          <w:lang w:val="en-US"/>
        </w:rPr>
        <w:t>d</w:t>
      </w:r>
      <w:r w:rsidR="007E26C1">
        <w:rPr>
          <w:lang w:val="en-US"/>
        </w:rPr>
        <w:t xml:space="preserve"> DC as a combination of three perceptual components: intentional</w:t>
      </w:r>
      <w:r w:rsidR="00CC0FBB">
        <w:rPr>
          <w:lang w:val="en-US"/>
        </w:rPr>
        <w:t>ity</w:t>
      </w:r>
      <w:r w:rsidR="007E26C1">
        <w:rPr>
          <w:lang w:val="en-US"/>
        </w:rPr>
        <w:t>, programm</w:t>
      </w:r>
      <w:r w:rsidR="006439E9">
        <w:rPr>
          <w:lang w:val="en-US"/>
        </w:rPr>
        <w:t>ing</w:t>
      </w:r>
      <w:r w:rsidR="007E26C1">
        <w:rPr>
          <w:lang w:val="en-US"/>
        </w:rPr>
        <w:t xml:space="preserve"> and pra</w:t>
      </w:r>
      <w:r w:rsidR="00CC0FBB">
        <w:rPr>
          <w:lang w:val="en-US"/>
        </w:rPr>
        <w:t>xis</w:t>
      </w:r>
      <w:r w:rsidR="007E26C1">
        <w:rPr>
          <w:lang w:val="en-US"/>
        </w:rPr>
        <w:t xml:space="preserve">. </w:t>
      </w:r>
      <w:r w:rsidR="007E26C1" w:rsidRPr="00C66265">
        <w:rPr>
          <w:lang w:val="en-US"/>
        </w:rPr>
        <w:t xml:space="preserve">Intentionality refers to perceptions that the organization values diversity in discourse such as through formal commitments; the programmatic component refers to the perception of formal diversity policies in the organization; the pragmatic component reflects perceptions about management’s and colleagues’ attitudes and behaviors. </w:t>
      </w:r>
      <w:r w:rsidR="007B6987">
        <w:rPr>
          <w:lang w:val="en-US"/>
        </w:rPr>
        <w:t>Although not questioning the relevance of existing paradigms for diversity management, t</w:t>
      </w:r>
      <w:r w:rsidR="001B1FB4">
        <w:rPr>
          <w:lang w:val="en-US"/>
        </w:rPr>
        <w:t>his disruptive conceptualization of DC</w:t>
      </w:r>
      <w:r w:rsidR="007B6987">
        <w:rPr>
          <w:lang w:val="en-US"/>
        </w:rPr>
        <w:t xml:space="preserve"> challenged them and</w:t>
      </w:r>
      <w:r w:rsidR="001B1FB4">
        <w:rPr>
          <w:lang w:val="en-US"/>
        </w:rPr>
        <w:t xml:space="preserve"> propose</w:t>
      </w:r>
      <w:r w:rsidR="007B6987">
        <w:rPr>
          <w:lang w:val="en-US"/>
        </w:rPr>
        <w:t>d</w:t>
      </w:r>
      <w:r w:rsidR="001B1FB4">
        <w:rPr>
          <w:lang w:val="en-US"/>
        </w:rPr>
        <w:t xml:space="preserve"> a new insight in the field with a structural approach, in the</w:t>
      </w:r>
      <w:r w:rsidR="00FB3229">
        <w:rPr>
          <w:lang w:val="en-US"/>
        </w:rPr>
        <w:t xml:space="preserve"> sense</w:t>
      </w:r>
      <w:r w:rsidR="001B1FB4">
        <w:rPr>
          <w:lang w:val="en-US"/>
        </w:rPr>
        <w:t xml:space="preserve"> of Arthur and Boyles (2007). But </w:t>
      </w:r>
      <w:r w:rsidR="007B6987">
        <w:rPr>
          <w:lang w:val="en-US"/>
        </w:rPr>
        <w:t>this innovative way of</w:t>
      </w:r>
      <w:r w:rsidR="00FB3229">
        <w:rPr>
          <w:lang w:val="en-US"/>
        </w:rPr>
        <w:t xml:space="preserve"> conceptualizing</w:t>
      </w:r>
      <w:r w:rsidR="007B6987">
        <w:rPr>
          <w:lang w:val="en-US"/>
        </w:rPr>
        <w:t xml:space="preserve"> DC</w:t>
      </w:r>
      <w:r w:rsidR="001B1FB4">
        <w:rPr>
          <w:lang w:val="en-US"/>
        </w:rPr>
        <w:t xml:space="preserve"> is still not operationalized and need</w:t>
      </w:r>
      <w:r w:rsidR="00FB3229">
        <w:rPr>
          <w:lang w:val="en-US"/>
        </w:rPr>
        <w:t>s</w:t>
      </w:r>
      <w:r w:rsidR="001B1FB4">
        <w:rPr>
          <w:lang w:val="en-US"/>
        </w:rPr>
        <w:t xml:space="preserve"> to be further explored. </w:t>
      </w:r>
    </w:p>
    <w:p w14:paraId="3D43BB43" w14:textId="2D69491A" w:rsidR="007E26C1" w:rsidRDefault="00CC0FBB" w:rsidP="009F5504">
      <w:pPr>
        <w:spacing w:line="480" w:lineRule="auto"/>
        <w:jc w:val="both"/>
        <w:rPr>
          <w:lang w:val="en-US"/>
        </w:rPr>
      </w:pPr>
      <w:r>
        <w:rPr>
          <w:lang w:val="en-US"/>
        </w:rPr>
        <w:t xml:space="preserve">We propose in this study to operationalize this new conceptualization of DC by developing a measure instrument aligned with the three-dimension structure </w:t>
      </w:r>
      <w:r w:rsidR="00147E3A">
        <w:rPr>
          <w:lang w:val="en-US"/>
        </w:rPr>
        <w:t>proposed</w:t>
      </w:r>
      <w:r w:rsidR="00FB3229">
        <w:rPr>
          <w:lang w:val="en-US"/>
        </w:rPr>
        <w:t xml:space="preserve"> by Cachat-Rosset et al. (2017) </w:t>
      </w:r>
      <w:r>
        <w:rPr>
          <w:lang w:val="en-US"/>
        </w:rPr>
        <w:t xml:space="preserve">and by testing it in the DC nomological network. </w:t>
      </w:r>
      <w:r w:rsidR="00520577">
        <w:rPr>
          <w:lang w:val="en-US"/>
        </w:rPr>
        <w:t>This new</w:t>
      </w:r>
      <w:r w:rsidR="00BE6240">
        <w:rPr>
          <w:lang w:val="en-US"/>
        </w:rPr>
        <w:t xml:space="preserve"> approach of</w:t>
      </w:r>
      <w:r w:rsidR="00520577">
        <w:rPr>
          <w:lang w:val="en-US"/>
        </w:rPr>
        <w:t xml:space="preserve"> </w:t>
      </w:r>
      <w:r w:rsidR="00BE6240">
        <w:rPr>
          <w:lang w:val="en-US"/>
        </w:rPr>
        <w:t>DC assessment</w:t>
      </w:r>
      <w:r w:rsidR="00520577">
        <w:rPr>
          <w:lang w:val="en-US"/>
        </w:rPr>
        <w:t xml:space="preserve"> should allow to appreciate the effectiveness of the organization’s intention regarding diverse people, </w:t>
      </w:r>
      <w:r w:rsidR="00BE6240">
        <w:rPr>
          <w:lang w:val="en-US"/>
        </w:rPr>
        <w:t xml:space="preserve">of </w:t>
      </w:r>
      <w:r w:rsidR="00520577">
        <w:rPr>
          <w:lang w:val="en-US"/>
        </w:rPr>
        <w:t xml:space="preserve">the diversity policies to overcome resistance and </w:t>
      </w:r>
      <w:r w:rsidR="00BE6240">
        <w:rPr>
          <w:lang w:val="en-US"/>
        </w:rPr>
        <w:t xml:space="preserve">of </w:t>
      </w:r>
      <w:r w:rsidR="00520577">
        <w:rPr>
          <w:lang w:val="en-US"/>
        </w:rPr>
        <w:t xml:space="preserve">the practices implemented at work. </w:t>
      </w:r>
      <w:r>
        <w:rPr>
          <w:lang w:val="en-US"/>
        </w:rPr>
        <w:t>To proceed, we assessed the convergent and discriminant validity of the three-factor concept, tested for its incremental validity and investigated its influence o</w:t>
      </w:r>
      <w:r w:rsidR="00484D1A">
        <w:rPr>
          <w:lang w:val="en-US"/>
        </w:rPr>
        <w:t>n</w:t>
      </w:r>
      <w:r>
        <w:rPr>
          <w:lang w:val="en-US"/>
        </w:rPr>
        <w:t xml:space="preserve"> people’s social integration</w:t>
      </w:r>
      <w:r w:rsidR="00484D1A">
        <w:rPr>
          <w:lang w:val="en-US"/>
        </w:rPr>
        <w:t xml:space="preserve"> (SI)</w:t>
      </w:r>
      <w:r>
        <w:rPr>
          <w:lang w:val="en-US"/>
        </w:rPr>
        <w:t xml:space="preserve">. </w:t>
      </w:r>
      <w:r w:rsidR="009F5504">
        <w:rPr>
          <w:lang w:val="en-US"/>
        </w:rPr>
        <w:t>Our</w:t>
      </w:r>
      <w:r w:rsidRPr="002475F4">
        <w:rPr>
          <w:lang w:val="en-US"/>
        </w:rPr>
        <w:t xml:space="preserve"> study is intended to extend research</w:t>
      </w:r>
      <w:r>
        <w:rPr>
          <w:lang w:val="en-US"/>
        </w:rPr>
        <w:t xml:space="preserve"> in </w:t>
      </w:r>
      <w:r w:rsidR="008B2C37">
        <w:rPr>
          <w:lang w:val="en-US"/>
        </w:rPr>
        <w:t>four</w:t>
      </w:r>
      <w:r>
        <w:rPr>
          <w:lang w:val="en-US"/>
        </w:rPr>
        <w:t xml:space="preserve"> key ways. </w:t>
      </w:r>
      <w:r w:rsidRPr="002475F4">
        <w:rPr>
          <w:lang w:val="en-US"/>
        </w:rPr>
        <w:t xml:space="preserve">First, </w:t>
      </w:r>
      <w:r w:rsidRPr="002475F4">
        <w:rPr>
          <w:lang w:val="en-US"/>
        </w:rPr>
        <w:lastRenderedPageBreak/>
        <w:t>it provides a needed empirical</w:t>
      </w:r>
      <w:r>
        <w:rPr>
          <w:lang w:val="en-US"/>
        </w:rPr>
        <w:t xml:space="preserve"> </w:t>
      </w:r>
      <w:r w:rsidRPr="002475F4">
        <w:rPr>
          <w:lang w:val="en-US"/>
        </w:rPr>
        <w:t xml:space="preserve">operationalization of </w:t>
      </w:r>
      <w:r>
        <w:rPr>
          <w:lang w:val="en-US"/>
        </w:rPr>
        <w:t>DC</w:t>
      </w:r>
      <w:r w:rsidR="00A05987">
        <w:rPr>
          <w:lang w:val="en-US"/>
        </w:rPr>
        <w:t xml:space="preserve"> which answer the pitfalls highlighted in previous scales.</w:t>
      </w:r>
      <w:r w:rsidR="009F5504">
        <w:rPr>
          <w:lang w:val="en-US"/>
        </w:rPr>
        <w:t xml:space="preserve"> </w:t>
      </w:r>
      <w:r w:rsidR="00A05987">
        <w:rPr>
          <w:lang w:val="en-US"/>
        </w:rPr>
        <w:t xml:space="preserve">Second, </w:t>
      </w:r>
      <w:r w:rsidR="002F1B73">
        <w:rPr>
          <w:lang w:val="en-US"/>
        </w:rPr>
        <w:t xml:space="preserve">it offers </w:t>
      </w:r>
      <w:r w:rsidR="00A05987">
        <w:rPr>
          <w:lang w:val="en-US"/>
        </w:rPr>
        <w:t xml:space="preserve">a higher-level </w:t>
      </w:r>
      <w:r w:rsidR="002F1B73">
        <w:rPr>
          <w:lang w:val="en-US"/>
        </w:rPr>
        <w:t xml:space="preserve">DC </w:t>
      </w:r>
      <w:r w:rsidR="00A05987">
        <w:rPr>
          <w:lang w:val="en-US"/>
        </w:rPr>
        <w:t xml:space="preserve">measure meeting the </w:t>
      </w:r>
      <w:r w:rsidR="009F5504">
        <w:rPr>
          <w:lang w:val="en-US"/>
        </w:rPr>
        <w:t xml:space="preserve">theoretical background of organizational climate </w:t>
      </w:r>
      <w:r w:rsidR="00BD2455">
        <w:rPr>
          <w:lang w:val="en-US"/>
        </w:rPr>
        <w:t>in which the concept is anchored</w:t>
      </w:r>
      <w:r w:rsidR="00BD2455" w:rsidRPr="009F5504">
        <w:rPr>
          <w:lang w:val="en-US"/>
        </w:rPr>
        <w:t xml:space="preserve"> </w:t>
      </w:r>
      <w:r w:rsidR="009F5504" w:rsidRPr="009F5504">
        <w:rPr>
          <w:lang w:val="en-US"/>
        </w:rPr>
        <w:t>(Schneider and Reichers,</w:t>
      </w:r>
      <w:r w:rsidR="009F5504">
        <w:rPr>
          <w:lang w:val="en-US"/>
        </w:rPr>
        <w:t xml:space="preserve"> </w:t>
      </w:r>
      <w:r w:rsidR="009F5504" w:rsidRPr="009F5504">
        <w:rPr>
          <w:lang w:val="en-US"/>
        </w:rPr>
        <w:t>1983)</w:t>
      </w:r>
      <w:r w:rsidR="009F5504">
        <w:rPr>
          <w:lang w:val="en-US"/>
        </w:rPr>
        <w:t xml:space="preserve">. </w:t>
      </w:r>
      <w:r w:rsidR="000531DD">
        <w:rPr>
          <w:lang w:val="en-US"/>
        </w:rPr>
        <w:t>Third, improving the predictive ability of DC measurement</w:t>
      </w:r>
      <w:r w:rsidR="006E2107">
        <w:rPr>
          <w:lang w:val="en-US"/>
        </w:rPr>
        <w:t xml:space="preserve"> to capture </w:t>
      </w:r>
      <w:r w:rsidR="00C0702F">
        <w:rPr>
          <w:lang w:val="en-US"/>
        </w:rPr>
        <w:t>higher-level of the DC concept</w:t>
      </w:r>
      <w:r w:rsidR="000531DD">
        <w:rPr>
          <w:lang w:val="en-US"/>
        </w:rPr>
        <w:t xml:space="preserve">, </w:t>
      </w:r>
      <w:r w:rsidR="002F1B73">
        <w:rPr>
          <w:lang w:val="en-US"/>
        </w:rPr>
        <w:t>it</w:t>
      </w:r>
      <w:r w:rsidR="000531DD">
        <w:rPr>
          <w:lang w:val="en-US"/>
        </w:rPr>
        <w:t xml:space="preserve"> will allow the DC stream of research to </w:t>
      </w:r>
      <w:r w:rsidR="006A27B1">
        <w:rPr>
          <w:lang w:val="en-US"/>
        </w:rPr>
        <w:t>further</w:t>
      </w:r>
      <w:r w:rsidR="000531DD">
        <w:rPr>
          <w:lang w:val="en-US"/>
        </w:rPr>
        <w:t xml:space="preserve"> explore its influenc</w:t>
      </w:r>
      <w:r w:rsidR="002F1B73">
        <w:rPr>
          <w:lang w:val="en-US"/>
        </w:rPr>
        <w:t>e on</w:t>
      </w:r>
      <w:r w:rsidR="000531DD">
        <w:rPr>
          <w:lang w:val="en-US"/>
        </w:rPr>
        <w:t xml:space="preserve"> proximal </w:t>
      </w:r>
      <w:r w:rsidR="00FB3229">
        <w:rPr>
          <w:lang w:val="en-US"/>
        </w:rPr>
        <w:t xml:space="preserve">as well as </w:t>
      </w:r>
      <w:r w:rsidR="000531DD">
        <w:rPr>
          <w:lang w:val="en-US"/>
        </w:rPr>
        <w:t>distal outcomes</w:t>
      </w:r>
      <w:r w:rsidR="002F1B73">
        <w:rPr>
          <w:lang w:val="en-US"/>
        </w:rPr>
        <w:t xml:space="preserve">, and </w:t>
      </w:r>
      <w:r w:rsidR="006A27B1">
        <w:rPr>
          <w:lang w:val="en-US"/>
        </w:rPr>
        <w:t>its</w:t>
      </w:r>
      <w:r w:rsidR="002F1B73">
        <w:rPr>
          <w:lang w:val="en-US"/>
        </w:rPr>
        <w:t xml:space="preserve"> moderator or mediator role</w:t>
      </w:r>
      <w:r w:rsidR="000531DD">
        <w:rPr>
          <w:lang w:val="en-US"/>
        </w:rPr>
        <w:t>.</w:t>
      </w:r>
      <w:r w:rsidR="00A57E59">
        <w:rPr>
          <w:lang w:val="en-US"/>
        </w:rPr>
        <w:t xml:space="preserve"> Finally, this study propose</w:t>
      </w:r>
      <w:r w:rsidR="002F1B73">
        <w:rPr>
          <w:lang w:val="en-US"/>
        </w:rPr>
        <w:t>s</w:t>
      </w:r>
      <w:r w:rsidR="00A57E59">
        <w:rPr>
          <w:lang w:val="en-US"/>
        </w:rPr>
        <w:t xml:space="preserve"> a</w:t>
      </w:r>
      <w:r w:rsidR="002F1B73">
        <w:rPr>
          <w:lang w:val="en-US"/>
        </w:rPr>
        <w:t xml:space="preserve"> </w:t>
      </w:r>
      <w:r w:rsidR="00A57E59">
        <w:rPr>
          <w:lang w:val="en-US"/>
        </w:rPr>
        <w:t xml:space="preserve">DC measure allowing to address </w:t>
      </w:r>
      <w:r w:rsidR="006A2923">
        <w:rPr>
          <w:lang w:val="en-US"/>
        </w:rPr>
        <w:t>simultaneously</w:t>
      </w:r>
      <w:r w:rsidR="00A57E59">
        <w:rPr>
          <w:lang w:val="en-US"/>
        </w:rPr>
        <w:t xml:space="preserve"> several social contexts and </w:t>
      </w:r>
      <w:r w:rsidR="006A27B1">
        <w:rPr>
          <w:lang w:val="en-US"/>
        </w:rPr>
        <w:t xml:space="preserve">to </w:t>
      </w:r>
      <w:r w:rsidR="00A57E59">
        <w:rPr>
          <w:lang w:val="en-US"/>
        </w:rPr>
        <w:t>mak</w:t>
      </w:r>
      <w:r w:rsidR="006A27B1">
        <w:rPr>
          <w:lang w:val="en-US"/>
        </w:rPr>
        <w:t>e</w:t>
      </w:r>
      <w:r w:rsidR="00A57E59">
        <w:rPr>
          <w:lang w:val="en-US"/>
        </w:rPr>
        <w:t xml:space="preserve"> robust comparison</w:t>
      </w:r>
      <w:r w:rsidR="00FB3229">
        <w:rPr>
          <w:lang w:val="en-US"/>
        </w:rPr>
        <w:t>s</w:t>
      </w:r>
      <w:r w:rsidR="00A57E59">
        <w:rPr>
          <w:lang w:val="en-US"/>
        </w:rPr>
        <w:t xml:space="preserve"> of </w:t>
      </w:r>
      <w:r w:rsidR="000209DF">
        <w:rPr>
          <w:lang w:val="en-US"/>
        </w:rPr>
        <w:t>cultural boundar</w:t>
      </w:r>
      <w:r w:rsidR="00FB3229">
        <w:rPr>
          <w:lang w:val="en-US"/>
        </w:rPr>
        <w:t>y</w:t>
      </w:r>
      <w:r w:rsidR="000209DF">
        <w:rPr>
          <w:lang w:val="en-US"/>
        </w:rPr>
        <w:t xml:space="preserve"> conditions for DC and diversity management</w:t>
      </w:r>
      <w:r w:rsidR="006A27B1">
        <w:rPr>
          <w:lang w:val="en-US"/>
        </w:rPr>
        <w:t xml:space="preserve"> within and between organizations</w:t>
      </w:r>
      <w:r w:rsidR="000209DF">
        <w:rPr>
          <w:lang w:val="en-US"/>
        </w:rPr>
        <w:t>.</w:t>
      </w:r>
    </w:p>
    <w:p w14:paraId="0C323E09" w14:textId="7C86A7A3" w:rsidR="00116C31" w:rsidRDefault="00116C31" w:rsidP="002475F4">
      <w:pPr>
        <w:spacing w:line="480" w:lineRule="auto"/>
        <w:jc w:val="both"/>
        <w:rPr>
          <w:lang w:val="en-US"/>
        </w:rPr>
      </w:pPr>
      <w:r w:rsidRPr="00473C45">
        <w:rPr>
          <w:lang w:val="en-US"/>
        </w:rPr>
        <w:t xml:space="preserve">After a </w:t>
      </w:r>
      <w:r w:rsidR="00392EB3" w:rsidRPr="00473C45">
        <w:rPr>
          <w:lang w:val="en-US"/>
        </w:rPr>
        <w:t xml:space="preserve">presentation of </w:t>
      </w:r>
      <w:r w:rsidR="00523B29">
        <w:rPr>
          <w:lang w:val="en-US"/>
        </w:rPr>
        <w:t>our</w:t>
      </w:r>
      <w:r w:rsidR="00ED641F">
        <w:rPr>
          <w:lang w:val="en-US"/>
        </w:rPr>
        <w:t xml:space="preserve"> </w:t>
      </w:r>
      <w:r w:rsidR="006A27B1">
        <w:rPr>
          <w:lang w:val="en-US"/>
        </w:rPr>
        <w:t xml:space="preserve">theoretical background </w:t>
      </w:r>
      <w:r w:rsidR="0012497B">
        <w:rPr>
          <w:lang w:val="en-US"/>
        </w:rPr>
        <w:t>for</w:t>
      </w:r>
      <w:r w:rsidR="00AE78B8">
        <w:rPr>
          <w:lang w:val="en-US"/>
        </w:rPr>
        <w:t xml:space="preserve"> DC</w:t>
      </w:r>
      <w:r w:rsidR="00454354">
        <w:rPr>
          <w:lang w:val="en-US"/>
        </w:rPr>
        <w:t xml:space="preserve">, </w:t>
      </w:r>
      <w:r w:rsidR="00AE78B8">
        <w:rPr>
          <w:lang w:val="en-US"/>
        </w:rPr>
        <w:t xml:space="preserve">its linkage with diversity </w:t>
      </w:r>
      <w:r w:rsidR="006439E9">
        <w:rPr>
          <w:lang w:val="en-US"/>
        </w:rPr>
        <w:t xml:space="preserve">management </w:t>
      </w:r>
      <w:r w:rsidR="00950E6B">
        <w:rPr>
          <w:lang w:val="en-US"/>
        </w:rPr>
        <w:t>paradigms</w:t>
      </w:r>
      <w:r w:rsidR="008601AA" w:rsidRPr="00473C45">
        <w:rPr>
          <w:lang w:val="en-US"/>
        </w:rPr>
        <w:t xml:space="preserve">, </w:t>
      </w:r>
      <w:r w:rsidR="00451A84">
        <w:rPr>
          <w:lang w:val="en-US"/>
        </w:rPr>
        <w:t xml:space="preserve">and the existing measurements of DC, </w:t>
      </w:r>
      <w:r w:rsidR="008601AA" w:rsidRPr="00473C45">
        <w:rPr>
          <w:lang w:val="en-US"/>
        </w:rPr>
        <w:t xml:space="preserve">we </w:t>
      </w:r>
      <w:r w:rsidR="006C3F3A" w:rsidRPr="00473C45">
        <w:rPr>
          <w:lang w:val="en-US"/>
        </w:rPr>
        <w:t xml:space="preserve">present </w:t>
      </w:r>
      <w:r w:rsidR="008E7F51">
        <w:rPr>
          <w:lang w:val="en-US"/>
        </w:rPr>
        <w:t>our</w:t>
      </w:r>
      <w:r w:rsidR="006C3F3A" w:rsidRPr="00473C45">
        <w:rPr>
          <w:lang w:val="en-US"/>
        </w:rPr>
        <w:t xml:space="preserve"> </w:t>
      </w:r>
      <w:r w:rsidR="00484D1A">
        <w:rPr>
          <w:lang w:val="en-US"/>
        </w:rPr>
        <w:t>scale</w:t>
      </w:r>
      <w:r w:rsidR="00451A84" w:rsidRPr="00473C45">
        <w:rPr>
          <w:lang w:val="en-US"/>
        </w:rPr>
        <w:t xml:space="preserve"> </w:t>
      </w:r>
      <w:r w:rsidR="006C3F3A" w:rsidRPr="00473C45">
        <w:rPr>
          <w:lang w:val="en-US"/>
        </w:rPr>
        <w:t>development strategy</w:t>
      </w:r>
      <w:r w:rsidR="001504FB">
        <w:rPr>
          <w:lang w:val="en-US"/>
        </w:rPr>
        <w:t xml:space="preserve"> </w:t>
      </w:r>
      <w:r w:rsidR="00451A84">
        <w:rPr>
          <w:lang w:val="en-US"/>
        </w:rPr>
        <w:t>and explain how the newly designed instrument was developed and validated at both individual and unit levels.</w:t>
      </w:r>
      <w:r w:rsidR="006C3F3A" w:rsidRPr="00473C45">
        <w:rPr>
          <w:lang w:val="en-US"/>
        </w:rPr>
        <w:t xml:space="preserve"> </w:t>
      </w:r>
      <w:r w:rsidR="00FE18A8">
        <w:rPr>
          <w:lang w:val="en-US"/>
        </w:rPr>
        <w:t xml:space="preserve">We </w:t>
      </w:r>
      <w:r w:rsidR="00451A84">
        <w:rPr>
          <w:lang w:val="en-US"/>
        </w:rPr>
        <w:t xml:space="preserve">then </w:t>
      </w:r>
      <w:r w:rsidR="00FE18A8">
        <w:rPr>
          <w:lang w:val="en-US"/>
        </w:rPr>
        <w:t>test</w:t>
      </w:r>
      <w:r w:rsidR="00FE18A8" w:rsidRPr="00FE18A8">
        <w:rPr>
          <w:lang w:val="en-US"/>
        </w:rPr>
        <w:t xml:space="preserve"> the relationship between</w:t>
      </w:r>
      <w:r w:rsidR="00FE18A8">
        <w:rPr>
          <w:lang w:val="en-US"/>
        </w:rPr>
        <w:t xml:space="preserve"> this new operationalization of</w:t>
      </w:r>
      <w:r w:rsidR="00FE18A8" w:rsidRPr="00FE18A8">
        <w:rPr>
          <w:lang w:val="en-US"/>
        </w:rPr>
        <w:t xml:space="preserve"> </w:t>
      </w:r>
      <w:r w:rsidR="00A4095E">
        <w:rPr>
          <w:lang w:val="en-US"/>
        </w:rPr>
        <w:t>DC</w:t>
      </w:r>
      <w:r w:rsidR="00FE18A8" w:rsidRPr="00FE18A8">
        <w:rPr>
          <w:lang w:val="en-US"/>
        </w:rPr>
        <w:t xml:space="preserve"> and </w:t>
      </w:r>
      <w:r w:rsidR="00A0188C">
        <w:rPr>
          <w:lang w:val="en-US"/>
        </w:rPr>
        <w:t>SI for nomological validity</w:t>
      </w:r>
      <w:r w:rsidR="00FE18A8" w:rsidRPr="00FE18A8">
        <w:rPr>
          <w:lang w:val="en-US"/>
        </w:rPr>
        <w:t>.</w:t>
      </w:r>
      <w:r w:rsidR="00451A84">
        <w:rPr>
          <w:lang w:val="en-US"/>
        </w:rPr>
        <w:t xml:space="preserve"> </w:t>
      </w:r>
      <w:r w:rsidR="008601AA" w:rsidRPr="00473C45">
        <w:rPr>
          <w:lang w:val="en-US"/>
        </w:rPr>
        <w:t>Finally,</w:t>
      </w:r>
      <w:r w:rsidRPr="00473C45">
        <w:rPr>
          <w:lang w:val="en-US"/>
        </w:rPr>
        <w:t xml:space="preserve"> we </w:t>
      </w:r>
      <w:r w:rsidR="00392EB3" w:rsidRPr="00473C45">
        <w:rPr>
          <w:lang w:val="en-US"/>
        </w:rPr>
        <w:t xml:space="preserve">discuss </w:t>
      </w:r>
      <w:r w:rsidR="001504FB">
        <w:rPr>
          <w:lang w:val="en-US"/>
        </w:rPr>
        <w:t xml:space="preserve">the </w:t>
      </w:r>
      <w:r w:rsidR="00392EB3" w:rsidRPr="00473C45">
        <w:rPr>
          <w:lang w:val="en-US"/>
        </w:rPr>
        <w:t>implications</w:t>
      </w:r>
      <w:r w:rsidR="001504FB">
        <w:rPr>
          <w:lang w:val="en-US"/>
        </w:rPr>
        <w:t xml:space="preserve"> of our work</w:t>
      </w:r>
      <w:r w:rsidR="00392EB3" w:rsidRPr="00473C45">
        <w:rPr>
          <w:lang w:val="en-US"/>
        </w:rPr>
        <w:t xml:space="preserve"> </w:t>
      </w:r>
      <w:r w:rsidR="00DA6309" w:rsidRPr="00473C45">
        <w:rPr>
          <w:lang w:val="en-US"/>
        </w:rPr>
        <w:t>for theory and practice</w:t>
      </w:r>
      <w:r w:rsidR="005177D7">
        <w:rPr>
          <w:lang w:val="en-US"/>
        </w:rPr>
        <w:t xml:space="preserve"> </w:t>
      </w:r>
      <w:r w:rsidR="00DA6309" w:rsidRPr="00473C45">
        <w:rPr>
          <w:lang w:val="en-US"/>
        </w:rPr>
        <w:t xml:space="preserve">and provide </w:t>
      </w:r>
      <w:r w:rsidR="00D903AE" w:rsidRPr="00473C45">
        <w:rPr>
          <w:lang w:val="en-US"/>
        </w:rPr>
        <w:t xml:space="preserve">directions </w:t>
      </w:r>
      <w:r w:rsidR="00DA6309" w:rsidRPr="00473C45">
        <w:rPr>
          <w:lang w:val="en-US"/>
        </w:rPr>
        <w:t>for</w:t>
      </w:r>
      <w:r w:rsidR="00392EB3" w:rsidRPr="00473C45">
        <w:rPr>
          <w:lang w:val="en-US"/>
        </w:rPr>
        <w:t xml:space="preserve"> </w:t>
      </w:r>
      <w:r w:rsidR="000E6A85">
        <w:rPr>
          <w:lang w:val="en-US"/>
        </w:rPr>
        <w:t xml:space="preserve">future </w:t>
      </w:r>
      <w:r w:rsidR="00392EB3" w:rsidRPr="00473C45">
        <w:rPr>
          <w:lang w:val="en-US"/>
        </w:rPr>
        <w:t>research.</w:t>
      </w:r>
    </w:p>
    <w:p w14:paraId="04ACD843" w14:textId="77777777" w:rsidR="00710C27" w:rsidRDefault="00710C27" w:rsidP="00F61836">
      <w:pPr>
        <w:spacing w:line="480" w:lineRule="auto"/>
        <w:jc w:val="both"/>
        <w:rPr>
          <w:lang w:val="en-US"/>
        </w:rPr>
      </w:pPr>
    </w:p>
    <w:p w14:paraId="0C0B6939" w14:textId="32B9FBFD" w:rsidR="006E695C" w:rsidRDefault="009D47D6" w:rsidP="009D4803">
      <w:pPr>
        <w:pBdr>
          <w:top w:val="nil"/>
          <w:left w:val="nil"/>
          <w:bottom w:val="nil"/>
          <w:right w:val="nil"/>
          <w:between w:val="nil"/>
        </w:pBdr>
        <w:spacing w:line="480" w:lineRule="auto"/>
        <w:jc w:val="center"/>
        <w:rPr>
          <w:color w:val="000000"/>
          <w:u w:val="single"/>
          <w:lang w:val="en-US"/>
        </w:rPr>
      </w:pPr>
      <w:bookmarkStart w:id="3" w:name="_Toc528231591"/>
      <w:r>
        <w:rPr>
          <w:color w:val="000000"/>
          <w:u w:val="single"/>
          <w:lang w:val="en-US"/>
        </w:rPr>
        <w:t>THEORETICAL BACKGROUND</w:t>
      </w:r>
    </w:p>
    <w:bookmarkEnd w:id="3"/>
    <w:p w14:paraId="6AC1BDEF" w14:textId="33C1AFD4" w:rsidR="00496194" w:rsidRDefault="0016087E" w:rsidP="00496194">
      <w:pPr>
        <w:spacing w:line="480" w:lineRule="auto"/>
        <w:jc w:val="both"/>
        <w:rPr>
          <w:lang w:val="en-US"/>
        </w:rPr>
      </w:pPr>
      <w:r w:rsidRPr="00E7714B">
        <w:rPr>
          <w:lang w:val="en-US"/>
        </w:rPr>
        <w:t xml:space="preserve">The </w:t>
      </w:r>
      <w:r>
        <w:rPr>
          <w:lang w:val="en-US"/>
        </w:rPr>
        <w:t>DC</w:t>
      </w:r>
      <w:r w:rsidRPr="00E7714B">
        <w:rPr>
          <w:lang w:val="en-US"/>
        </w:rPr>
        <w:t xml:space="preserve"> </w:t>
      </w:r>
      <w:r>
        <w:rPr>
          <w:lang w:val="en-US"/>
        </w:rPr>
        <w:t xml:space="preserve">phenomenon has attracted the attention of researchers when they realized that it was a key moderator of the relationship between demographic diversity </w:t>
      </w:r>
      <w:r w:rsidRPr="004449CD">
        <w:rPr>
          <w:lang w:val="en-US"/>
        </w:rPr>
        <w:t xml:space="preserve">and its </w:t>
      </w:r>
      <w:r>
        <w:rPr>
          <w:lang w:val="en-US"/>
        </w:rPr>
        <w:t xml:space="preserve">expected beneficial </w:t>
      </w:r>
      <w:r w:rsidRPr="004449CD">
        <w:rPr>
          <w:lang w:val="en-US"/>
        </w:rPr>
        <w:t>outcomes</w:t>
      </w:r>
      <w:r w:rsidRPr="00AA037D">
        <w:rPr>
          <w:lang w:val="en-US"/>
        </w:rPr>
        <w:t>.</w:t>
      </w:r>
      <w:r>
        <w:rPr>
          <w:lang w:val="en-US"/>
        </w:rPr>
        <w:t xml:space="preserve"> DC is also expected to directly </w:t>
      </w:r>
      <w:r w:rsidRPr="00725E10">
        <w:rPr>
          <w:lang w:val="en-US"/>
        </w:rPr>
        <w:t xml:space="preserve">influence </w:t>
      </w:r>
      <w:r w:rsidRPr="007B7C4A">
        <w:rPr>
          <w:lang w:val="en-US"/>
        </w:rPr>
        <w:t>an array of</w:t>
      </w:r>
      <w:r w:rsidRPr="00725E10">
        <w:rPr>
          <w:lang w:val="en-US"/>
        </w:rPr>
        <w:t xml:space="preserve"> individual </w:t>
      </w:r>
      <w:r>
        <w:rPr>
          <w:lang w:val="en-US"/>
        </w:rPr>
        <w:t>attitudes and behaviors</w:t>
      </w:r>
      <w:r w:rsidRPr="00725E10">
        <w:rPr>
          <w:lang w:val="en-US"/>
        </w:rPr>
        <w:t>, which in turn impact organizational o</w:t>
      </w:r>
      <w:r>
        <w:rPr>
          <w:lang w:val="en-US"/>
        </w:rPr>
        <w:t>utcomes</w:t>
      </w:r>
      <w:r w:rsidRPr="00725E10">
        <w:rPr>
          <w:lang w:val="en-US"/>
        </w:rPr>
        <w:t xml:space="preserve"> (Cox, 1993)</w:t>
      </w:r>
      <w:r>
        <w:rPr>
          <w:lang w:val="en-US"/>
        </w:rPr>
        <w:t>.</w:t>
      </w:r>
      <w:r w:rsidRPr="00725E10">
        <w:rPr>
          <w:lang w:val="en-US"/>
        </w:rPr>
        <w:t xml:space="preserve"> </w:t>
      </w:r>
      <w:r w:rsidR="00496194" w:rsidRPr="00685D07">
        <w:rPr>
          <w:lang w:val="en-US"/>
        </w:rPr>
        <w:t>D</w:t>
      </w:r>
      <w:r w:rsidR="00DC0BC3">
        <w:rPr>
          <w:lang w:val="en-US"/>
        </w:rPr>
        <w:t xml:space="preserve">C </w:t>
      </w:r>
      <w:r w:rsidR="00496194" w:rsidRPr="00685D07">
        <w:rPr>
          <w:lang w:val="en-US"/>
        </w:rPr>
        <w:t xml:space="preserve">is </w:t>
      </w:r>
      <w:r w:rsidR="00496194">
        <w:rPr>
          <w:lang w:val="en-US"/>
        </w:rPr>
        <w:t xml:space="preserve">thus </w:t>
      </w:r>
      <w:r w:rsidR="00496194" w:rsidRPr="00685D07">
        <w:rPr>
          <w:lang w:val="en-US"/>
        </w:rPr>
        <w:t>a key moderator of the diversity-performance</w:t>
      </w:r>
      <w:r w:rsidR="00496194">
        <w:rPr>
          <w:lang w:val="en-US"/>
        </w:rPr>
        <w:t xml:space="preserve"> </w:t>
      </w:r>
      <w:r w:rsidR="00496194" w:rsidRPr="00685D07">
        <w:rPr>
          <w:lang w:val="en-US"/>
        </w:rPr>
        <w:t>relationship (Cox and Blake, 1991; Kossek and Zonia,</w:t>
      </w:r>
      <w:r w:rsidR="00496194">
        <w:rPr>
          <w:lang w:val="en-US"/>
        </w:rPr>
        <w:t xml:space="preserve"> </w:t>
      </w:r>
      <w:r w:rsidR="00496194" w:rsidRPr="00685D07">
        <w:rPr>
          <w:lang w:val="en-US"/>
        </w:rPr>
        <w:t>1993; Cox, 1993;</w:t>
      </w:r>
      <w:r w:rsidR="00496194">
        <w:rPr>
          <w:lang w:val="en-US"/>
        </w:rPr>
        <w:t xml:space="preserve"> </w:t>
      </w:r>
      <w:r w:rsidR="00496194" w:rsidRPr="00685D07">
        <w:rPr>
          <w:lang w:val="en-US"/>
        </w:rPr>
        <w:t>Mor Barak et al., 1998).</w:t>
      </w:r>
    </w:p>
    <w:p w14:paraId="22EBD79C" w14:textId="5CF2E5D7" w:rsidR="00CB1B50" w:rsidRDefault="00CB1B50" w:rsidP="00791AE5">
      <w:pPr>
        <w:spacing w:line="480" w:lineRule="auto"/>
        <w:jc w:val="both"/>
        <w:rPr>
          <w:lang w:val="en-US"/>
        </w:rPr>
      </w:pPr>
      <w:r>
        <w:rPr>
          <w:lang w:val="en-US"/>
        </w:rPr>
        <w:t xml:space="preserve">DC at the individual level, also termed psychological DC, has been theorized </w:t>
      </w:r>
      <w:r w:rsidR="000B6B38">
        <w:rPr>
          <w:lang w:val="en-US"/>
        </w:rPr>
        <w:t xml:space="preserve">relying on </w:t>
      </w:r>
      <w:r w:rsidR="000B6B38" w:rsidRPr="000B6B38">
        <w:rPr>
          <w:lang w:val="en-US"/>
        </w:rPr>
        <w:t xml:space="preserve">Cox’s IMCD framework and/or social identity theory (SIT) (Tajfel &amp; Turner, 1986). </w:t>
      </w:r>
      <w:r w:rsidR="002738EE">
        <w:rPr>
          <w:lang w:val="en-US"/>
        </w:rPr>
        <w:t xml:space="preserve">It is seen </w:t>
      </w:r>
      <w:r>
        <w:rPr>
          <w:lang w:val="en-US"/>
        </w:rPr>
        <w:t xml:space="preserve">as </w:t>
      </w:r>
      <w:r>
        <w:rPr>
          <w:lang w:val="en-US"/>
        </w:rPr>
        <w:lastRenderedPageBreak/>
        <w:t>‘</w:t>
      </w:r>
      <w:r w:rsidRPr="00685D07">
        <w:rPr>
          <w:i/>
          <w:lang w:val="en-US"/>
        </w:rPr>
        <w:t>employees’ individual views of how strongly a work context is viewed as fair and inclusive (or as valuing diversity)</w:t>
      </w:r>
      <w:r>
        <w:rPr>
          <w:lang w:val="en-US"/>
        </w:rPr>
        <w:t>’ (McKay and Avery, 2015, p.196)</w:t>
      </w:r>
      <w:r w:rsidRPr="00FB0A77">
        <w:rPr>
          <w:lang w:val="en-US"/>
        </w:rPr>
        <w:t>.</w:t>
      </w:r>
      <w:r>
        <w:rPr>
          <w:lang w:val="en-US"/>
        </w:rPr>
        <w:t xml:space="preserve"> At the individual level, scholars have demonstrated that positive </w:t>
      </w:r>
      <w:r w:rsidR="0053118A">
        <w:rPr>
          <w:lang w:val="en-US"/>
        </w:rPr>
        <w:t>DC</w:t>
      </w:r>
      <w:r w:rsidR="0053118A" w:rsidRPr="0053118A">
        <w:rPr>
          <w:lang w:val="en-US"/>
        </w:rPr>
        <w:t xml:space="preserve"> </w:t>
      </w:r>
      <w:r w:rsidR="0053118A">
        <w:rPr>
          <w:lang w:val="en-US"/>
        </w:rPr>
        <w:t>is</w:t>
      </w:r>
      <w:r w:rsidR="0053118A" w:rsidRPr="0053118A">
        <w:rPr>
          <w:lang w:val="en-US"/>
        </w:rPr>
        <w:t xml:space="preserve"> associated with higher organizational commitment</w:t>
      </w:r>
      <w:r w:rsidR="0053118A">
        <w:rPr>
          <w:lang w:val="en-US"/>
        </w:rPr>
        <w:t xml:space="preserve"> </w:t>
      </w:r>
      <w:r w:rsidR="0053118A" w:rsidRPr="0053118A">
        <w:rPr>
          <w:lang w:val="en-US"/>
        </w:rPr>
        <w:t xml:space="preserve">(Buttner et al., 2012; Gonzalez </w:t>
      </w:r>
      <w:r w:rsidR="003473EA">
        <w:rPr>
          <w:lang w:val="en-US"/>
        </w:rPr>
        <w:t>and</w:t>
      </w:r>
      <w:r w:rsidR="0053118A" w:rsidRPr="0053118A">
        <w:rPr>
          <w:lang w:val="en-US"/>
        </w:rPr>
        <w:t xml:space="preserve"> DeNisi, 2009; Hicks-Clarke </w:t>
      </w:r>
      <w:r w:rsidR="003473EA">
        <w:rPr>
          <w:lang w:val="en-US"/>
        </w:rPr>
        <w:t>and</w:t>
      </w:r>
      <w:r w:rsidR="003473EA" w:rsidRPr="0053118A">
        <w:rPr>
          <w:lang w:val="en-US"/>
        </w:rPr>
        <w:t xml:space="preserve"> </w:t>
      </w:r>
      <w:r w:rsidR="0053118A" w:rsidRPr="0053118A">
        <w:rPr>
          <w:lang w:val="en-US"/>
        </w:rPr>
        <w:t>Iles,</w:t>
      </w:r>
      <w:r w:rsidR="0053118A">
        <w:rPr>
          <w:lang w:val="en-US"/>
        </w:rPr>
        <w:t xml:space="preserve"> </w:t>
      </w:r>
      <w:r w:rsidR="0053118A" w:rsidRPr="0053118A">
        <w:rPr>
          <w:lang w:val="en-US"/>
        </w:rPr>
        <w:t xml:space="preserve">2000), </w:t>
      </w:r>
      <w:r w:rsidR="00B30A2E" w:rsidRPr="00791AE5">
        <w:rPr>
          <w:lang w:val="en-US"/>
        </w:rPr>
        <w:t>job satisfaction (Madera</w:t>
      </w:r>
      <w:r w:rsidR="003473EA">
        <w:rPr>
          <w:lang w:val="en-US"/>
        </w:rPr>
        <w:t xml:space="preserve"> et al.</w:t>
      </w:r>
      <w:r w:rsidR="00B30A2E" w:rsidRPr="00791AE5">
        <w:rPr>
          <w:lang w:val="en-US"/>
        </w:rPr>
        <w:t>, 201</w:t>
      </w:r>
      <w:r w:rsidR="003B20F9">
        <w:rPr>
          <w:lang w:val="en-US"/>
        </w:rPr>
        <w:t>3</w:t>
      </w:r>
      <w:r w:rsidR="00B30A2E" w:rsidRPr="00791AE5">
        <w:rPr>
          <w:lang w:val="en-US"/>
        </w:rPr>
        <w:t>)</w:t>
      </w:r>
      <w:r w:rsidR="00B30A2E">
        <w:rPr>
          <w:lang w:val="en-US"/>
        </w:rPr>
        <w:t xml:space="preserve">, </w:t>
      </w:r>
      <w:r w:rsidR="00B30A2E" w:rsidRPr="00791AE5">
        <w:rPr>
          <w:lang w:val="en-US"/>
        </w:rPr>
        <w:t>learning</w:t>
      </w:r>
      <w:r w:rsidR="00B30A2E">
        <w:rPr>
          <w:lang w:val="en-US"/>
        </w:rPr>
        <w:t xml:space="preserve"> </w:t>
      </w:r>
      <w:r w:rsidR="00B30A2E" w:rsidRPr="00791AE5">
        <w:rPr>
          <w:lang w:val="en-US"/>
        </w:rPr>
        <w:t>behavior (Guchait</w:t>
      </w:r>
      <w:r w:rsidR="003473EA">
        <w:rPr>
          <w:lang w:val="en-US"/>
        </w:rPr>
        <w:t xml:space="preserve"> et al.</w:t>
      </w:r>
      <w:r w:rsidR="00B30A2E" w:rsidRPr="00791AE5">
        <w:rPr>
          <w:lang w:val="en-US"/>
        </w:rPr>
        <w:t>, 2016)</w:t>
      </w:r>
      <w:r w:rsidR="00B30A2E">
        <w:rPr>
          <w:lang w:val="en-US"/>
        </w:rPr>
        <w:t xml:space="preserve">, </w:t>
      </w:r>
      <w:r w:rsidR="00B30A2E" w:rsidRPr="00791AE5">
        <w:rPr>
          <w:lang w:val="en-US"/>
        </w:rPr>
        <w:t>or</w:t>
      </w:r>
      <w:r w:rsidR="00B30A2E">
        <w:rPr>
          <w:lang w:val="en-US"/>
        </w:rPr>
        <w:t xml:space="preserve"> </w:t>
      </w:r>
      <w:r w:rsidR="0053118A" w:rsidRPr="0053118A">
        <w:rPr>
          <w:lang w:val="en-US"/>
        </w:rPr>
        <w:t xml:space="preserve">lower turnover intentions (Buttner et al., 2012; Gonzalez </w:t>
      </w:r>
      <w:r w:rsidR="003473EA">
        <w:rPr>
          <w:lang w:val="en-US"/>
        </w:rPr>
        <w:t>and</w:t>
      </w:r>
      <w:r w:rsidR="0053118A">
        <w:rPr>
          <w:lang w:val="en-US"/>
        </w:rPr>
        <w:t xml:space="preserve"> </w:t>
      </w:r>
      <w:r w:rsidR="0053118A" w:rsidRPr="0053118A">
        <w:rPr>
          <w:lang w:val="en-US"/>
        </w:rPr>
        <w:t>DeNisi, 2009)</w:t>
      </w:r>
      <w:r w:rsidR="0053118A">
        <w:rPr>
          <w:lang w:val="en-US"/>
        </w:rPr>
        <w:t>.</w:t>
      </w:r>
      <w:r w:rsidR="0053118A" w:rsidRPr="0053118A">
        <w:rPr>
          <w:lang w:val="en-US"/>
        </w:rPr>
        <w:t xml:space="preserve"> </w:t>
      </w:r>
      <w:r>
        <w:rPr>
          <w:lang w:val="en-US"/>
        </w:rPr>
        <w:t>DC can also be theorized as an organizational climate</w:t>
      </w:r>
      <w:r w:rsidRPr="00D82C83">
        <w:rPr>
          <w:lang w:val="en-US"/>
        </w:rPr>
        <w:t xml:space="preserve"> (</w:t>
      </w:r>
      <w:r w:rsidR="006446FE" w:rsidRPr="009F5504">
        <w:rPr>
          <w:lang w:val="en-US"/>
        </w:rPr>
        <w:t>Schneider and Reichers,</w:t>
      </w:r>
      <w:r w:rsidR="006446FE">
        <w:rPr>
          <w:lang w:val="en-US"/>
        </w:rPr>
        <w:t xml:space="preserve"> </w:t>
      </w:r>
      <w:r w:rsidR="006446FE" w:rsidRPr="009F5504">
        <w:rPr>
          <w:lang w:val="en-US"/>
        </w:rPr>
        <w:t>1983; Kopelman et al., 1990</w:t>
      </w:r>
      <w:r w:rsidR="006446FE">
        <w:rPr>
          <w:lang w:val="en-US"/>
        </w:rPr>
        <w:t xml:space="preserve">; </w:t>
      </w:r>
      <w:r w:rsidRPr="00AA037D">
        <w:rPr>
          <w:lang w:val="en-US"/>
        </w:rPr>
        <w:t>Reichers and Schneider, 1990</w:t>
      </w:r>
      <w:r w:rsidRPr="004449CD">
        <w:rPr>
          <w:lang w:val="en-US"/>
        </w:rPr>
        <w:t>)</w:t>
      </w:r>
      <w:r>
        <w:rPr>
          <w:lang w:val="en-US"/>
        </w:rPr>
        <w:t xml:space="preserve"> in relation to the way diverse people are treated and valued by their organization</w:t>
      </w:r>
      <w:r w:rsidRPr="004449CD">
        <w:rPr>
          <w:lang w:val="en-US"/>
        </w:rPr>
        <w:t>.</w:t>
      </w:r>
      <w:r>
        <w:rPr>
          <w:lang w:val="en-US"/>
        </w:rPr>
        <w:t xml:space="preserve"> At higher level, scholars have highlighted the impact of DC on</w:t>
      </w:r>
      <w:r w:rsidR="009B3193" w:rsidRPr="0053118A">
        <w:rPr>
          <w:lang w:val="en-US"/>
        </w:rPr>
        <w:t xml:space="preserve"> performance (</w:t>
      </w:r>
      <w:r w:rsidR="00A47AA6" w:rsidRPr="0053118A">
        <w:rPr>
          <w:lang w:val="en-US"/>
        </w:rPr>
        <w:t>McKay</w:t>
      </w:r>
      <w:r w:rsidR="00A47AA6">
        <w:rPr>
          <w:lang w:val="en-US"/>
        </w:rPr>
        <w:t xml:space="preserve"> et al., 2008; </w:t>
      </w:r>
      <w:r w:rsidR="009B3193" w:rsidRPr="0053118A">
        <w:rPr>
          <w:lang w:val="en-US"/>
        </w:rPr>
        <w:t>McKay</w:t>
      </w:r>
      <w:r w:rsidR="009B3193">
        <w:rPr>
          <w:lang w:val="en-US"/>
        </w:rPr>
        <w:t xml:space="preserve"> et al., 2009)</w:t>
      </w:r>
      <w:r>
        <w:rPr>
          <w:lang w:val="en-US"/>
        </w:rPr>
        <w:t>.</w:t>
      </w:r>
    </w:p>
    <w:p w14:paraId="0E999562" w14:textId="076E7465" w:rsidR="006960A9" w:rsidRDefault="007B2D6D" w:rsidP="006960A9">
      <w:pPr>
        <w:spacing w:line="480" w:lineRule="auto"/>
        <w:jc w:val="both"/>
        <w:rPr>
          <w:lang w:val="en-US"/>
        </w:rPr>
      </w:pPr>
      <w:r>
        <w:rPr>
          <w:lang w:val="en-US"/>
        </w:rPr>
        <w:t xml:space="preserve">At higher level, </w:t>
      </w:r>
      <w:r w:rsidR="006960A9">
        <w:rPr>
          <w:lang w:val="en-US"/>
        </w:rPr>
        <w:t xml:space="preserve">DC </w:t>
      </w:r>
      <w:r>
        <w:rPr>
          <w:lang w:val="en-US"/>
        </w:rPr>
        <w:t>reflects</w:t>
      </w:r>
      <w:r w:rsidR="006960A9">
        <w:rPr>
          <w:lang w:val="en-US"/>
        </w:rPr>
        <w:t xml:space="preserve"> the employees’ </w:t>
      </w:r>
      <w:r w:rsidR="003B6F83">
        <w:rPr>
          <w:lang w:val="en-US"/>
        </w:rPr>
        <w:t xml:space="preserve">shared </w:t>
      </w:r>
      <w:r w:rsidR="006960A9">
        <w:rPr>
          <w:lang w:val="en-US"/>
        </w:rPr>
        <w:t xml:space="preserve">perception of the extent </w:t>
      </w:r>
      <w:r w:rsidR="003B6F83">
        <w:rPr>
          <w:lang w:val="en-US"/>
        </w:rPr>
        <w:t xml:space="preserve">to which </w:t>
      </w:r>
      <w:r w:rsidR="006960A9">
        <w:rPr>
          <w:lang w:val="en-US"/>
        </w:rPr>
        <w:t>their organization promotes and positively manage</w:t>
      </w:r>
      <w:r w:rsidR="003B6F83">
        <w:rPr>
          <w:lang w:val="en-US"/>
        </w:rPr>
        <w:t>s</w:t>
      </w:r>
      <w:r w:rsidR="006960A9">
        <w:rPr>
          <w:lang w:val="en-US"/>
        </w:rPr>
        <w:t xml:space="preserve"> diversity. By managing diversity, organizations seek to develop and strengthen the DC perceived by their employees, which in turn may encourage them to adopt the rewarded behaviors regarding diversity. Dwertmann et al. (2016, p.1137) exposed that DC</w:t>
      </w:r>
      <w:r w:rsidR="006960A9" w:rsidRPr="002162AC">
        <w:rPr>
          <w:lang w:val="en-US"/>
        </w:rPr>
        <w:t xml:space="preserve"> referred to </w:t>
      </w:r>
      <w:r w:rsidR="006960A9">
        <w:rPr>
          <w:lang w:val="en-US"/>
        </w:rPr>
        <w:t>‘</w:t>
      </w:r>
      <w:r w:rsidR="006960A9" w:rsidRPr="002162AC">
        <w:rPr>
          <w:lang w:val="en-US"/>
        </w:rPr>
        <w:t>employees’ perceptions about the extent to which their organization values diversity as evident</w:t>
      </w:r>
      <w:r w:rsidR="006960A9">
        <w:rPr>
          <w:lang w:val="en-US"/>
        </w:rPr>
        <w:t xml:space="preserve"> </w:t>
      </w:r>
      <w:r w:rsidR="006960A9" w:rsidRPr="002162AC">
        <w:rPr>
          <w:lang w:val="en-US"/>
        </w:rPr>
        <w:t>in the organization’s formal structure, informal values, and social integration of underrepresented</w:t>
      </w:r>
      <w:r w:rsidR="006960A9">
        <w:rPr>
          <w:lang w:val="en-US"/>
        </w:rPr>
        <w:t xml:space="preserve"> </w:t>
      </w:r>
      <w:r w:rsidR="006960A9" w:rsidRPr="002162AC">
        <w:rPr>
          <w:lang w:val="en-US"/>
        </w:rPr>
        <w:t>employees</w:t>
      </w:r>
      <w:r w:rsidR="006960A9">
        <w:rPr>
          <w:lang w:val="en-US"/>
        </w:rPr>
        <w:t>’</w:t>
      </w:r>
      <w:r w:rsidR="006960A9" w:rsidRPr="002162AC">
        <w:rPr>
          <w:lang w:val="en-US"/>
        </w:rPr>
        <w:t>.</w:t>
      </w:r>
      <w:r w:rsidR="006960A9">
        <w:rPr>
          <w:lang w:val="en-US"/>
        </w:rPr>
        <w:t xml:space="preserve"> Although the DC concept has been widely defined and used, there have only been limited research efforts to extensively review the DC literature (Cachat-Rosset et al., 2017; Chrobot-Mason and Aramovich, 2013; Dwertmann et al., 2016; McKay and Avery, 2015). </w:t>
      </w:r>
      <w:r w:rsidR="0042601C">
        <w:rPr>
          <w:lang w:val="en-US"/>
        </w:rPr>
        <w:t>However,</w:t>
      </w:r>
      <w:r w:rsidR="006960A9">
        <w:rPr>
          <w:lang w:val="en-US"/>
        </w:rPr>
        <w:t xml:space="preserve"> these reviews agreed on several serious inconsistencies in the DC conceptualization, </w:t>
      </w:r>
      <w:r w:rsidR="003B6F83">
        <w:rPr>
          <w:lang w:val="en-US"/>
        </w:rPr>
        <w:t xml:space="preserve">in </w:t>
      </w:r>
      <w:r w:rsidR="006960A9">
        <w:rPr>
          <w:lang w:val="en-US"/>
        </w:rPr>
        <w:t xml:space="preserve">the consideration of levels of analysis and </w:t>
      </w:r>
      <w:r w:rsidR="003B6F83">
        <w:rPr>
          <w:lang w:val="en-US"/>
        </w:rPr>
        <w:t xml:space="preserve">in </w:t>
      </w:r>
      <w:r w:rsidR="006960A9">
        <w:rPr>
          <w:lang w:val="en-US"/>
        </w:rPr>
        <w:t xml:space="preserve">its dimensionality. </w:t>
      </w:r>
    </w:p>
    <w:p w14:paraId="5F4E4D63" w14:textId="651E941E" w:rsidR="00284827" w:rsidRDefault="00ED641F" w:rsidP="00E7714B">
      <w:pPr>
        <w:pBdr>
          <w:top w:val="nil"/>
          <w:left w:val="nil"/>
          <w:bottom w:val="nil"/>
          <w:right w:val="nil"/>
          <w:between w:val="nil"/>
        </w:pBdr>
        <w:spacing w:line="480" w:lineRule="auto"/>
        <w:jc w:val="both"/>
        <w:rPr>
          <w:lang w:val="en-US"/>
        </w:rPr>
      </w:pPr>
      <w:r>
        <w:rPr>
          <w:lang w:val="en-US"/>
        </w:rPr>
        <w:t xml:space="preserve">We </w:t>
      </w:r>
      <w:r w:rsidR="00797057">
        <w:rPr>
          <w:lang w:val="en-US"/>
        </w:rPr>
        <w:t xml:space="preserve">first </w:t>
      </w:r>
      <w:r w:rsidR="00DA7702">
        <w:rPr>
          <w:lang w:val="en-US"/>
        </w:rPr>
        <w:t xml:space="preserve">highlight </w:t>
      </w:r>
      <w:r w:rsidR="00215DD8">
        <w:rPr>
          <w:lang w:val="en-US"/>
        </w:rPr>
        <w:t xml:space="preserve">below </w:t>
      </w:r>
      <w:r w:rsidR="00DA7702">
        <w:rPr>
          <w:lang w:val="en-US"/>
        </w:rPr>
        <w:t xml:space="preserve">the lack of linkage between DC and the diversity </w:t>
      </w:r>
      <w:r w:rsidR="0042601C">
        <w:rPr>
          <w:lang w:val="en-US"/>
        </w:rPr>
        <w:t xml:space="preserve">management </w:t>
      </w:r>
      <w:r w:rsidR="00DA7702">
        <w:rPr>
          <w:lang w:val="en-US"/>
        </w:rPr>
        <w:t>conceptual frameworks</w:t>
      </w:r>
      <w:r w:rsidR="00797057">
        <w:rPr>
          <w:lang w:val="en-US"/>
        </w:rPr>
        <w:t xml:space="preserve">. Then, we </w:t>
      </w:r>
      <w:r w:rsidR="00215DD8">
        <w:rPr>
          <w:lang w:val="en-US"/>
        </w:rPr>
        <w:t xml:space="preserve">present the paradigm shift proposed by Cachat-Rosset et al. (2017) to </w:t>
      </w:r>
      <w:r w:rsidR="00C7026A">
        <w:rPr>
          <w:lang w:val="en-US"/>
        </w:rPr>
        <w:t>advance</w:t>
      </w:r>
      <w:r w:rsidR="00215DD8">
        <w:rPr>
          <w:lang w:val="en-US"/>
        </w:rPr>
        <w:t xml:space="preserve"> the DC field in answer to the call of scholars for clarification</w:t>
      </w:r>
      <w:r w:rsidR="00FE04BF">
        <w:rPr>
          <w:lang w:val="en-US"/>
        </w:rPr>
        <w:t>.</w:t>
      </w:r>
      <w:r w:rsidR="00215DD8">
        <w:rPr>
          <w:lang w:val="en-US"/>
        </w:rPr>
        <w:t xml:space="preserve"> </w:t>
      </w:r>
      <w:r w:rsidR="00B678E4">
        <w:rPr>
          <w:lang w:val="en-US"/>
        </w:rPr>
        <w:t>In addition</w:t>
      </w:r>
      <w:r w:rsidR="00215DD8">
        <w:rPr>
          <w:lang w:val="en-US"/>
        </w:rPr>
        <w:t xml:space="preserve">, </w:t>
      </w:r>
      <w:r w:rsidR="00215DD8">
        <w:rPr>
          <w:lang w:val="en-US"/>
        </w:rPr>
        <w:lastRenderedPageBreak/>
        <w:t xml:space="preserve">we </w:t>
      </w:r>
      <w:r w:rsidR="00DA7702">
        <w:rPr>
          <w:lang w:val="en-US"/>
        </w:rPr>
        <w:t xml:space="preserve">outline limitations that pertain to the </w:t>
      </w:r>
      <w:r w:rsidR="00215DD8">
        <w:rPr>
          <w:lang w:val="en-US"/>
        </w:rPr>
        <w:t xml:space="preserve">existing </w:t>
      </w:r>
      <w:r w:rsidR="00DA7702">
        <w:rPr>
          <w:lang w:val="en-US"/>
        </w:rPr>
        <w:t xml:space="preserve">measurement of </w:t>
      </w:r>
      <w:r w:rsidR="00F512CA">
        <w:rPr>
          <w:lang w:val="en-US"/>
        </w:rPr>
        <w:t>DC</w:t>
      </w:r>
      <w:r w:rsidR="0042601C">
        <w:rPr>
          <w:lang w:val="en-US"/>
        </w:rPr>
        <w:t xml:space="preserve"> and the need for developing a strongly conceptually aligned new one</w:t>
      </w:r>
      <w:r w:rsidR="00DA7702">
        <w:rPr>
          <w:lang w:val="en-US"/>
        </w:rPr>
        <w:t>.</w:t>
      </w:r>
    </w:p>
    <w:p w14:paraId="23C49B3B" w14:textId="59903D1E" w:rsidR="00412658" w:rsidRDefault="007A7ED8" w:rsidP="00412658">
      <w:pPr>
        <w:pStyle w:val="Titre2"/>
      </w:pPr>
      <w:r>
        <w:t>G</w:t>
      </w:r>
      <w:r w:rsidR="00412658">
        <w:t xml:space="preserve">rand diversity </w:t>
      </w:r>
      <w:r w:rsidR="00F512CA">
        <w:t xml:space="preserve">management </w:t>
      </w:r>
      <w:r w:rsidR="00A86168">
        <w:t>paradigms</w:t>
      </w:r>
    </w:p>
    <w:p w14:paraId="09A49ED5" w14:textId="7D47D3D1" w:rsidR="000806DE" w:rsidRDefault="000806DE" w:rsidP="00E96A23">
      <w:pPr>
        <w:spacing w:line="480" w:lineRule="auto"/>
        <w:jc w:val="both"/>
        <w:rPr>
          <w:lang w:val="en-US"/>
        </w:rPr>
      </w:pPr>
      <w:r>
        <w:rPr>
          <w:lang w:val="en-US"/>
        </w:rPr>
        <w:t xml:space="preserve">Diversity management has been conceptualized according several frameworks </w:t>
      </w:r>
      <w:r w:rsidR="00491594">
        <w:rPr>
          <w:lang w:val="en-US"/>
        </w:rPr>
        <w:t>to</w:t>
      </w:r>
      <w:r>
        <w:rPr>
          <w:lang w:val="en-US"/>
        </w:rPr>
        <w:t xml:space="preserve"> </w:t>
      </w:r>
      <w:r w:rsidR="00192697">
        <w:rPr>
          <w:lang w:val="en-US"/>
        </w:rPr>
        <w:t xml:space="preserve">further </w:t>
      </w:r>
      <w:r>
        <w:rPr>
          <w:lang w:val="en-US"/>
        </w:rPr>
        <w:t xml:space="preserve">enhance our understanding of what is at stake when organizations </w:t>
      </w:r>
      <w:r w:rsidR="000459FF">
        <w:rPr>
          <w:lang w:val="en-US"/>
        </w:rPr>
        <w:t>manage</w:t>
      </w:r>
      <w:r>
        <w:rPr>
          <w:lang w:val="en-US"/>
        </w:rPr>
        <w:t xml:space="preserve"> diversity (</w:t>
      </w:r>
      <w:r w:rsidRPr="00245B05">
        <w:rPr>
          <w:lang w:val="en-GB" w:eastAsia="en-GB"/>
        </w:rPr>
        <w:t>Dwertmann</w:t>
      </w:r>
      <w:r>
        <w:rPr>
          <w:lang w:val="en-GB" w:eastAsia="en-GB"/>
        </w:rPr>
        <w:t xml:space="preserve"> et al.,</w:t>
      </w:r>
      <w:r w:rsidRPr="00245B05">
        <w:rPr>
          <w:lang w:val="en-GB" w:eastAsia="en-GB"/>
        </w:rPr>
        <w:t xml:space="preserve"> 2016</w:t>
      </w:r>
      <w:r>
        <w:rPr>
          <w:lang w:val="en-GB" w:eastAsia="en-GB"/>
        </w:rPr>
        <w:t xml:space="preserve">; </w:t>
      </w:r>
      <w:r w:rsidRPr="00245B05">
        <w:rPr>
          <w:lang w:val="en-GB" w:eastAsia="en-GB"/>
        </w:rPr>
        <w:t>Thomas</w:t>
      </w:r>
      <w:r>
        <w:rPr>
          <w:lang w:val="en-GB" w:eastAsia="en-GB"/>
        </w:rPr>
        <w:t>, 1990;</w:t>
      </w:r>
      <w:r w:rsidRPr="00245B05">
        <w:rPr>
          <w:lang w:val="en-GB" w:eastAsia="en-GB"/>
        </w:rPr>
        <w:t xml:space="preserve"> Thomas and Ely</w:t>
      </w:r>
      <w:r>
        <w:rPr>
          <w:lang w:val="en-GB" w:eastAsia="en-GB"/>
        </w:rPr>
        <w:t>,</w:t>
      </w:r>
      <w:r w:rsidRPr="00245B05">
        <w:rPr>
          <w:lang w:val="en-GB" w:eastAsia="en-GB"/>
        </w:rPr>
        <w:t xml:space="preserve"> 1996</w:t>
      </w:r>
      <w:r>
        <w:rPr>
          <w:lang w:val="en-US"/>
        </w:rPr>
        <w:t xml:space="preserve">). </w:t>
      </w:r>
    </w:p>
    <w:p w14:paraId="4883F9C1" w14:textId="1EF39E7B" w:rsidR="00412658" w:rsidRDefault="00412658" w:rsidP="00E96A23">
      <w:pPr>
        <w:spacing w:line="480" w:lineRule="auto"/>
        <w:jc w:val="both"/>
        <w:rPr>
          <w:lang w:val="en-US"/>
        </w:rPr>
      </w:pPr>
      <w:r>
        <w:rPr>
          <w:lang w:val="en-US"/>
        </w:rPr>
        <w:t>The earliest theorist of diversity management, Thomas (1990), distinguished between the Affirmative Action (hiring and promoting persons from under-represented groups) and the Affirming Diversity (valuing their specific contribution) perspectives.</w:t>
      </w:r>
      <w:r w:rsidR="00DA7702">
        <w:rPr>
          <w:lang w:val="en-US"/>
        </w:rPr>
        <w:t xml:space="preserve"> </w:t>
      </w:r>
      <w:r w:rsidR="002B1D4D">
        <w:rPr>
          <w:lang w:val="en-US"/>
        </w:rPr>
        <w:t xml:space="preserve">In a similar vein, </w:t>
      </w:r>
      <w:r>
        <w:rPr>
          <w:lang w:val="en-US"/>
        </w:rPr>
        <w:t>organizations can be categorized as plural (valuing minimal fair treatment and representation) and multi-cultural (valuing the full utilization of diverse employees’ contribution)</w:t>
      </w:r>
      <w:r w:rsidR="002B1D4D">
        <w:rPr>
          <w:lang w:val="en-US"/>
        </w:rPr>
        <w:t xml:space="preserve"> (Cox, 1991)</w:t>
      </w:r>
      <w:r>
        <w:rPr>
          <w:lang w:val="en-US"/>
        </w:rPr>
        <w:t xml:space="preserve">. </w:t>
      </w:r>
      <w:r w:rsidR="00AA6B55">
        <w:rPr>
          <w:lang w:val="en-US"/>
        </w:rPr>
        <w:t xml:space="preserve">Then, </w:t>
      </w:r>
      <w:r>
        <w:rPr>
          <w:lang w:val="en-US"/>
        </w:rPr>
        <w:t>Thomas and Ely (1996) distinguished between three paradigms: Discrimination &amp; fairness (close to the Affirmative Action approach along the lines of Thomas, 1990), Access &amp; legitimacy, Learning &amp; effectiveness (the last two being related to Thomas (1990)’s Affirming Diversity approach). Discrimination &amp; fairness refers to legal compliance based on efforts to recruit under-represented groups and avoid discrimination. Access &amp; legitimacy refers to tapping diversity among employees in order to better serve diversified customers. Learning &amp; effectiveness refers to using workforce diversity as a leverage for organizational learning. The last two paradigms</w:t>
      </w:r>
      <w:r w:rsidR="00AB0FDA">
        <w:rPr>
          <w:lang w:val="en-US"/>
        </w:rPr>
        <w:t xml:space="preserve"> </w:t>
      </w:r>
      <w:r>
        <w:rPr>
          <w:lang w:val="en-US"/>
        </w:rPr>
        <w:t xml:space="preserve">stress </w:t>
      </w:r>
      <w:r w:rsidR="00AB0FDA">
        <w:rPr>
          <w:lang w:val="en-US"/>
        </w:rPr>
        <w:t xml:space="preserve">the accrued </w:t>
      </w:r>
      <w:r>
        <w:rPr>
          <w:lang w:val="en-US"/>
        </w:rPr>
        <w:t>business benefits and synergy from valuing workforce diversity, while the first paradigm</w:t>
      </w:r>
      <w:r w:rsidR="00A2527F">
        <w:rPr>
          <w:lang w:val="en-US"/>
        </w:rPr>
        <w:t xml:space="preserve"> which is highly dominant in DC research,</w:t>
      </w:r>
      <w:r>
        <w:rPr>
          <w:lang w:val="en-US"/>
        </w:rPr>
        <w:t xml:space="preserve"> </w:t>
      </w:r>
      <w:r w:rsidR="00AB0FDA">
        <w:rPr>
          <w:lang w:val="en-US"/>
        </w:rPr>
        <w:t>focuses on</w:t>
      </w:r>
      <w:r>
        <w:rPr>
          <w:lang w:val="en-US"/>
        </w:rPr>
        <w:t xml:space="preserve"> fair treatment (Dwertmann et al., 2016). </w:t>
      </w:r>
    </w:p>
    <w:p w14:paraId="63BDD3B5" w14:textId="3407571A" w:rsidR="00216BE3" w:rsidRPr="00A643FC" w:rsidRDefault="00216BE3" w:rsidP="00216BE3">
      <w:pPr>
        <w:spacing w:line="480" w:lineRule="auto"/>
        <w:jc w:val="center"/>
        <w:rPr>
          <w:lang w:val="en-US"/>
        </w:rPr>
      </w:pPr>
      <w:r w:rsidRPr="00A643FC">
        <w:rPr>
          <w:lang w:val="en-US"/>
        </w:rPr>
        <w:t>-------------------------------------------</w:t>
      </w:r>
    </w:p>
    <w:p w14:paraId="046FB9EC" w14:textId="77777777" w:rsidR="00216BE3" w:rsidRPr="00A643FC" w:rsidRDefault="00216BE3" w:rsidP="00216BE3">
      <w:pPr>
        <w:spacing w:line="480" w:lineRule="auto"/>
        <w:jc w:val="center"/>
        <w:rPr>
          <w:lang w:val="en-US"/>
        </w:rPr>
      </w:pPr>
      <w:r w:rsidRPr="00A643FC">
        <w:rPr>
          <w:lang w:val="en-US"/>
        </w:rPr>
        <w:t>INSERT TABLE I ABOUT HERE</w:t>
      </w:r>
    </w:p>
    <w:p w14:paraId="4D3C4D2E" w14:textId="2906524D" w:rsidR="00216BE3" w:rsidRDefault="00216BE3" w:rsidP="00216BE3">
      <w:pPr>
        <w:spacing w:line="480" w:lineRule="auto"/>
        <w:jc w:val="center"/>
        <w:rPr>
          <w:lang w:val="en-US"/>
        </w:rPr>
      </w:pPr>
      <w:r w:rsidRPr="00A643FC">
        <w:rPr>
          <w:lang w:val="en-US"/>
        </w:rPr>
        <w:t>-------------------------------------------</w:t>
      </w:r>
    </w:p>
    <w:p w14:paraId="1389982D" w14:textId="69DFB453" w:rsidR="00F321DC" w:rsidRDefault="003E302C" w:rsidP="00F321DC">
      <w:pPr>
        <w:pBdr>
          <w:top w:val="nil"/>
          <w:left w:val="nil"/>
          <w:bottom w:val="nil"/>
          <w:right w:val="nil"/>
          <w:between w:val="nil"/>
        </w:pBdr>
        <w:spacing w:line="480" w:lineRule="auto"/>
        <w:jc w:val="both"/>
        <w:rPr>
          <w:lang w:val="en-US"/>
        </w:rPr>
      </w:pPr>
      <w:r>
        <w:rPr>
          <w:lang w:val="en-US"/>
        </w:rPr>
        <w:lastRenderedPageBreak/>
        <w:t xml:space="preserve">In summary, </w:t>
      </w:r>
      <w:r w:rsidR="005F4331">
        <w:rPr>
          <w:lang w:val="en-US"/>
        </w:rPr>
        <w:t>we fully</w:t>
      </w:r>
      <w:r w:rsidR="00C7026A">
        <w:rPr>
          <w:lang w:val="en-US"/>
        </w:rPr>
        <w:t xml:space="preserve"> concur</w:t>
      </w:r>
      <w:r w:rsidR="005F4331">
        <w:rPr>
          <w:lang w:val="en-US"/>
        </w:rPr>
        <w:t xml:space="preserve"> with Dwertmann et al. (2016) who exposed that </w:t>
      </w:r>
      <w:r>
        <w:rPr>
          <w:lang w:val="en-US"/>
        </w:rPr>
        <w:t xml:space="preserve">mainstream diversity management theoretical frameworks can be grouped along a distinction between fair representation and treatment on the one hand, and valuing diversity on the other hand (Table I). However, for the time being DC research most often fails to reflect these distinct diversity management </w:t>
      </w:r>
      <w:r w:rsidR="005F4331">
        <w:rPr>
          <w:lang w:val="en-US"/>
        </w:rPr>
        <w:t xml:space="preserve">paradigms </w:t>
      </w:r>
      <w:r>
        <w:rPr>
          <w:lang w:val="en-US"/>
        </w:rPr>
        <w:t>in their operationalization</w:t>
      </w:r>
      <w:r w:rsidR="008533F0">
        <w:rPr>
          <w:lang w:val="en-US"/>
        </w:rPr>
        <w:t xml:space="preserve">. Dwertmann et al. (2016) highlighted that DC </w:t>
      </w:r>
      <w:r w:rsidR="00215DD8">
        <w:rPr>
          <w:lang w:val="en-US"/>
        </w:rPr>
        <w:t xml:space="preserve">operationalization </w:t>
      </w:r>
      <w:r w:rsidR="008533F0" w:rsidRPr="008533F0">
        <w:rPr>
          <w:lang w:val="en-US"/>
        </w:rPr>
        <w:t xml:space="preserve">is </w:t>
      </w:r>
      <w:r w:rsidR="00215DD8">
        <w:rPr>
          <w:lang w:val="en-US"/>
        </w:rPr>
        <w:t>often</w:t>
      </w:r>
      <w:r w:rsidR="008533F0" w:rsidRPr="008533F0">
        <w:rPr>
          <w:lang w:val="en-US"/>
        </w:rPr>
        <w:t xml:space="preserve"> treated as unidimensional</w:t>
      </w:r>
      <w:r w:rsidR="00215DD8">
        <w:rPr>
          <w:lang w:val="en-US"/>
        </w:rPr>
        <w:t xml:space="preserve"> without reflecting the two paradigms</w:t>
      </w:r>
      <w:r w:rsidR="00BA3D25">
        <w:rPr>
          <w:lang w:val="en-US"/>
        </w:rPr>
        <w:t xml:space="preserve"> under consideration</w:t>
      </w:r>
      <w:r w:rsidR="00DA3916">
        <w:rPr>
          <w:lang w:val="en-US"/>
        </w:rPr>
        <w:t>.</w:t>
      </w:r>
      <w:r w:rsidR="00F321DC">
        <w:rPr>
          <w:lang w:val="en-US"/>
        </w:rPr>
        <w:t xml:space="preserve"> </w:t>
      </w:r>
    </w:p>
    <w:p w14:paraId="57773874" w14:textId="01D3366C" w:rsidR="006A0457" w:rsidRDefault="005F4331" w:rsidP="006A0457">
      <w:pPr>
        <w:pStyle w:val="Titre2"/>
      </w:pPr>
      <w:r>
        <w:t xml:space="preserve">A </w:t>
      </w:r>
      <w:r w:rsidR="006A0457">
        <w:t>D</w:t>
      </w:r>
      <w:r w:rsidR="00EB40CB">
        <w:t xml:space="preserve">iversity </w:t>
      </w:r>
      <w:r w:rsidR="006A0457">
        <w:t>C</w:t>
      </w:r>
      <w:r w:rsidR="00EB40CB">
        <w:t>limate</w:t>
      </w:r>
      <w:r w:rsidR="006A0457">
        <w:t xml:space="preserve"> </w:t>
      </w:r>
      <w:r w:rsidR="00823E82">
        <w:t xml:space="preserve">paradigm shift </w:t>
      </w:r>
    </w:p>
    <w:p w14:paraId="5A2A5411" w14:textId="2DA1D44F" w:rsidR="006930EA" w:rsidRDefault="006930EA" w:rsidP="00630FEE">
      <w:pPr>
        <w:spacing w:line="480" w:lineRule="auto"/>
        <w:jc w:val="both"/>
        <w:rPr>
          <w:lang w:val="en-US"/>
        </w:rPr>
      </w:pPr>
      <w:r>
        <w:rPr>
          <w:lang w:val="en-US"/>
        </w:rPr>
        <w:t>Considering the strong call of scholars for clarifying the DC construct, Cachat-Rosset et al. (2017) proposed a new conceptual model for DC</w:t>
      </w:r>
      <w:r w:rsidRPr="006D4D61">
        <w:rPr>
          <w:lang w:val="en-US"/>
        </w:rPr>
        <w:t>.</w:t>
      </w:r>
      <w:r>
        <w:rPr>
          <w:lang w:val="en-US"/>
        </w:rPr>
        <w:t xml:space="preserve"> Following the </w:t>
      </w:r>
      <w:r w:rsidRPr="007E26C1">
        <w:rPr>
          <w:lang w:val="en-US"/>
        </w:rPr>
        <w:t>‘construct alignment’ principle</w:t>
      </w:r>
      <w:r w:rsidR="008B6170">
        <w:rPr>
          <w:lang w:val="en-US"/>
        </w:rPr>
        <w:t>s</w:t>
      </w:r>
      <w:r>
        <w:rPr>
          <w:lang w:val="en-US"/>
        </w:rPr>
        <w:t xml:space="preserve"> (</w:t>
      </w:r>
      <w:r w:rsidRPr="007E26C1">
        <w:rPr>
          <w:lang w:val="en-US"/>
        </w:rPr>
        <w:t>Van Campenhoudt and Quivy’s</w:t>
      </w:r>
      <w:r>
        <w:rPr>
          <w:lang w:val="en-US"/>
        </w:rPr>
        <w:t>,</w:t>
      </w:r>
      <w:r w:rsidRPr="007E26C1">
        <w:rPr>
          <w:lang w:val="en-US"/>
        </w:rPr>
        <w:t xml:space="preserve"> 2011)</w:t>
      </w:r>
      <w:r>
        <w:rPr>
          <w:lang w:val="en-US"/>
        </w:rPr>
        <w:t xml:space="preserve">, they deconstructed the previous </w:t>
      </w:r>
      <w:r w:rsidR="008B6170">
        <w:rPr>
          <w:lang w:val="en-US"/>
        </w:rPr>
        <w:t xml:space="preserve">DC </w:t>
      </w:r>
      <w:r>
        <w:rPr>
          <w:lang w:val="en-US"/>
        </w:rPr>
        <w:t>conceptualizations, definitions, and operationalizations through a systematic analysis of 62 academic articles referring to DC. Their analysis confirmed the multi-dimensionality of DC</w:t>
      </w:r>
      <w:r w:rsidR="009C7429">
        <w:rPr>
          <w:lang w:val="en-US"/>
        </w:rPr>
        <w:t xml:space="preserve"> and </w:t>
      </w:r>
      <w:r>
        <w:rPr>
          <w:lang w:val="en-US"/>
        </w:rPr>
        <w:t xml:space="preserve">allowed them to </w:t>
      </w:r>
      <w:r w:rsidR="009A0C83">
        <w:rPr>
          <w:lang w:val="en-US"/>
        </w:rPr>
        <w:t>identify recurrent</w:t>
      </w:r>
      <w:r>
        <w:rPr>
          <w:lang w:val="en-US"/>
        </w:rPr>
        <w:t xml:space="preserve"> dimensions addressed when exploring DC. </w:t>
      </w:r>
    </w:p>
    <w:p w14:paraId="69D4A203" w14:textId="6AD3B795" w:rsidR="006A0457" w:rsidRDefault="006930EA" w:rsidP="001277E9">
      <w:pPr>
        <w:spacing w:line="480" w:lineRule="auto"/>
        <w:jc w:val="both"/>
        <w:rPr>
          <w:lang w:val="en-US"/>
        </w:rPr>
      </w:pPr>
      <w:r w:rsidRPr="006930EA">
        <w:rPr>
          <w:lang w:val="en-US"/>
        </w:rPr>
        <w:t xml:space="preserve">They </w:t>
      </w:r>
      <w:r w:rsidR="008B6170">
        <w:rPr>
          <w:lang w:val="en-US"/>
        </w:rPr>
        <w:t>derived</w:t>
      </w:r>
      <w:r w:rsidR="008B6170" w:rsidRPr="006930EA">
        <w:rPr>
          <w:lang w:val="en-US"/>
        </w:rPr>
        <w:t xml:space="preserve"> </w:t>
      </w:r>
      <w:r w:rsidRPr="006930EA">
        <w:rPr>
          <w:lang w:val="en-US"/>
        </w:rPr>
        <w:t>that DC is the combination of th</w:t>
      </w:r>
      <w:r>
        <w:rPr>
          <w:lang w:val="en-US"/>
        </w:rPr>
        <w:t>r</w:t>
      </w:r>
      <w:r w:rsidRPr="006930EA">
        <w:rPr>
          <w:lang w:val="en-US"/>
        </w:rPr>
        <w:t>e</w:t>
      </w:r>
      <w:r>
        <w:rPr>
          <w:lang w:val="en-US"/>
        </w:rPr>
        <w:t>e</w:t>
      </w:r>
      <w:r w:rsidRPr="006930EA">
        <w:rPr>
          <w:lang w:val="en-US"/>
        </w:rPr>
        <w:t xml:space="preserve"> dimensions: </w:t>
      </w:r>
      <w:r w:rsidRPr="006930EA">
        <w:rPr>
          <w:i/>
          <w:lang w:val="en-US"/>
        </w:rPr>
        <w:t>intentionality</w:t>
      </w:r>
      <w:r w:rsidRPr="006930EA">
        <w:rPr>
          <w:lang w:val="en-US"/>
        </w:rPr>
        <w:t xml:space="preserve">, </w:t>
      </w:r>
      <w:r>
        <w:rPr>
          <w:i/>
          <w:lang w:val="en-US"/>
        </w:rPr>
        <w:t>programming</w:t>
      </w:r>
      <w:r w:rsidRPr="006930EA">
        <w:rPr>
          <w:lang w:val="en-US"/>
        </w:rPr>
        <w:t xml:space="preserve"> and </w:t>
      </w:r>
      <w:r w:rsidRPr="006930EA">
        <w:rPr>
          <w:i/>
          <w:lang w:val="en-US"/>
        </w:rPr>
        <w:t xml:space="preserve">praxis </w:t>
      </w:r>
      <w:r w:rsidRPr="006930EA">
        <w:rPr>
          <w:lang w:val="en-US"/>
        </w:rPr>
        <w:t>(see Table I</w:t>
      </w:r>
      <w:r w:rsidR="00B33095">
        <w:rPr>
          <w:lang w:val="en-US"/>
        </w:rPr>
        <w:t>I</w:t>
      </w:r>
      <w:r w:rsidRPr="006930EA">
        <w:rPr>
          <w:lang w:val="en-US"/>
        </w:rPr>
        <w:t xml:space="preserve">). Intentionality refers to </w:t>
      </w:r>
      <w:r w:rsidR="008B6170">
        <w:rPr>
          <w:lang w:val="en-US"/>
        </w:rPr>
        <w:t xml:space="preserve">employees’ </w:t>
      </w:r>
      <w:r w:rsidRPr="006930EA">
        <w:rPr>
          <w:lang w:val="en-US"/>
        </w:rPr>
        <w:t>perceptions that the organization values diversity; the programm</w:t>
      </w:r>
      <w:r>
        <w:rPr>
          <w:lang w:val="en-US"/>
        </w:rPr>
        <w:t>ing</w:t>
      </w:r>
      <w:r w:rsidRPr="006930EA">
        <w:rPr>
          <w:lang w:val="en-US"/>
        </w:rPr>
        <w:t xml:space="preserve"> dimension refers to the perception of formal diversity programs or policies and action plans set up within the organization to develop and support workforce diversity; the pr</w:t>
      </w:r>
      <w:r>
        <w:rPr>
          <w:lang w:val="en-US"/>
        </w:rPr>
        <w:t>axis</w:t>
      </w:r>
      <w:r w:rsidRPr="006930EA">
        <w:rPr>
          <w:lang w:val="en-US"/>
        </w:rPr>
        <w:t xml:space="preserve"> dimension reflects perceptions about management’s and colleagues’ attitudes and behaviors towards diverse people. </w:t>
      </w:r>
      <w:r w:rsidR="006A0457" w:rsidRPr="006930EA">
        <w:rPr>
          <w:lang w:val="en-US"/>
        </w:rPr>
        <w:t xml:space="preserve">DC is </w:t>
      </w:r>
      <w:r>
        <w:rPr>
          <w:lang w:val="en-US"/>
        </w:rPr>
        <w:t xml:space="preserve">then </w:t>
      </w:r>
      <w:r w:rsidR="006A0457" w:rsidRPr="006930EA">
        <w:rPr>
          <w:lang w:val="en-US"/>
        </w:rPr>
        <w:t>defined as “</w:t>
      </w:r>
      <w:r w:rsidR="006A0457" w:rsidRPr="006930EA">
        <w:rPr>
          <w:i/>
          <w:lang w:val="en-US"/>
        </w:rPr>
        <w:t>the shared perception by employees of intent, programs, attitudes and behaviors in favor of relevant forms of diversity in the social context of the organization</w:t>
      </w:r>
      <w:r w:rsidR="006A0457" w:rsidRPr="006930EA">
        <w:rPr>
          <w:lang w:val="en-US"/>
        </w:rPr>
        <w:t>” (Cachat-Rosset et al., 2017). Most previous DC definitions include one or several of these components but almost all of them fail to cover all three dimensions in a combined definition and associated measure.</w:t>
      </w:r>
      <w:r w:rsidR="001277E9">
        <w:rPr>
          <w:lang w:val="en-US"/>
        </w:rPr>
        <w:t xml:space="preserve"> </w:t>
      </w:r>
      <w:r w:rsidR="009C7429">
        <w:rPr>
          <w:lang w:val="en-US"/>
        </w:rPr>
        <w:t>So, t</w:t>
      </w:r>
      <w:r w:rsidR="00BB6424" w:rsidRPr="006930EA">
        <w:rPr>
          <w:lang w:val="en-US"/>
        </w:rPr>
        <w:t xml:space="preserve">heir </w:t>
      </w:r>
      <w:r w:rsidR="00BB6424" w:rsidRPr="006930EA">
        <w:rPr>
          <w:lang w:val="en-US"/>
        </w:rPr>
        <w:lastRenderedPageBreak/>
        <w:t xml:space="preserve">contribution proposes an alternative and </w:t>
      </w:r>
      <w:r w:rsidR="008B6170">
        <w:rPr>
          <w:lang w:val="en-US"/>
        </w:rPr>
        <w:t>disruptive</w:t>
      </w:r>
      <w:r w:rsidR="008B6170" w:rsidRPr="006930EA">
        <w:rPr>
          <w:lang w:val="en-US"/>
        </w:rPr>
        <w:t xml:space="preserve"> </w:t>
      </w:r>
      <w:r w:rsidR="00BB6424" w:rsidRPr="006930EA">
        <w:rPr>
          <w:lang w:val="en-US"/>
        </w:rPr>
        <w:t>framework for conceptualizing DC</w:t>
      </w:r>
      <w:r w:rsidR="008B6170">
        <w:rPr>
          <w:lang w:val="en-US"/>
        </w:rPr>
        <w:t xml:space="preserve"> at higher level</w:t>
      </w:r>
      <w:r w:rsidR="00BB6424" w:rsidRPr="006930EA">
        <w:rPr>
          <w:lang w:val="en-US"/>
        </w:rPr>
        <w:t>.</w:t>
      </w:r>
      <w:r w:rsidR="00BB6424">
        <w:rPr>
          <w:lang w:val="en-US"/>
        </w:rPr>
        <w:t xml:space="preserve"> </w:t>
      </w:r>
    </w:p>
    <w:p w14:paraId="1D582A3A" w14:textId="77777777" w:rsidR="006A0457" w:rsidRPr="00A643FC" w:rsidRDefault="006A0457" w:rsidP="006A0457">
      <w:pPr>
        <w:spacing w:line="480" w:lineRule="auto"/>
        <w:jc w:val="center"/>
        <w:rPr>
          <w:lang w:val="en-US"/>
        </w:rPr>
      </w:pPr>
      <w:r w:rsidRPr="00A643FC">
        <w:rPr>
          <w:lang w:val="en-US"/>
        </w:rPr>
        <w:t>-------------------------------------------</w:t>
      </w:r>
    </w:p>
    <w:p w14:paraId="5A58C471" w14:textId="3D8EC0B3" w:rsidR="006A0457" w:rsidRPr="00A643FC" w:rsidRDefault="006A0457" w:rsidP="006A0457">
      <w:pPr>
        <w:spacing w:line="480" w:lineRule="auto"/>
        <w:jc w:val="center"/>
        <w:rPr>
          <w:lang w:val="en-US"/>
        </w:rPr>
      </w:pPr>
      <w:r w:rsidRPr="00A643FC">
        <w:rPr>
          <w:lang w:val="en-US"/>
        </w:rPr>
        <w:t>INSERT TABLE I</w:t>
      </w:r>
      <w:r w:rsidR="00CB4BB9">
        <w:rPr>
          <w:lang w:val="en-US"/>
        </w:rPr>
        <w:t>I</w:t>
      </w:r>
      <w:r w:rsidRPr="00A643FC">
        <w:rPr>
          <w:lang w:val="en-US"/>
        </w:rPr>
        <w:t xml:space="preserve"> ABOUT HERE</w:t>
      </w:r>
    </w:p>
    <w:p w14:paraId="1A7506EF" w14:textId="21556A77" w:rsidR="006A0457" w:rsidRDefault="006A0457" w:rsidP="006A0457">
      <w:pPr>
        <w:spacing w:line="480" w:lineRule="auto"/>
        <w:jc w:val="center"/>
        <w:rPr>
          <w:lang w:val="en-US"/>
        </w:rPr>
      </w:pPr>
      <w:r w:rsidRPr="00A643FC">
        <w:rPr>
          <w:lang w:val="en-US"/>
        </w:rPr>
        <w:t>-------------------------------------------</w:t>
      </w:r>
    </w:p>
    <w:p w14:paraId="301F2984" w14:textId="1849BB39" w:rsidR="00636276" w:rsidRDefault="003B6EC3" w:rsidP="003B6EC3">
      <w:pPr>
        <w:spacing w:line="480" w:lineRule="auto"/>
        <w:jc w:val="both"/>
        <w:rPr>
          <w:lang w:val="en-US"/>
        </w:rPr>
      </w:pPr>
      <w:r>
        <w:rPr>
          <w:lang w:val="en-US"/>
        </w:rPr>
        <w:t>By doing this, they proposed a shift of paradigm</w:t>
      </w:r>
      <w:r w:rsidR="00D61203">
        <w:rPr>
          <w:lang w:val="en-US"/>
        </w:rPr>
        <w:t xml:space="preserve"> for DC study</w:t>
      </w:r>
      <w:r>
        <w:rPr>
          <w:lang w:val="en-US"/>
        </w:rPr>
        <w:t xml:space="preserve">, getting </w:t>
      </w:r>
      <w:r w:rsidR="00D61203">
        <w:rPr>
          <w:lang w:val="en-US"/>
        </w:rPr>
        <w:t>‘</w:t>
      </w:r>
      <w:r>
        <w:rPr>
          <w:lang w:val="en-US"/>
        </w:rPr>
        <w:t>free</w:t>
      </w:r>
      <w:r w:rsidR="00D61203">
        <w:rPr>
          <w:lang w:val="en-US"/>
        </w:rPr>
        <w:t>’</w:t>
      </w:r>
      <w:r>
        <w:rPr>
          <w:lang w:val="en-US"/>
        </w:rPr>
        <w:t xml:space="preserve"> from the diversity management paradigms. This new conceptualization propose</w:t>
      </w:r>
      <w:r w:rsidR="00846F5F">
        <w:rPr>
          <w:lang w:val="en-US"/>
        </w:rPr>
        <w:t>s</w:t>
      </w:r>
      <w:r>
        <w:rPr>
          <w:lang w:val="en-US"/>
        </w:rPr>
        <w:t xml:space="preserve"> to anchor DC research in a diversity </w:t>
      </w:r>
      <w:r w:rsidR="00D61203">
        <w:rPr>
          <w:lang w:val="en-US"/>
        </w:rPr>
        <w:t xml:space="preserve">management </w:t>
      </w:r>
      <w:r>
        <w:rPr>
          <w:lang w:val="en-US"/>
        </w:rPr>
        <w:t>system structure approach (Arthur and Boyles, 2007), where components of the diversity system may be perceived as meaning by employees to shape the organization’s DC.</w:t>
      </w:r>
      <w:r w:rsidR="00100D33">
        <w:rPr>
          <w:lang w:val="en-US"/>
        </w:rPr>
        <w:t xml:space="preserve"> </w:t>
      </w:r>
      <w:r w:rsidR="00636276">
        <w:rPr>
          <w:lang w:val="en-US"/>
        </w:rPr>
        <w:t>We rel</w:t>
      </w:r>
      <w:r w:rsidR="00884589">
        <w:rPr>
          <w:lang w:val="en-US"/>
        </w:rPr>
        <w:t>y</w:t>
      </w:r>
      <w:r w:rsidR="00636276">
        <w:rPr>
          <w:lang w:val="en-US"/>
        </w:rPr>
        <w:t xml:space="preserve"> on Arthur and Boyles (2007), who consider that HR climate perception is the shared perception and interpretation of the meaning of </w:t>
      </w:r>
      <w:r w:rsidR="00D61203">
        <w:rPr>
          <w:lang w:val="en-US"/>
        </w:rPr>
        <w:t xml:space="preserve">HR </w:t>
      </w:r>
      <w:r w:rsidR="00636276">
        <w:rPr>
          <w:lang w:val="en-US"/>
        </w:rPr>
        <w:t xml:space="preserve">principles, policies, programs and practices in people’s organization, </w:t>
      </w:r>
      <w:r w:rsidR="00884589">
        <w:rPr>
          <w:lang w:val="en-US"/>
        </w:rPr>
        <w:t xml:space="preserve">and we </w:t>
      </w:r>
      <w:r w:rsidR="00636276">
        <w:rPr>
          <w:lang w:val="en-US"/>
        </w:rPr>
        <w:t xml:space="preserve">extend it to the </w:t>
      </w:r>
      <w:r w:rsidR="006A3D4C">
        <w:rPr>
          <w:lang w:val="en-US"/>
        </w:rPr>
        <w:t xml:space="preserve">DC </w:t>
      </w:r>
      <w:r w:rsidR="00636276">
        <w:rPr>
          <w:lang w:val="en-US"/>
        </w:rPr>
        <w:t xml:space="preserve">field. Consistent with the organizational climate literature, Arthur and Boyles (2007) noted that the climate component focuses on employees’ perception of organizational expectations and rewards, and that they derived it from the combination of principles, policies, programs and practices. </w:t>
      </w:r>
      <w:r w:rsidR="007B15FB">
        <w:rPr>
          <w:lang w:val="en-US"/>
        </w:rPr>
        <w:t xml:space="preserve">This </w:t>
      </w:r>
      <w:r w:rsidR="00884589">
        <w:rPr>
          <w:lang w:val="en-US"/>
        </w:rPr>
        <w:t>inspired</w:t>
      </w:r>
      <w:r w:rsidR="007B15FB">
        <w:rPr>
          <w:lang w:val="en-US"/>
        </w:rPr>
        <w:t xml:space="preserve"> Kulik (2014)</w:t>
      </w:r>
      <w:r w:rsidR="000556CE">
        <w:rPr>
          <w:lang w:val="en-US"/>
        </w:rPr>
        <w:t xml:space="preserve"> </w:t>
      </w:r>
      <w:r w:rsidR="009C1DBE">
        <w:rPr>
          <w:lang w:val="en-US"/>
        </w:rPr>
        <w:t xml:space="preserve">who </w:t>
      </w:r>
      <w:r w:rsidR="00336523">
        <w:rPr>
          <w:lang w:val="en-US"/>
        </w:rPr>
        <w:t>appli</w:t>
      </w:r>
      <w:r w:rsidR="009C1DBE">
        <w:rPr>
          <w:lang w:val="en-US"/>
        </w:rPr>
        <w:t>ed</w:t>
      </w:r>
      <w:r w:rsidR="00336523">
        <w:rPr>
          <w:lang w:val="en-US"/>
        </w:rPr>
        <w:t xml:space="preserve"> a levels components typology derived from Arthur and Boyles (2007) to define their </w:t>
      </w:r>
      <w:r w:rsidR="00865ABA">
        <w:rPr>
          <w:lang w:val="en-US"/>
        </w:rPr>
        <w:t>‘</w:t>
      </w:r>
      <w:r w:rsidR="00336523" w:rsidRPr="00865ABA">
        <w:rPr>
          <w:i/>
          <w:lang w:val="en-US"/>
        </w:rPr>
        <w:t>diversity management system</w:t>
      </w:r>
      <w:r w:rsidR="00865ABA" w:rsidRPr="00865ABA">
        <w:rPr>
          <w:i/>
          <w:lang w:val="en-US"/>
        </w:rPr>
        <w:t xml:space="preserve"> components’</w:t>
      </w:r>
      <w:r w:rsidR="000556CE">
        <w:rPr>
          <w:lang w:val="en-US"/>
        </w:rPr>
        <w:t xml:space="preserve">. </w:t>
      </w:r>
      <w:r w:rsidR="00336523">
        <w:rPr>
          <w:lang w:val="en-US"/>
        </w:rPr>
        <w:t>In this five-component system for describing diversity management, D</w:t>
      </w:r>
      <w:r w:rsidR="00E7067E">
        <w:rPr>
          <w:lang w:val="en-US"/>
        </w:rPr>
        <w:t>C</w:t>
      </w:r>
      <w:r w:rsidR="00336523">
        <w:rPr>
          <w:lang w:val="en-US"/>
        </w:rPr>
        <w:t xml:space="preserve"> is the fifth level </w:t>
      </w:r>
      <w:r w:rsidR="00890F03">
        <w:rPr>
          <w:lang w:val="en-US"/>
        </w:rPr>
        <w:t>and</w:t>
      </w:r>
      <w:r w:rsidR="00336523">
        <w:rPr>
          <w:lang w:val="en-US"/>
        </w:rPr>
        <w:t xml:space="preserve"> is defined as the </w:t>
      </w:r>
      <w:r w:rsidR="00E7067E">
        <w:rPr>
          <w:lang w:val="en-US"/>
        </w:rPr>
        <w:t>‘</w:t>
      </w:r>
      <w:r w:rsidR="00E7067E" w:rsidRPr="00890F03">
        <w:rPr>
          <w:i/>
          <w:lang w:val="en-US"/>
        </w:rPr>
        <w:t>s</w:t>
      </w:r>
      <w:r w:rsidR="00336523" w:rsidRPr="00890F03">
        <w:rPr>
          <w:i/>
          <w:lang w:val="en-US"/>
        </w:rPr>
        <w:t xml:space="preserve">hared employee </w:t>
      </w:r>
      <w:r w:rsidR="00DC30E1" w:rsidRPr="00890F03">
        <w:rPr>
          <w:i/>
          <w:lang w:val="en-US"/>
        </w:rPr>
        <w:t xml:space="preserve">[unit-level] </w:t>
      </w:r>
      <w:r w:rsidR="00336523" w:rsidRPr="00890F03">
        <w:rPr>
          <w:i/>
          <w:lang w:val="en-US"/>
        </w:rPr>
        <w:t>perceptions and interpretations of the meaning of diversity paradigms, policies and programmes in the organi</w:t>
      </w:r>
      <w:r w:rsidR="00C76316" w:rsidRPr="00890F03">
        <w:rPr>
          <w:i/>
          <w:lang w:val="en-US"/>
        </w:rPr>
        <w:t>z</w:t>
      </w:r>
      <w:r w:rsidR="00336523" w:rsidRPr="00890F03">
        <w:rPr>
          <w:i/>
          <w:lang w:val="en-US"/>
        </w:rPr>
        <w:t>ation</w:t>
      </w:r>
      <w:r w:rsidR="00E7067E">
        <w:rPr>
          <w:lang w:val="en-US"/>
        </w:rPr>
        <w:t>’</w:t>
      </w:r>
      <w:r w:rsidR="00327FD9">
        <w:rPr>
          <w:lang w:val="en-US"/>
        </w:rPr>
        <w:t xml:space="preserve"> (Kulik, 2014, p.132)</w:t>
      </w:r>
      <w:r w:rsidR="00E7067E">
        <w:rPr>
          <w:lang w:val="en-US"/>
        </w:rPr>
        <w:t xml:space="preserve">. </w:t>
      </w:r>
      <w:r w:rsidR="00636276">
        <w:rPr>
          <w:lang w:val="en-US"/>
        </w:rPr>
        <w:t>I</w:t>
      </w:r>
      <w:r w:rsidR="00636276" w:rsidRPr="007251F6">
        <w:rPr>
          <w:lang w:val="en-US"/>
        </w:rPr>
        <w:t>n the same vein</w:t>
      </w:r>
      <w:r w:rsidR="00636276">
        <w:rPr>
          <w:lang w:val="en-US"/>
        </w:rPr>
        <w:t xml:space="preserve">, </w:t>
      </w:r>
      <w:r w:rsidR="00636276" w:rsidRPr="007251F6">
        <w:rPr>
          <w:lang w:val="en-US"/>
        </w:rPr>
        <w:t>Hobman et al. (2004)</w:t>
      </w:r>
      <w:r w:rsidR="00636276">
        <w:rPr>
          <w:lang w:val="en-US"/>
        </w:rPr>
        <w:t xml:space="preserve"> </w:t>
      </w:r>
      <w:r w:rsidR="00636276" w:rsidRPr="007251F6">
        <w:rPr>
          <w:lang w:val="en-US"/>
        </w:rPr>
        <w:t>emphasize</w:t>
      </w:r>
      <w:r w:rsidR="00636276">
        <w:rPr>
          <w:lang w:val="en-US"/>
        </w:rPr>
        <w:t>d</w:t>
      </w:r>
      <w:r w:rsidR="00636276" w:rsidRPr="007251F6">
        <w:rPr>
          <w:lang w:val="en-US"/>
        </w:rPr>
        <w:t xml:space="preserve"> that </w:t>
      </w:r>
      <w:r w:rsidR="00636276" w:rsidRPr="007251F6">
        <w:rPr>
          <w:lang w:val="en-GB"/>
        </w:rPr>
        <w:t>D</w:t>
      </w:r>
      <w:r w:rsidR="00636276">
        <w:rPr>
          <w:lang w:val="en-GB"/>
        </w:rPr>
        <w:t>C</w:t>
      </w:r>
      <w:r w:rsidR="00636276" w:rsidRPr="007251F6">
        <w:rPr>
          <w:lang w:val="en-GB"/>
        </w:rPr>
        <w:t xml:space="preserve"> </w:t>
      </w:r>
      <w:r w:rsidR="00636276">
        <w:rPr>
          <w:lang w:val="en-GB"/>
        </w:rPr>
        <w:t>i</w:t>
      </w:r>
      <w:r w:rsidR="00636276" w:rsidRPr="007251F6">
        <w:rPr>
          <w:lang w:val="en-GB"/>
        </w:rPr>
        <w:t xml:space="preserve">s reflected through </w:t>
      </w:r>
      <w:r w:rsidR="00636276">
        <w:rPr>
          <w:lang w:val="en-GB"/>
        </w:rPr>
        <w:t>HR</w:t>
      </w:r>
      <w:r w:rsidR="00636276" w:rsidRPr="007251F6">
        <w:rPr>
          <w:lang w:val="en-GB"/>
        </w:rPr>
        <w:t xml:space="preserve"> policies and procedures and general attitude toward the value of a diverse workforce for organizational effectiveness</w:t>
      </w:r>
      <w:r w:rsidR="00636276">
        <w:rPr>
          <w:lang w:val="en-GB"/>
        </w:rPr>
        <w:t xml:space="preserve">. </w:t>
      </w:r>
      <w:r w:rsidR="00890F03">
        <w:rPr>
          <w:lang w:val="en-GB"/>
        </w:rPr>
        <w:t xml:space="preserve">This echoes the call from McKay and Avery (2015) to </w:t>
      </w:r>
      <w:r w:rsidR="009A0C83">
        <w:rPr>
          <w:lang w:val="en-GB"/>
        </w:rPr>
        <w:t xml:space="preserve">further explore the </w:t>
      </w:r>
      <w:r w:rsidR="009A0C83" w:rsidRPr="009A0C83">
        <w:rPr>
          <w:lang w:val="en-GB"/>
        </w:rPr>
        <w:t xml:space="preserve">strategic </w:t>
      </w:r>
      <w:r w:rsidR="009A0C83">
        <w:rPr>
          <w:lang w:val="en-GB"/>
        </w:rPr>
        <w:t>HR</w:t>
      </w:r>
      <w:r w:rsidR="009A0C83" w:rsidRPr="009A0C83">
        <w:rPr>
          <w:lang w:val="en-GB"/>
        </w:rPr>
        <w:t xml:space="preserve"> management literature </w:t>
      </w:r>
      <w:r w:rsidR="009A0C83">
        <w:rPr>
          <w:lang w:val="en-GB"/>
        </w:rPr>
        <w:t xml:space="preserve">as a </w:t>
      </w:r>
      <w:r w:rsidR="002C53F9">
        <w:rPr>
          <w:lang w:val="en-GB"/>
        </w:rPr>
        <w:t xml:space="preserve">relevant </w:t>
      </w:r>
      <w:r w:rsidR="004D27A4">
        <w:rPr>
          <w:lang w:val="en-GB"/>
        </w:rPr>
        <w:t xml:space="preserve">theoretical </w:t>
      </w:r>
      <w:r w:rsidR="009A0C83">
        <w:rPr>
          <w:lang w:val="en-GB"/>
        </w:rPr>
        <w:t xml:space="preserve">perspective for </w:t>
      </w:r>
      <w:r w:rsidR="009A12FF">
        <w:rPr>
          <w:lang w:val="en-GB"/>
        </w:rPr>
        <w:t xml:space="preserve">diversity management and </w:t>
      </w:r>
      <w:r w:rsidR="009A0C83">
        <w:rPr>
          <w:lang w:val="en-GB"/>
        </w:rPr>
        <w:t>DC antecedents.</w:t>
      </w:r>
      <w:r w:rsidR="009A0C83" w:rsidRPr="009A0C83">
        <w:rPr>
          <w:lang w:val="en-GB"/>
        </w:rPr>
        <w:t xml:space="preserve"> </w:t>
      </w:r>
      <w:r w:rsidR="00636276">
        <w:rPr>
          <w:lang w:val="en-US"/>
        </w:rPr>
        <w:t xml:space="preserve">Relying on the concept of a ‘strong situation’ (Mischel, 1973), we argued that important messages that shape </w:t>
      </w:r>
      <w:r w:rsidR="00636276">
        <w:rPr>
          <w:lang w:val="en-US"/>
        </w:rPr>
        <w:lastRenderedPageBreak/>
        <w:t>employees’ perception of organizational expectations regarding diversity are sent by the organization</w:t>
      </w:r>
      <w:r w:rsidR="001E6065">
        <w:rPr>
          <w:lang w:val="en-US"/>
        </w:rPr>
        <w:t xml:space="preserve"> and through the voice of</w:t>
      </w:r>
      <w:r w:rsidR="00636276">
        <w:rPr>
          <w:lang w:val="en-US"/>
        </w:rPr>
        <w:t xml:space="preserve"> its top management, </w:t>
      </w:r>
      <w:r w:rsidR="00B41B16">
        <w:rPr>
          <w:lang w:val="en-US"/>
        </w:rPr>
        <w:t xml:space="preserve">by </w:t>
      </w:r>
      <w:r w:rsidR="00636276">
        <w:rPr>
          <w:lang w:val="en-US"/>
        </w:rPr>
        <w:t xml:space="preserve">proposed formal programs as well as </w:t>
      </w:r>
      <w:r w:rsidR="00B41B16">
        <w:rPr>
          <w:lang w:val="en-US"/>
        </w:rPr>
        <w:t xml:space="preserve">by </w:t>
      </w:r>
      <w:r w:rsidR="00636276">
        <w:rPr>
          <w:lang w:val="en-US"/>
        </w:rPr>
        <w:t xml:space="preserve">practices effectively implemented by </w:t>
      </w:r>
      <w:r w:rsidR="00B41B16">
        <w:rPr>
          <w:lang w:val="en-US"/>
        </w:rPr>
        <w:t>the proximal</w:t>
      </w:r>
      <w:r w:rsidR="00636276">
        <w:rPr>
          <w:lang w:val="en-US"/>
        </w:rPr>
        <w:t xml:space="preserve"> actors</w:t>
      </w:r>
      <w:r w:rsidR="00B41B16">
        <w:rPr>
          <w:lang w:val="en-US"/>
        </w:rPr>
        <w:t>.</w:t>
      </w:r>
      <w:r w:rsidR="00636276">
        <w:rPr>
          <w:lang w:val="en-US"/>
        </w:rPr>
        <w:t xml:space="preserve"> </w:t>
      </w:r>
      <w:r w:rsidR="00B41B16">
        <w:rPr>
          <w:lang w:val="en-US"/>
        </w:rPr>
        <w:t>A</w:t>
      </w:r>
      <w:r w:rsidR="00636276">
        <w:rPr>
          <w:lang w:val="en-US"/>
        </w:rPr>
        <w:t xml:space="preserve">nd </w:t>
      </w:r>
      <w:r w:rsidR="00B41B16">
        <w:rPr>
          <w:lang w:val="en-US"/>
        </w:rPr>
        <w:t xml:space="preserve">that </w:t>
      </w:r>
      <w:r w:rsidR="00DE658F">
        <w:rPr>
          <w:lang w:val="en-US"/>
        </w:rPr>
        <w:t xml:space="preserve">these messages </w:t>
      </w:r>
      <w:r w:rsidR="00636276">
        <w:rPr>
          <w:lang w:val="en-US"/>
        </w:rPr>
        <w:t xml:space="preserve">collectively may create a strong DC when consistently perceived and interpreted by employees (Bowen and Ostroff, 2004). Moreover, DC as any climate results in the subjective reality perceived by employees, whatever the objective reality. So, asking employees for the intention, programs and practices of the organization </w:t>
      </w:r>
      <w:r w:rsidR="00F76C92">
        <w:rPr>
          <w:lang w:val="en-US"/>
        </w:rPr>
        <w:t>do</w:t>
      </w:r>
      <w:r w:rsidR="00846F5F">
        <w:rPr>
          <w:lang w:val="en-US"/>
        </w:rPr>
        <w:t>es</w:t>
      </w:r>
      <w:r w:rsidR="00F76C92">
        <w:rPr>
          <w:lang w:val="en-US"/>
        </w:rPr>
        <w:t xml:space="preserve"> not seek to assess if such features </w:t>
      </w:r>
      <w:r w:rsidR="00003336">
        <w:rPr>
          <w:lang w:val="en-US"/>
        </w:rPr>
        <w:t xml:space="preserve">objectively </w:t>
      </w:r>
      <w:r w:rsidR="00F76C92">
        <w:rPr>
          <w:lang w:val="en-US"/>
        </w:rPr>
        <w:t xml:space="preserve">exist, but </w:t>
      </w:r>
      <w:r w:rsidR="00636276">
        <w:rPr>
          <w:lang w:val="en-US"/>
        </w:rPr>
        <w:t xml:space="preserve">to capture both </w:t>
      </w:r>
      <w:r w:rsidR="00003336">
        <w:rPr>
          <w:lang w:val="en-US"/>
        </w:rPr>
        <w:t>people</w:t>
      </w:r>
      <w:r w:rsidR="00636276">
        <w:rPr>
          <w:lang w:val="en-US"/>
        </w:rPr>
        <w:t xml:space="preserve"> ‘awareness’ of these features and their ‘interpretation of the why’, that is</w:t>
      </w:r>
      <w:r w:rsidR="00636276" w:rsidRPr="006D5E2E">
        <w:rPr>
          <w:lang w:val="en-US"/>
        </w:rPr>
        <w:t xml:space="preserve"> </w:t>
      </w:r>
      <w:r w:rsidR="00636276">
        <w:rPr>
          <w:lang w:val="en-US"/>
        </w:rPr>
        <w:t xml:space="preserve">the social </w:t>
      </w:r>
      <w:r w:rsidR="00636276" w:rsidRPr="00BA2FC9">
        <w:rPr>
          <w:lang w:val="en-US"/>
        </w:rPr>
        <w:t>attribution</w:t>
      </w:r>
      <w:r w:rsidR="00636276">
        <w:rPr>
          <w:lang w:val="en-US"/>
        </w:rPr>
        <w:t xml:space="preserve"> process (</w:t>
      </w:r>
      <w:r w:rsidR="00636276" w:rsidRPr="001E1E51">
        <w:rPr>
          <w:lang w:val="en-US"/>
        </w:rPr>
        <w:t xml:space="preserve">Fiske </w:t>
      </w:r>
      <w:r w:rsidR="00636276">
        <w:rPr>
          <w:lang w:val="en-US"/>
        </w:rPr>
        <w:t>and</w:t>
      </w:r>
      <w:r w:rsidR="00636276" w:rsidRPr="001E1E51">
        <w:rPr>
          <w:lang w:val="en-US"/>
        </w:rPr>
        <w:t xml:space="preserve"> Taylor, 1991</w:t>
      </w:r>
      <w:r w:rsidR="00636276">
        <w:rPr>
          <w:lang w:val="en-US"/>
        </w:rPr>
        <w:t>) that lead</w:t>
      </w:r>
      <w:r w:rsidR="00846F5F">
        <w:rPr>
          <w:lang w:val="en-US"/>
        </w:rPr>
        <w:t>s</w:t>
      </w:r>
      <w:r w:rsidR="00636276">
        <w:rPr>
          <w:lang w:val="en-US"/>
        </w:rPr>
        <w:t xml:space="preserve"> them to interpret the</w:t>
      </w:r>
      <w:r w:rsidR="00636276" w:rsidRPr="00BA2FC9">
        <w:rPr>
          <w:lang w:val="en-US"/>
        </w:rPr>
        <w:t xml:space="preserve"> </w:t>
      </w:r>
      <w:r w:rsidR="00636276">
        <w:rPr>
          <w:lang w:val="en-US"/>
        </w:rPr>
        <w:t>organization</w:t>
      </w:r>
      <w:r w:rsidR="00636276" w:rsidRPr="00BA2FC9">
        <w:rPr>
          <w:lang w:val="en-US"/>
        </w:rPr>
        <w:t>’s purpose</w:t>
      </w:r>
      <w:r w:rsidR="00636276">
        <w:rPr>
          <w:lang w:val="en-US"/>
        </w:rPr>
        <w:t xml:space="preserve"> (</w:t>
      </w:r>
      <w:r w:rsidR="00636276" w:rsidRPr="00C678F0">
        <w:rPr>
          <w:lang w:val="en-US"/>
        </w:rPr>
        <w:t>Nishii</w:t>
      </w:r>
      <w:r w:rsidR="00636276">
        <w:rPr>
          <w:lang w:val="en-US"/>
        </w:rPr>
        <w:t xml:space="preserve"> et al., 2008).</w:t>
      </w:r>
    </w:p>
    <w:p w14:paraId="70E73522" w14:textId="18E16C60" w:rsidR="00625393" w:rsidRDefault="00625393" w:rsidP="00625393">
      <w:pPr>
        <w:pStyle w:val="Titre2"/>
      </w:pPr>
      <w:r>
        <w:t xml:space="preserve">Distinctiveness of DC from </w:t>
      </w:r>
      <w:r w:rsidR="009D47D6">
        <w:t xml:space="preserve">a major </w:t>
      </w:r>
      <w:r>
        <w:t>related concept</w:t>
      </w:r>
      <w:r w:rsidR="00465E50">
        <w:t>: inclusion climate</w:t>
      </w:r>
    </w:p>
    <w:p w14:paraId="51F87559" w14:textId="7F3CA520" w:rsidR="00412658" w:rsidRDefault="00112D53" w:rsidP="006F42CF">
      <w:pPr>
        <w:spacing w:line="480" w:lineRule="auto"/>
        <w:jc w:val="both"/>
        <w:rPr>
          <w:lang w:val="en-US"/>
        </w:rPr>
      </w:pPr>
      <w:r>
        <w:rPr>
          <w:lang w:val="en-US"/>
        </w:rPr>
        <w:t>In another way</w:t>
      </w:r>
      <w:r w:rsidR="00ED7EF7">
        <w:rPr>
          <w:lang w:val="en-US"/>
        </w:rPr>
        <w:t xml:space="preserve"> and to specify a related but distinct concept</w:t>
      </w:r>
      <w:r>
        <w:rPr>
          <w:lang w:val="en-US"/>
        </w:rPr>
        <w:t xml:space="preserve">, </w:t>
      </w:r>
      <w:r w:rsidR="00412658">
        <w:rPr>
          <w:lang w:val="en-US"/>
        </w:rPr>
        <w:t>Roberson (2006) distinguishes between diversity and inclusion</w:t>
      </w:r>
      <w:r>
        <w:rPr>
          <w:lang w:val="en-US"/>
        </w:rPr>
        <w:t xml:space="preserve"> concepts</w:t>
      </w:r>
      <w:r w:rsidR="00412658">
        <w:rPr>
          <w:lang w:val="en-US"/>
        </w:rPr>
        <w:t xml:space="preserve">: </w:t>
      </w:r>
      <w:r w:rsidR="00412658" w:rsidRPr="003D2B60">
        <w:rPr>
          <w:lang w:val="en-US"/>
        </w:rPr>
        <w:t xml:space="preserve">diversity focuses on </w:t>
      </w:r>
      <w:r w:rsidR="00412658">
        <w:rPr>
          <w:lang w:val="en-US"/>
        </w:rPr>
        <w:t xml:space="preserve">achieving a diverse </w:t>
      </w:r>
      <w:r w:rsidR="00412658" w:rsidRPr="003D2B60">
        <w:rPr>
          <w:lang w:val="en-US"/>
        </w:rPr>
        <w:t>organizational demography,</w:t>
      </w:r>
      <w:r w:rsidR="00412658">
        <w:rPr>
          <w:lang w:val="en-US"/>
        </w:rPr>
        <w:t xml:space="preserve"> a notion close to the Affirmative action/Fairness &amp; discrimination perspective (Thomas, 1990; Thomas and Ely, 1996), </w:t>
      </w:r>
      <w:r w:rsidR="00412658" w:rsidRPr="00DD3DA1">
        <w:rPr>
          <w:lang w:val="en-US"/>
        </w:rPr>
        <w:t xml:space="preserve">while inclusion </w:t>
      </w:r>
      <w:r w:rsidR="00A2527F">
        <w:rPr>
          <w:lang w:val="en-US"/>
        </w:rPr>
        <w:t>deals with</w:t>
      </w:r>
      <w:r w:rsidR="00412658" w:rsidRPr="00DD3DA1">
        <w:rPr>
          <w:lang w:val="en-US"/>
        </w:rPr>
        <w:t xml:space="preserve"> the removal of obstacles to the full contribution of</w:t>
      </w:r>
      <w:r w:rsidR="00412658">
        <w:rPr>
          <w:lang w:val="en-US"/>
        </w:rPr>
        <w:t xml:space="preserve"> all employees in organizations, closer to the “Affirming Diversity” by Thomas (1990) and the synergy perspective identified by Dwertmann et al. (2016). </w:t>
      </w:r>
      <w:r w:rsidR="00ED7EF7">
        <w:rPr>
          <w:lang w:val="en-US"/>
        </w:rPr>
        <w:t xml:space="preserve">More recently, Shore et al. (2011) </w:t>
      </w:r>
      <w:r w:rsidR="00B77C74">
        <w:rPr>
          <w:lang w:val="en-US"/>
        </w:rPr>
        <w:t>develop</w:t>
      </w:r>
      <w:r w:rsidR="00ED7EF7">
        <w:rPr>
          <w:lang w:val="en-US"/>
        </w:rPr>
        <w:t xml:space="preserve">ed a conceptual model of inclusion consisting of two dimensions: perception of </w:t>
      </w:r>
      <w:r w:rsidR="00ED7EF7" w:rsidRPr="00C9193E">
        <w:rPr>
          <w:i/>
          <w:lang w:val="en-US"/>
        </w:rPr>
        <w:t>belongingness</w:t>
      </w:r>
      <w:r w:rsidR="00ED7EF7">
        <w:rPr>
          <w:lang w:val="en-US"/>
        </w:rPr>
        <w:t xml:space="preserve"> and fulfillment of </w:t>
      </w:r>
      <w:r w:rsidR="00DE4E1B">
        <w:rPr>
          <w:lang w:val="en-US"/>
        </w:rPr>
        <w:t xml:space="preserve">the </w:t>
      </w:r>
      <w:r w:rsidR="00ED7EF7">
        <w:rPr>
          <w:lang w:val="en-US"/>
        </w:rPr>
        <w:t>need f</w:t>
      </w:r>
      <w:r w:rsidR="00DE4E1B">
        <w:rPr>
          <w:lang w:val="en-US"/>
        </w:rPr>
        <w:t>or</w:t>
      </w:r>
      <w:r w:rsidR="00ED7EF7">
        <w:rPr>
          <w:lang w:val="en-US"/>
        </w:rPr>
        <w:t xml:space="preserve"> </w:t>
      </w:r>
      <w:r w:rsidR="00ED7EF7" w:rsidRPr="00C9193E">
        <w:rPr>
          <w:i/>
          <w:lang w:val="en-US"/>
        </w:rPr>
        <w:t>uniqueness</w:t>
      </w:r>
      <w:r w:rsidR="00ED7EF7">
        <w:rPr>
          <w:lang w:val="en-US"/>
        </w:rPr>
        <w:t>, clearly distin</w:t>
      </w:r>
      <w:r w:rsidR="00927E9D">
        <w:rPr>
          <w:lang w:val="en-US"/>
        </w:rPr>
        <w:t>guishing</w:t>
      </w:r>
      <w:r w:rsidR="00ED7EF7">
        <w:rPr>
          <w:lang w:val="en-US"/>
        </w:rPr>
        <w:t xml:space="preserve"> the concept of inclusion climate from those of </w:t>
      </w:r>
      <w:r w:rsidR="00BE32CF">
        <w:rPr>
          <w:lang w:val="en-US"/>
        </w:rPr>
        <w:t>DC</w:t>
      </w:r>
      <w:r w:rsidR="00ED7EF7">
        <w:rPr>
          <w:lang w:val="en-US"/>
        </w:rPr>
        <w:t>.</w:t>
      </w:r>
      <w:r w:rsidR="002F7C42">
        <w:rPr>
          <w:lang w:val="en-US"/>
        </w:rPr>
        <w:t xml:space="preserve"> </w:t>
      </w:r>
      <w:r w:rsidR="00332375">
        <w:rPr>
          <w:lang w:val="en-US"/>
        </w:rPr>
        <w:t xml:space="preserve">Relying on the optimal distinctiveness theory (Brewer, 1991), </w:t>
      </w:r>
      <w:r w:rsidR="00151AAE" w:rsidRPr="002E5110">
        <w:rPr>
          <w:lang w:val="en-US"/>
        </w:rPr>
        <w:t>Shore et al.</w:t>
      </w:r>
      <w:r w:rsidR="00151AAE">
        <w:rPr>
          <w:lang w:val="en-US"/>
        </w:rPr>
        <w:t xml:space="preserve"> </w:t>
      </w:r>
      <w:r w:rsidR="00151AAE" w:rsidRPr="002E5110">
        <w:rPr>
          <w:lang w:val="en-US"/>
        </w:rPr>
        <w:t>(2011</w:t>
      </w:r>
      <w:r w:rsidR="00151AAE">
        <w:rPr>
          <w:lang w:val="en-US"/>
        </w:rPr>
        <w:t>,</w:t>
      </w:r>
      <w:r w:rsidR="00151AAE" w:rsidRPr="00E0634F">
        <w:rPr>
          <w:lang w:val="en-US"/>
        </w:rPr>
        <w:t xml:space="preserve"> </w:t>
      </w:r>
      <w:r w:rsidR="00151AAE">
        <w:rPr>
          <w:lang w:val="en-US"/>
        </w:rPr>
        <w:t>p. 1265</w:t>
      </w:r>
      <w:r w:rsidR="00151AAE" w:rsidRPr="002E5110">
        <w:rPr>
          <w:lang w:val="en-US"/>
        </w:rPr>
        <w:t>) define</w:t>
      </w:r>
      <w:r w:rsidR="00332375">
        <w:rPr>
          <w:lang w:val="en-US"/>
        </w:rPr>
        <w:t>d</w:t>
      </w:r>
      <w:r w:rsidR="00151AAE" w:rsidRPr="002E5110">
        <w:rPr>
          <w:lang w:val="en-US"/>
        </w:rPr>
        <w:t xml:space="preserve"> inclusion </w:t>
      </w:r>
      <w:r w:rsidR="00332375">
        <w:rPr>
          <w:lang w:val="en-US"/>
        </w:rPr>
        <w:t xml:space="preserve">in the work group </w:t>
      </w:r>
      <w:r w:rsidR="00151AAE" w:rsidRPr="002E5110">
        <w:rPr>
          <w:lang w:val="en-US"/>
        </w:rPr>
        <w:t xml:space="preserve">as </w:t>
      </w:r>
      <w:r w:rsidR="00465E50">
        <w:rPr>
          <w:i/>
          <w:lang w:val="en-US"/>
        </w:rPr>
        <w:t>‘</w:t>
      </w:r>
      <w:r w:rsidR="00151AAE" w:rsidRPr="00465E50">
        <w:rPr>
          <w:i/>
          <w:lang w:val="en-US"/>
        </w:rPr>
        <w:t>the degree to which an employee perceives that he or she is an esteemed member of the work group through experiencing treatment that satisfies his or her needs for belongingness and uniqueness</w:t>
      </w:r>
      <w:r w:rsidR="00465E50">
        <w:rPr>
          <w:i/>
          <w:lang w:val="en-US"/>
        </w:rPr>
        <w:t>’</w:t>
      </w:r>
      <w:r w:rsidR="00151AAE" w:rsidRPr="00465E50">
        <w:rPr>
          <w:i/>
          <w:lang w:val="en-US"/>
        </w:rPr>
        <w:t xml:space="preserve"> </w:t>
      </w:r>
      <w:r w:rsidR="00151AAE" w:rsidRPr="002E5110">
        <w:rPr>
          <w:lang w:val="en-US"/>
        </w:rPr>
        <w:t>providing another perspective</w:t>
      </w:r>
      <w:r w:rsidR="00151AAE">
        <w:rPr>
          <w:lang w:val="en-US"/>
        </w:rPr>
        <w:t xml:space="preserve"> </w:t>
      </w:r>
      <w:r w:rsidR="00332375">
        <w:rPr>
          <w:lang w:val="en-US"/>
        </w:rPr>
        <w:t>for</w:t>
      </w:r>
      <w:r w:rsidR="00151AAE">
        <w:rPr>
          <w:lang w:val="en-US"/>
        </w:rPr>
        <w:t xml:space="preserve"> inclusion</w:t>
      </w:r>
      <w:r w:rsidR="00151AAE" w:rsidRPr="002E5110">
        <w:rPr>
          <w:lang w:val="en-US"/>
        </w:rPr>
        <w:t xml:space="preserve">. </w:t>
      </w:r>
      <w:r w:rsidR="002F7C42">
        <w:rPr>
          <w:lang w:val="en-US"/>
        </w:rPr>
        <w:t xml:space="preserve">Chung et al. </w:t>
      </w:r>
      <w:r w:rsidR="00B77C74">
        <w:rPr>
          <w:lang w:val="en-US"/>
        </w:rPr>
        <w:t xml:space="preserve">(2019) operationalized this conceptual model </w:t>
      </w:r>
      <w:r w:rsidR="00124108">
        <w:rPr>
          <w:lang w:val="en-US"/>
        </w:rPr>
        <w:t xml:space="preserve">by </w:t>
      </w:r>
      <w:r w:rsidR="00B77C74">
        <w:rPr>
          <w:lang w:val="en-US"/>
        </w:rPr>
        <w:t>developing a scale for inclusion assessment</w:t>
      </w:r>
      <w:r w:rsidR="004F5714" w:rsidRPr="004F5714">
        <w:rPr>
          <w:lang w:val="en-US"/>
        </w:rPr>
        <w:t xml:space="preserve"> </w:t>
      </w:r>
      <w:r w:rsidR="004F5714">
        <w:rPr>
          <w:lang w:val="en-US"/>
        </w:rPr>
        <w:t xml:space="preserve">at </w:t>
      </w:r>
      <w:r w:rsidR="004F5714">
        <w:rPr>
          <w:lang w:val="en-US"/>
        </w:rPr>
        <w:lastRenderedPageBreak/>
        <w:t>workgroup level</w:t>
      </w:r>
      <w:r w:rsidR="00DE4E1B">
        <w:rPr>
          <w:lang w:val="en-US"/>
        </w:rPr>
        <w:t xml:space="preserve">, </w:t>
      </w:r>
      <w:r w:rsidR="00CE1C87">
        <w:rPr>
          <w:lang w:val="en-US"/>
        </w:rPr>
        <w:t xml:space="preserve">they so </w:t>
      </w:r>
      <w:r w:rsidR="00DE4E1B">
        <w:rPr>
          <w:lang w:val="en-US"/>
        </w:rPr>
        <w:t>confirm</w:t>
      </w:r>
      <w:r w:rsidR="00CE1C87">
        <w:rPr>
          <w:lang w:val="en-US"/>
        </w:rPr>
        <w:t>ed</w:t>
      </w:r>
      <w:r w:rsidR="00DE4E1B">
        <w:rPr>
          <w:lang w:val="en-US"/>
        </w:rPr>
        <w:t xml:space="preserve"> the two-factor </w:t>
      </w:r>
      <w:r w:rsidR="00A164C4">
        <w:rPr>
          <w:lang w:val="en-US"/>
        </w:rPr>
        <w:t>structure</w:t>
      </w:r>
      <w:r w:rsidR="00DE4E1B">
        <w:rPr>
          <w:lang w:val="en-US"/>
        </w:rPr>
        <w:t xml:space="preserve"> of inclusion climate</w:t>
      </w:r>
      <w:r w:rsidR="00B77C74">
        <w:rPr>
          <w:lang w:val="en-US"/>
        </w:rPr>
        <w:t>.</w:t>
      </w:r>
      <w:r w:rsidR="006B799C">
        <w:rPr>
          <w:lang w:val="en-US"/>
        </w:rPr>
        <w:t xml:space="preserve"> </w:t>
      </w:r>
      <w:r w:rsidR="004F5714">
        <w:rPr>
          <w:lang w:val="en-US"/>
        </w:rPr>
        <w:t xml:space="preserve">Interestingly, </w:t>
      </w:r>
      <w:r w:rsidR="0014369F">
        <w:rPr>
          <w:lang w:val="en-US"/>
        </w:rPr>
        <w:t>they also demonstrated that DC is an antecedent of workgroup inclusion perception (Chung et al., 2019)</w:t>
      </w:r>
      <w:r w:rsidR="00464152">
        <w:rPr>
          <w:lang w:val="en-US"/>
        </w:rPr>
        <w:t xml:space="preserve">, confirming the distinctiveness </w:t>
      </w:r>
      <w:r w:rsidR="004F5714">
        <w:rPr>
          <w:lang w:val="en-US"/>
        </w:rPr>
        <w:t xml:space="preserve">but correlation </w:t>
      </w:r>
      <w:r w:rsidR="00464152">
        <w:rPr>
          <w:lang w:val="en-US"/>
        </w:rPr>
        <w:t>of the two constructs</w:t>
      </w:r>
      <w:r w:rsidR="0014369F">
        <w:rPr>
          <w:lang w:val="en-US"/>
        </w:rPr>
        <w:t xml:space="preserve">. </w:t>
      </w:r>
      <w:r w:rsidR="009066BD">
        <w:rPr>
          <w:lang w:val="en-US"/>
        </w:rPr>
        <w:t>On the o</w:t>
      </w:r>
      <w:r w:rsidR="000C2A82">
        <w:rPr>
          <w:lang w:val="en-US"/>
        </w:rPr>
        <w:t>ther hand</w:t>
      </w:r>
      <w:r w:rsidR="000C2A82" w:rsidRPr="00DD428F">
        <w:rPr>
          <w:lang w:val="en-US"/>
        </w:rPr>
        <w:t xml:space="preserve">, </w:t>
      </w:r>
      <w:r w:rsidR="002475F4" w:rsidRPr="00DD428F">
        <w:rPr>
          <w:lang w:val="en-US"/>
        </w:rPr>
        <w:t xml:space="preserve">Nishii (2013) argued </w:t>
      </w:r>
      <w:r w:rsidR="006F42CF" w:rsidRPr="00DD428F">
        <w:rPr>
          <w:lang w:val="en-US"/>
        </w:rPr>
        <w:t xml:space="preserve">that </w:t>
      </w:r>
      <w:r w:rsidR="002475F4" w:rsidRPr="00DD428F">
        <w:rPr>
          <w:lang w:val="en-US"/>
        </w:rPr>
        <w:t>the construct of climate for inclusion is broader than the DC</w:t>
      </w:r>
      <w:r w:rsidR="006F42CF" w:rsidRPr="00DD428F">
        <w:rPr>
          <w:lang w:val="en-US"/>
        </w:rPr>
        <w:t xml:space="preserve"> one.</w:t>
      </w:r>
      <w:r w:rsidR="008B6A7D" w:rsidRPr="00DD428F">
        <w:rPr>
          <w:lang w:val="en-US"/>
        </w:rPr>
        <w:t xml:space="preserve"> </w:t>
      </w:r>
      <w:r w:rsidR="006F42CF" w:rsidRPr="00DD428F">
        <w:rPr>
          <w:lang w:val="en-US"/>
        </w:rPr>
        <w:t>I</w:t>
      </w:r>
      <w:r w:rsidR="002475F4" w:rsidRPr="00DD428F">
        <w:rPr>
          <w:lang w:val="en-US"/>
        </w:rPr>
        <w:t>n addition to fair and</w:t>
      </w:r>
      <w:r w:rsidR="0027200C" w:rsidRPr="00DD428F">
        <w:rPr>
          <w:lang w:val="en-US"/>
        </w:rPr>
        <w:t xml:space="preserve"> pro-diversity policies or practices</w:t>
      </w:r>
      <w:r w:rsidR="002475F4" w:rsidRPr="00DD428F">
        <w:rPr>
          <w:lang w:val="en-US"/>
        </w:rPr>
        <w:t xml:space="preserve"> (similarly to DC)</w:t>
      </w:r>
      <w:r w:rsidR="0027200C" w:rsidRPr="00DD428F">
        <w:rPr>
          <w:lang w:val="en-US"/>
        </w:rPr>
        <w:t xml:space="preserve">, </w:t>
      </w:r>
      <w:r w:rsidR="002475F4" w:rsidRPr="00DD428F">
        <w:rPr>
          <w:lang w:val="en-US"/>
        </w:rPr>
        <w:t xml:space="preserve">climate for inclusion integrates two other dimensions: </w:t>
      </w:r>
      <w:r w:rsidR="0027200C" w:rsidRPr="00DD428F">
        <w:rPr>
          <w:lang w:val="en-US"/>
        </w:rPr>
        <w:t>‘</w:t>
      </w:r>
      <w:r w:rsidR="008B6A7D" w:rsidRPr="00EF4CDA">
        <w:rPr>
          <w:i/>
          <w:lang w:val="en-US"/>
        </w:rPr>
        <w:t>integration of differences</w:t>
      </w:r>
      <w:r w:rsidR="0027200C" w:rsidRPr="00DD428F">
        <w:rPr>
          <w:lang w:val="en-US"/>
        </w:rPr>
        <w:t>’</w:t>
      </w:r>
      <w:r w:rsidR="008B6A7D" w:rsidRPr="00DD428F">
        <w:rPr>
          <w:lang w:val="en-US"/>
        </w:rPr>
        <w:t xml:space="preserve"> </w:t>
      </w:r>
      <w:r w:rsidR="006F42CF" w:rsidRPr="00DD428F">
        <w:rPr>
          <w:lang w:val="en-US"/>
        </w:rPr>
        <w:t xml:space="preserve">which </w:t>
      </w:r>
      <w:r w:rsidR="008B6A7D" w:rsidRPr="00DD428F">
        <w:rPr>
          <w:lang w:val="en-US"/>
        </w:rPr>
        <w:t xml:space="preserve">captures the interpersonal integration </w:t>
      </w:r>
      <w:r w:rsidR="00BC54A6" w:rsidRPr="00DD428F">
        <w:rPr>
          <w:lang w:val="en-US"/>
        </w:rPr>
        <w:t>of</w:t>
      </w:r>
      <w:r w:rsidR="0027200C" w:rsidRPr="00DD428F">
        <w:rPr>
          <w:lang w:val="en-US"/>
        </w:rPr>
        <w:t xml:space="preserve"> </w:t>
      </w:r>
      <w:r w:rsidR="008B6A7D" w:rsidRPr="00DD428F">
        <w:rPr>
          <w:lang w:val="en-US"/>
        </w:rPr>
        <w:t>diverse employees</w:t>
      </w:r>
      <w:r w:rsidR="006F42CF" w:rsidRPr="00DD428F">
        <w:rPr>
          <w:lang w:val="en-US"/>
        </w:rPr>
        <w:t xml:space="preserve"> and ‘</w:t>
      </w:r>
      <w:r w:rsidR="006F42CF" w:rsidRPr="00EF4CDA">
        <w:rPr>
          <w:i/>
          <w:lang w:val="en-US"/>
        </w:rPr>
        <w:t>inclusion in decision making</w:t>
      </w:r>
      <w:r w:rsidR="006F42CF" w:rsidRPr="00DD428F">
        <w:rPr>
          <w:lang w:val="en-US"/>
        </w:rPr>
        <w:t>’ which refer</w:t>
      </w:r>
      <w:r w:rsidR="00074F90">
        <w:rPr>
          <w:lang w:val="en-US"/>
        </w:rPr>
        <w:t>s</w:t>
      </w:r>
      <w:r w:rsidR="006F42CF" w:rsidRPr="00DD428F">
        <w:rPr>
          <w:lang w:val="en-US"/>
        </w:rPr>
        <w:t xml:space="preserve"> to the extent to which </w:t>
      </w:r>
      <w:r w:rsidR="004778F0" w:rsidRPr="00DD428F">
        <w:rPr>
          <w:lang w:val="en-US"/>
        </w:rPr>
        <w:t xml:space="preserve">employees’ </w:t>
      </w:r>
      <w:r w:rsidR="006F42CF" w:rsidRPr="00DD428F">
        <w:rPr>
          <w:lang w:val="en-US"/>
        </w:rPr>
        <w:t>diverse perspectives</w:t>
      </w:r>
      <w:r w:rsidR="006F42CF" w:rsidRPr="00EF4CDA">
        <w:rPr>
          <w:lang w:val="en-US"/>
        </w:rPr>
        <w:t xml:space="preserve"> are </w:t>
      </w:r>
      <w:r w:rsidR="004778F0" w:rsidRPr="00EF4CDA">
        <w:rPr>
          <w:lang w:val="en-US"/>
        </w:rPr>
        <w:t>really</w:t>
      </w:r>
      <w:r w:rsidR="006F42CF" w:rsidRPr="00EF4CDA">
        <w:rPr>
          <w:lang w:val="en-US"/>
        </w:rPr>
        <w:t xml:space="preserve"> integrated (</w:t>
      </w:r>
      <w:r w:rsidR="006F42CF" w:rsidRPr="00DD428F">
        <w:rPr>
          <w:lang w:val="en-US"/>
        </w:rPr>
        <w:t>Nishii, 2013).</w:t>
      </w:r>
      <w:r w:rsidR="006F42CF">
        <w:rPr>
          <w:lang w:val="en-US"/>
        </w:rPr>
        <w:t xml:space="preserve"> </w:t>
      </w:r>
    </w:p>
    <w:p w14:paraId="1BE57191" w14:textId="0DB2557F" w:rsidR="00BA5366" w:rsidRDefault="009D47D6" w:rsidP="00EC25CF">
      <w:pPr>
        <w:pStyle w:val="Titre2"/>
      </w:pPr>
      <w:r>
        <w:t>Limit</w:t>
      </w:r>
      <w:r w:rsidR="00124108">
        <w:t>ations</w:t>
      </w:r>
      <w:r>
        <w:t xml:space="preserve"> and inconsistences of D</w:t>
      </w:r>
      <w:r w:rsidR="00FC2209">
        <w:t xml:space="preserve">iversity </w:t>
      </w:r>
      <w:r>
        <w:t>C</w:t>
      </w:r>
      <w:r w:rsidR="00FC2209">
        <w:t>limate</w:t>
      </w:r>
      <w:r>
        <w:t xml:space="preserve"> measures</w:t>
      </w:r>
    </w:p>
    <w:p w14:paraId="58731299" w14:textId="6AAE00C1" w:rsidR="00355389" w:rsidRPr="00ED0773" w:rsidRDefault="006E695C" w:rsidP="00EC25CF">
      <w:pPr>
        <w:spacing w:line="480" w:lineRule="auto"/>
        <w:jc w:val="both"/>
        <w:rPr>
          <w:lang w:val="en-US"/>
        </w:rPr>
      </w:pPr>
      <w:r>
        <w:rPr>
          <w:lang w:val="en-US"/>
        </w:rPr>
        <w:t>Scholars that have attempted to review DC research have raised serious concern</w:t>
      </w:r>
      <w:r w:rsidR="00DF7293">
        <w:rPr>
          <w:lang w:val="en-US"/>
        </w:rPr>
        <w:t>s</w:t>
      </w:r>
      <w:r>
        <w:rPr>
          <w:lang w:val="en-US"/>
        </w:rPr>
        <w:t xml:space="preserve"> regarding a number of important issues and pitfalls</w:t>
      </w:r>
      <w:r w:rsidR="00DE1611">
        <w:rPr>
          <w:lang w:val="en-US"/>
        </w:rPr>
        <w:t xml:space="preserve"> for </w:t>
      </w:r>
      <w:r w:rsidR="00B166D2">
        <w:rPr>
          <w:lang w:val="en-US"/>
        </w:rPr>
        <w:t xml:space="preserve">DC </w:t>
      </w:r>
      <w:r w:rsidR="00DE1611">
        <w:rPr>
          <w:lang w:val="en-US"/>
        </w:rPr>
        <w:t>measurement instruments</w:t>
      </w:r>
      <w:r w:rsidR="00D03B7F">
        <w:rPr>
          <w:lang w:val="en-US"/>
        </w:rPr>
        <w:t xml:space="preserve"> (Table II)</w:t>
      </w:r>
      <w:r>
        <w:rPr>
          <w:lang w:val="en-US"/>
        </w:rPr>
        <w:t xml:space="preserve">. </w:t>
      </w:r>
    </w:p>
    <w:p w14:paraId="2D3E89B7" w14:textId="7EFC92AC" w:rsidR="00355389" w:rsidRDefault="00880CA1" w:rsidP="00EC25CF">
      <w:pPr>
        <w:spacing w:line="480" w:lineRule="auto"/>
        <w:jc w:val="both"/>
        <w:rPr>
          <w:lang w:val="en-US"/>
        </w:rPr>
      </w:pPr>
      <w:r>
        <w:rPr>
          <w:lang w:val="en-US"/>
        </w:rPr>
        <w:t>First</w:t>
      </w:r>
      <w:r w:rsidR="00355389">
        <w:rPr>
          <w:lang w:val="en-US"/>
        </w:rPr>
        <w:t xml:space="preserve"> the “fair treatment and representation” versus “valuing diversity” divide</w:t>
      </w:r>
      <w:r>
        <w:rPr>
          <w:lang w:val="en-US"/>
        </w:rPr>
        <w:t xml:space="preserve"> identified in the previous section </w:t>
      </w:r>
      <w:r w:rsidR="00355389">
        <w:rPr>
          <w:lang w:val="en-US"/>
        </w:rPr>
        <w:t xml:space="preserve">is poorly reflected in DC operationalizations, since existing DC measures are not clearly </w:t>
      </w:r>
      <w:r w:rsidR="00CD6ECD">
        <w:rPr>
          <w:lang w:val="en-US"/>
        </w:rPr>
        <w:t>designed to tap</w:t>
      </w:r>
      <w:r w:rsidR="00355389">
        <w:rPr>
          <w:lang w:val="en-US"/>
        </w:rPr>
        <w:t xml:space="preserve"> these distinctions when assessing people’ perception of diversity management efforts.</w:t>
      </w:r>
      <w:r w:rsidR="00CD6ECD">
        <w:rPr>
          <w:lang w:val="en-US"/>
        </w:rPr>
        <w:t xml:space="preserve"> Dwertmann et al. (2016)</w:t>
      </w:r>
      <w:r w:rsidR="00636C93">
        <w:rPr>
          <w:lang w:val="en-US"/>
        </w:rPr>
        <w:t xml:space="preserve"> contend</w:t>
      </w:r>
      <w:r w:rsidR="00CD6ECD">
        <w:rPr>
          <w:lang w:val="en-US"/>
        </w:rPr>
        <w:t xml:space="preserve"> that most DC measures reflect the “fairness &amp; discrimination” perspective and additionally, </w:t>
      </w:r>
      <w:r w:rsidR="0021352E">
        <w:rPr>
          <w:lang w:val="en-US"/>
        </w:rPr>
        <w:t xml:space="preserve">they </w:t>
      </w:r>
      <w:r w:rsidR="00CD6ECD">
        <w:rPr>
          <w:lang w:val="en-US"/>
        </w:rPr>
        <w:t>report issues in categorizing measures binarily along the “fairness &amp; discrimination” and “synergy” distinction</w:t>
      </w:r>
      <w:r>
        <w:rPr>
          <w:lang w:val="en-US"/>
        </w:rPr>
        <w:t xml:space="preserve"> as they find some items to fall somewhere in </w:t>
      </w:r>
      <w:r w:rsidR="0052427E">
        <w:rPr>
          <w:lang w:val="en-US"/>
        </w:rPr>
        <w:t>between the two categories</w:t>
      </w:r>
      <w:r w:rsidR="00CD6ECD">
        <w:rPr>
          <w:lang w:val="en-US"/>
        </w:rPr>
        <w:t>.</w:t>
      </w:r>
      <w:r w:rsidR="00636C93">
        <w:rPr>
          <w:lang w:val="en-US"/>
        </w:rPr>
        <w:t xml:space="preserve"> </w:t>
      </w:r>
    </w:p>
    <w:p w14:paraId="17108091" w14:textId="5EECDAF3" w:rsidR="00CE1C87" w:rsidRPr="00D629BF" w:rsidRDefault="00CE1C87" w:rsidP="00CE1C87">
      <w:pPr>
        <w:spacing w:line="480" w:lineRule="auto"/>
        <w:jc w:val="both"/>
        <w:rPr>
          <w:lang w:val="en-US"/>
        </w:rPr>
      </w:pPr>
      <w:r>
        <w:rPr>
          <w:lang w:val="en-US"/>
        </w:rPr>
        <w:t xml:space="preserve">Second, DC </w:t>
      </w:r>
      <w:r w:rsidRPr="00DE51F5">
        <w:rPr>
          <w:lang w:val="en-US"/>
        </w:rPr>
        <w:t xml:space="preserve">measurements were sometimes based on demographics data (and not perceptions), in contradiction with the </w:t>
      </w:r>
      <w:r>
        <w:rPr>
          <w:lang w:val="en-US"/>
        </w:rPr>
        <w:t xml:space="preserve">founding </w:t>
      </w:r>
      <w:r w:rsidRPr="00DE51F5">
        <w:rPr>
          <w:lang w:val="en-US"/>
        </w:rPr>
        <w:t xml:space="preserve">assumption that an organizational climate is rooted in perceptions and interpretations drawn by members of the organization about what </w:t>
      </w:r>
      <w:r w:rsidR="00F70E15">
        <w:rPr>
          <w:lang w:val="en-US"/>
        </w:rPr>
        <w:t>i</w:t>
      </w:r>
      <w:r w:rsidRPr="00DE51F5">
        <w:rPr>
          <w:lang w:val="en-US"/>
        </w:rPr>
        <w:t xml:space="preserve">t does (Katz and Kahn, 1978). </w:t>
      </w:r>
      <w:r w:rsidRPr="00C132A1">
        <w:rPr>
          <w:lang w:val="en-US"/>
        </w:rPr>
        <w:t xml:space="preserve">Reichers and Schneider </w:t>
      </w:r>
      <w:r>
        <w:rPr>
          <w:lang w:val="en-US"/>
        </w:rPr>
        <w:t>(</w:t>
      </w:r>
      <w:r w:rsidRPr="00C132A1">
        <w:rPr>
          <w:lang w:val="en-US"/>
        </w:rPr>
        <w:t>1990</w:t>
      </w:r>
      <w:r>
        <w:rPr>
          <w:lang w:val="en-US"/>
        </w:rPr>
        <w:t xml:space="preserve">, </w:t>
      </w:r>
      <w:r w:rsidRPr="00896C7A">
        <w:rPr>
          <w:lang w:val="en-US"/>
        </w:rPr>
        <w:t>p. 22</w:t>
      </w:r>
      <w:r>
        <w:rPr>
          <w:lang w:val="en-US"/>
        </w:rPr>
        <w:t xml:space="preserve">) defined an organizational climate as </w:t>
      </w:r>
      <w:r w:rsidRPr="00C132A1">
        <w:rPr>
          <w:lang w:val="en-US"/>
        </w:rPr>
        <w:t xml:space="preserve">the </w:t>
      </w:r>
      <w:r w:rsidR="00072FD6">
        <w:rPr>
          <w:lang w:val="en-US"/>
        </w:rPr>
        <w:t>‘</w:t>
      </w:r>
      <w:r w:rsidRPr="00072FD6">
        <w:rPr>
          <w:i/>
          <w:lang w:val="en-US"/>
        </w:rPr>
        <w:t>shared perception of the way things are around here</w:t>
      </w:r>
      <w:r w:rsidR="00072FD6">
        <w:rPr>
          <w:lang w:val="en-US"/>
        </w:rPr>
        <w:t>’</w:t>
      </w:r>
      <w:r>
        <w:rPr>
          <w:lang w:val="en-US"/>
        </w:rPr>
        <w:t>, which inherently anchor</w:t>
      </w:r>
      <w:r w:rsidR="00D159C6">
        <w:rPr>
          <w:lang w:val="en-US"/>
        </w:rPr>
        <w:t>s</w:t>
      </w:r>
      <w:r>
        <w:rPr>
          <w:lang w:val="en-US"/>
        </w:rPr>
        <w:t xml:space="preserve"> climate measurement in the perception of individuals as the foci of data collection</w:t>
      </w:r>
      <w:r w:rsidRPr="00C132A1">
        <w:rPr>
          <w:lang w:val="en-US"/>
        </w:rPr>
        <w:t>.</w:t>
      </w:r>
    </w:p>
    <w:p w14:paraId="3417A48F" w14:textId="4A7C2056" w:rsidR="00D629BF" w:rsidRPr="00D629BF" w:rsidRDefault="00CE1C87" w:rsidP="00EC25CF">
      <w:pPr>
        <w:spacing w:line="480" w:lineRule="auto"/>
        <w:jc w:val="both"/>
        <w:rPr>
          <w:lang w:val="en-US"/>
        </w:rPr>
      </w:pPr>
      <w:r>
        <w:rPr>
          <w:lang w:val="en-US"/>
        </w:rPr>
        <w:lastRenderedPageBreak/>
        <w:t>Third</w:t>
      </w:r>
      <w:r w:rsidR="00D629BF" w:rsidRPr="00D629BF">
        <w:rPr>
          <w:lang w:val="en-US"/>
        </w:rPr>
        <w:t xml:space="preserve">, some </w:t>
      </w:r>
      <w:r w:rsidR="006E695C">
        <w:rPr>
          <w:lang w:val="en-US"/>
        </w:rPr>
        <w:t>DC measurement instruments were found to be</w:t>
      </w:r>
      <w:r w:rsidR="00D629BF" w:rsidRPr="00D629BF">
        <w:rPr>
          <w:lang w:val="en-US"/>
        </w:rPr>
        <w:t xml:space="preserve"> </w:t>
      </w:r>
      <w:r w:rsidR="00D629BF" w:rsidRPr="006E695C">
        <w:rPr>
          <w:lang w:val="en-US"/>
        </w:rPr>
        <w:t>misaligned</w:t>
      </w:r>
      <w:r w:rsidR="00D629BF" w:rsidRPr="00D629BF">
        <w:rPr>
          <w:lang w:val="en-US"/>
        </w:rPr>
        <w:t xml:space="preserve"> with their associated conceptualization, causing </w:t>
      </w:r>
      <w:r w:rsidR="00E22DD0">
        <w:rPr>
          <w:lang w:val="en-US"/>
        </w:rPr>
        <w:t>concern</w:t>
      </w:r>
      <w:r w:rsidR="00D629BF" w:rsidRPr="00D629BF">
        <w:rPr>
          <w:lang w:val="en-US"/>
        </w:rPr>
        <w:t xml:space="preserve"> about the construct’s reliability and validity</w:t>
      </w:r>
      <w:r w:rsidR="00BB482B">
        <w:rPr>
          <w:lang w:val="en-US"/>
        </w:rPr>
        <w:t xml:space="preserve"> at different levels of analysis</w:t>
      </w:r>
      <w:r w:rsidR="00D629BF" w:rsidRPr="00D629BF">
        <w:rPr>
          <w:lang w:val="en-US"/>
        </w:rPr>
        <w:t xml:space="preserve"> (</w:t>
      </w:r>
      <w:r w:rsidR="000F04DE">
        <w:rPr>
          <w:lang w:val="en-US"/>
        </w:rPr>
        <w:t xml:space="preserve">Chrobot-Mason </w:t>
      </w:r>
      <w:r w:rsidR="00181296">
        <w:rPr>
          <w:lang w:val="en-US"/>
        </w:rPr>
        <w:t>and Aramovich</w:t>
      </w:r>
      <w:r w:rsidR="000F04DE">
        <w:rPr>
          <w:lang w:val="en-US"/>
        </w:rPr>
        <w:t xml:space="preserve">, 2013; </w:t>
      </w:r>
      <w:r w:rsidR="00D629BF" w:rsidRPr="00D629BF">
        <w:rPr>
          <w:lang w:val="en-US"/>
        </w:rPr>
        <w:t xml:space="preserve">Dwertmann et al., 2016). </w:t>
      </w:r>
      <w:r w:rsidR="00BB482B" w:rsidRPr="00752A8F">
        <w:rPr>
          <w:lang w:val="en-US"/>
        </w:rPr>
        <w:t xml:space="preserve">Especially, </w:t>
      </w:r>
      <w:r w:rsidRPr="00752A8F">
        <w:rPr>
          <w:lang w:val="en-US"/>
        </w:rPr>
        <w:t xml:space="preserve">there has been a dominance of psychological DC research </w:t>
      </w:r>
      <w:r w:rsidR="00BB482B" w:rsidRPr="00752A8F">
        <w:rPr>
          <w:lang w:val="en-US"/>
        </w:rPr>
        <w:t xml:space="preserve">whereas most </w:t>
      </w:r>
      <w:r w:rsidR="00780F45" w:rsidRPr="00752A8F">
        <w:rPr>
          <w:lang w:val="en-US"/>
        </w:rPr>
        <w:t xml:space="preserve">scholars </w:t>
      </w:r>
      <w:r w:rsidRPr="00752A8F">
        <w:rPr>
          <w:lang w:val="en-US"/>
        </w:rPr>
        <w:t>us</w:t>
      </w:r>
      <w:r w:rsidR="00BB482B" w:rsidRPr="00752A8F">
        <w:rPr>
          <w:lang w:val="en-US"/>
        </w:rPr>
        <w:t xml:space="preserve">ed the organizational climate framework to theoretically ground their work. </w:t>
      </w:r>
      <w:r w:rsidR="00880CA1">
        <w:rPr>
          <w:lang w:val="en-US"/>
        </w:rPr>
        <w:t>For</w:t>
      </w:r>
      <w:r w:rsidR="00880CA1" w:rsidRPr="00D629BF">
        <w:rPr>
          <w:lang w:val="en-US"/>
        </w:rPr>
        <w:t xml:space="preserve"> </w:t>
      </w:r>
      <w:r w:rsidR="00D629BF" w:rsidRPr="00D629BF">
        <w:rPr>
          <w:lang w:val="en-US"/>
        </w:rPr>
        <w:t>example, although Mor Barak et al. (1998) grounded their DC definition within the organizational climate conceptual framewo</w:t>
      </w:r>
      <w:r w:rsidR="00E22DD0">
        <w:rPr>
          <w:lang w:val="en-US"/>
        </w:rPr>
        <w:t>rk (Reichers and Schneider, 1990</w:t>
      </w:r>
      <w:r w:rsidR="00D629BF" w:rsidRPr="00D629BF">
        <w:rPr>
          <w:lang w:val="en-US"/>
        </w:rPr>
        <w:t xml:space="preserve">), they chose to develop a measure that includes dimensions such as personal diversity value and personal comfort with diversity. </w:t>
      </w:r>
      <w:r w:rsidR="00BC7DEA">
        <w:rPr>
          <w:lang w:val="en-US"/>
        </w:rPr>
        <w:t>But</w:t>
      </w:r>
      <w:r w:rsidR="00D629BF" w:rsidRPr="00D629BF">
        <w:rPr>
          <w:lang w:val="en-US"/>
        </w:rPr>
        <w:t xml:space="preserve"> an individual’s value towards diversity or personal comfort with diversity may be at odds with his/her organizational DC perception. </w:t>
      </w:r>
      <w:r w:rsidR="00BB482B">
        <w:rPr>
          <w:lang w:val="en-US"/>
        </w:rPr>
        <w:t>So, while</w:t>
      </w:r>
      <w:r w:rsidR="009E2ED0">
        <w:rPr>
          <w:lang w:val="en-US"/>
        </w:rPr>
        <w:t xml:space="preserve"> </w:t>
      </w:r>
      <w:r w:rsidR="00D629BF" w:rsidRPr="00D629BF">
        <w:rPr>
          <w:lang w:val="en-US"/>
        </w:rPr>
        <w:t xml:space="preserve">the authors claimed to introduce an organizational-level construct, their measure is based on individual-referent perceptions. </w:t>
      </w:r>
      <w:r w:rsidR="00BB482B">
        <w:rPr>
          <w:lang w:val="en-US"/>
        </w:rPr>
        <w:t>In another cas</w:t>
      </w:r>
      <w:r w:rsidR="00B64CE3">
        <w:rPr>
          <w:lang w:val="en-US"/>
        </w:rPr>
        <w:t xml:space="preserve">e, some measures are not aligned with the proposed definition of DC. For </w:t>
      </w:r>
      <w:r w:rsidR="00FE1DD8">
        <w:rPr>
          <w:lang w:val="en-US"/>
        </w:rPr>
        <w:t xml:space="preserve">another </w:t>
      </w:r>
      <w:r w:rsidR="00B64CE3">
        <w:rPr>
          <w:lang w:val="en-US"/>
        </w:rPr>
        <w:t xml:space="preserve">example, </w:t>
      </w:r>
      <w:r w:rsidR="001522AD">
        <w:rPr>
          <w:lang w:val="en-US"/>
        </w:rPr>
        <w:t>McKay et al. (2008) r</w:t>
      </w:r>
      <w:r w:rsidR="00D629BF" w:rsidRPr="00D629BF">
        <w:rPr>
          <w:lang w:val="en-US"/>
        </w:rPr>
        <w:t>eferred to the integration of under-represented people in their defi</w:t>
      </w:r>
      <w:r w:rsidR="00E22DD0">
        <w:rPr>
          <w:lang w:val="en-US"/>
        </w:rPr>
        <w:t xml:space="preserve">nition of DC, but </w:t>
      </w:r>
      <w:r w:rsidR="00D629BF" w:rsidRPr="00D629BF">
        <w:rPr>
          <w:lang w:val="en-US"/>
        </w:rPr>
        <w:t xml:space="preserve">none of the four items of their scale </w:t>
      </w:r>
      <w:r w:rsidR="004B267A">
        <w:rPr>
          <w:lang w:val="en-US"/>
        </w:rPr>
        <w:t>specifically refer</w:t>
      </w:r>
      <w:r w:rsidR="006E695C">
        <w:rPr>
          <w:lang w:val="en-US"/>
        </w:rPr>
        <w:t>red</w:t>
      </w:r>
      <w:r w:rsidR="004B267A">
        <w:rPr>
          <w:lang w:val="en-US"/>
        </w:rPr>
        <w:t xml:space="preserve"> to under-represented people</w:t>
      </w:r>
      <w:r w:rsidR="00D629BF" w:rsidRPr="00D629BF">
        <w:rPr>
          <w:lang w:val="en-US"/>
        </w:rPr>
        <w:t xml:space="preserve">. </w:t>
      </w:r>
    </w:p>
    <w:p w14:paraId="41C0A414" w14:textId="13F575D7" w:rsidR="00B81EC5" w:rsidRDefault="00D159C6" w:rsidP="00EC25CF">
      <w:pPr>
        <w:spacing w:line="480" w:lineRule="auto"/>
        <w:jc w:val="both"/>
        <w:rPr>
          <w:lang w:val="en-US"/>
        </w:rPr>
      </w:pPr>
      <w:r>
        <w:rPr>
          <w:lang w:val="en-US"/>
        </w:rPr>
        <w:t xml:space="preserve"> </w:t>
      </w:r>
      <w:r w:rsidR="00DE51F5">
        <w:rPr>
          <w:lang w:val="en-US"/>
        </w:rPr>
        <w:t>Next</w:t>
      </w:r>
      <w:r w:rsidR="004B267A">
        <w:rPr>
          <w:lang w:val="en-US"/>
        </w:rPr>
        <w:t xml:space="preserve">, there </w:t>
      </w:r>
      <w:r w:rsidR="006E695C">
        <w:rPr>
          <w:lang w:val="en-US"/>
        </w:rPr>
        <w:t>has been a</w:t>
      </w:r>
      <w:r w:rsidR="004B267A">
        <w:rPr>
          <w:lang w:val="en-US"/>
        </w:rPr>
        <w:t xml:space="preserve"> </w:t>
      </w:r>
      <w:r w:rsidR="00D629BF" w:rsidRPr="00D629BF">
        <w:rPr>
          <w:lang w:val="en-US"/>
        </w:rPr>
        <w:t>lack of consistency between measures</w:t>
      </w:r>
      <w:r w:rsidR="004B267A">
        <w:rPr>
          <w:lang w:val="en-US"/>
        </w:rPr>
        <w:t xml:space="preserve"> </w:t>
      </w:r>
      <w:r w:rsidR="006E695C">
        <w:rPr>
          <w:lang w:val="en-US"/>
        </w:rPr>
        <w:t>in terms of their respective targets and foci</w:t>
      </w:r>
      <w:r w:rsidR="004B267A">
        <w:rPr>
          <w:lang w:val="en-US"/>
        </w:rPr>
        <w:t xml:space="preserve"> </w:t>
      </w:r>
      <w:r w:rsidR="00417EEC">
        <w:rPr>
          <w:lang w:val="en-US"/>
        </w:rPr>
        <w:t>(Cachat-Rosset et al., 2017)</w:t>
      </w:r>
      <w:r w:rsidR="00D629BF" w:rsidRPr="00D629BF">
        <w:rPr>
          <w:lang w:val="en-US"/>
        </w:rPr>
        <w:t>. In some</w:t>
      </w:r>
      <w:r w:rsidR="004B267A">
        <w:rPr>
          <w:lang w:val="en-US"/>
        </w:rPr>
        <w:t xml:space="preserve"> items</w:t>
      </w:r>
      <w:r w:rsidR="00D629BF" w:rsidRPr="00D629BF">
        <w:rPr>
          <w:lang w:val="en-US"/>
        </w:rPr>
        <w:t xml:space="preserve">, respondents </w:t>
      </w:r>
      <w:r w:rsidR="00A33E58">
        <w:rPr>
          <w:lang w:val="en-US"/>
        </w:rPr>
        <w:t>were</w:t>
      </w:r>
      <w:r w:rsidR="00D629BF" w:rsidRPr="00D629BF">
        <w:rPr>
          <w:lang w:val="en-US"/>
        </w:rPr>
        <w:t xml:space="preserve"> asked about their individual perceptions about themselves </w:t>
      </w:r>
      <w:r w:rsidR="00417EEC">
        <w:rPr>
          <w:lang w:val="en-US"/>
        </w:rPr>
        <w:t xml:space="preserve">such as </w:t>
      </w:r>
      <w:r w:rsidR="00417EEC" w:rsidRPr="00417EEC">
        <w:rPr>
          <w:lang w:val="en-US"/>
        </w:rPr>
        <w:t>“My coworkers appreciate my background and</w:t>
      </w:r>
      <w:r w:rsidR="00417EEC">
        <w:rPr>
          <w:lang w:val="en-US"/>
        </w:rPr>
        <w:t xml:space="preserve"> pe</w:t>
      </w:r>
      <w:r w:rsidR="00FE1DE2">
        <w:rPr>
          <w:lang w:val="en-US"/>
        </w:rPr>
        <w:t>rspective</w:t>
      </w:r>
      <w:r w:rsidR="00417EEC">
        <w:rPr>
          <w:lang w:val="en-US"/>
        </w:rPr>
        <w:t>”</w:t>
      </w:r>
      <w:r w:rsidR="00FE1DE2">
        <w:rPr>
          <w:lang w:val="en-US"/>
        </w:rPr>
        <w:t xml:space="preserve"> </w:t>
      </w:r>
      <w:r w:rsidR="00417EEC">
        <w:rPr>
          <w:lang w:val="en-US"/>
        </w:rPr>
        <w:t>(Chung et al., 2015, p.1503)</w:t>
      </w:r>
      <w:r w:rsidR="00D629BF" w:rsidRPr="00D629BF">
        <w:rPr>
          <w:lang w:val="en-US"/>
        </w:rPr>
        <w:t xml:space="preserve">, in others the emphasis </w:t>
      </w:r>
      <w:r w:rsidR="0052427E">
        <w:rPr>
          <w:lang w:val="en-US"/>
        </w:rPr>
        <w:t xml:space="preserve">is placed </w:t>
      </w:r>
      <w:r w:rsidR="00D629BF" w:rsidRPr="00D629BF">
        <w:rPr>
          <w:lang w:val="en-US"/>
        </w:rPr>
        <w:t>on the respondents’ percepti</w:t>
      </w:r>
      <w:r w:rsidR="00E1526E">
        <w:rPr>
          <w:lang w:val="en-US"/>
        </w:rPr>
        <w:t>ons about designated</w:t>
      </w:r>
      <w:r w:rsidR="00417EEC">
        <w:rPr>
          <w:lang w:val="en-US"/>
        </w:rPr>
        <w:t xml:space="preserve"> groups</w:t>
      </w:r>
      <w:r w:rsidR="000430E2">
        <w:rPr>
          <w:lang w:val="en-US"/>
        </w:rPr>
        <w:t xml:space="preserve"> such as employees of color</w:t>
      </w:r>
      <w:r w:rsidR="00417EEC">
        <w:rPr>
          <w:lang w:val="en-US"/>
        </w:rPr>
        <w:t xml:space="preserve"> (</w:t>
      </w:r>
      <w:r w:rsidR="00AF7BD2" w:rsidRPr="00D629BF">
        <w:rPr>
          <w:lang w:val="en-US"/>
        </w:rPr>
        <w:t>Hopkins et al</w:t>
      </w:r>
      <w:r w:rsidR="001878AD">
        <w:rPr>
          <w:lang w:val="en-US"/>
        </w:rPr>
        <w:t>.</w:t>
      </w:r>
      <w:r w:rsidR="00AF7BD2" w:rsidRPr="00D629BF">
        <w:rPr>
          <w:lang w:val="en-US"/>
        </w:rPr>
        <w:t xml:space="preserve">, 2001; </w:t>
      </w:r>
      <w:r w:rsidR="00D629BF" w:rsidRPr="00D629BF">
        <w:rPr>
          <w:lang w:val="en-US"/>
        </w:rPr>
        <w:t xml:space="preserve">Kossek and Zonia, 1993; Kossek et al., 2003), while yet other measures address respondents’ perceptions </w:t>
      </w:r>
      <w:r w:rsidR="00E2499B">
        <w:rPr>
          <w:lang w:val="en-US"/>
        </w:rPr>
        <w:t>without specifying an identity group (Chung et al., 2015)</w:t>
      </w:r>
      <w:r w:rsidR="0004272C">
        <w:rPr>
          <w:lang w:val="en-US"/>
        </w:rPr>
        <w:t>. It is noteworthy that</w:t>
      </w:r>
      <w:r w:rsidR="00D629BF" w:rsidRPr="00D629BF">
        <w:rPr>
          <w:lang w:val="en-US"/>
        </w:rPr>
        <w:t xml:space="preserve"> the mean of individuals’ perception about themselves as an index of a higher-level phenomenon is ungrounded, because the aggregate score would always refer to the individual level and not to the unit or organization level</w:t>
      </w:r>
      <w:r w:rsidR="00E2499B">
        <w:rPr>
          <w:lang w:val="en-US"/>
        </w:rPr>
        <w:t xml:space="preserve"> (Guzzo et al., 1993)</w:t>
      </w:r>
      <w:r w:rsidR="00D629BF" w:rsidRPr="00D629BF">
        <w:rPr>
          <w:lang w:val="en-US"/>
        </w:rPr>
        <w:t xml:space="preserve">. The referent-shift nature of DC implies that </w:t>
      </w:r>
      <w:r w:rsidR="00D629BF" w:rsidRPr="00D629BF">
        <w:rPr>
          <w:lang w:val="en-US"/>
        </w:rPr>
        <w:lastRenderedPageBreak/>
        <w:t xml:space="preserve">individuals are asked about their perception about </w:t>
      </w:r>
      <w:r w:rsidR="00B64CE3">
        <w:rPr>
          <w:lang w:val="en-US"/>
        </w:rPr>
        <w:t>a</w:t>
      </w:r>
      <w:r w:rsidR="00B64CE3" w:rsidRPr="00D629BF">
        <w:rPr>
          <w:lang w:val="en-US"/>
        </w:rPr>
        <w:t xml:space="preserve"> </w:t>
      </w:r>
      <w:r w:rsidR="00D629BF" w:rsidRPr="00D629BF">
        <w:rPr>
          <w:lang w:val="en-US"/>
        </w:rPr>
        <w:t>nested level</w:t>
      </w:r>
      <w:r w:rsidR="00B64CE3">
        <w:rPr>
          <w:lang w:val="en-US"/>
        </w:rPr>
        <w:t xml:space="preserve"> and not </w:t>
      </w:r>
      <w:r w:rsidR="00C452BE">
        <w:rPr>
          <w:lang w:val="en-US"/>
        </w:rPr>
        <w:t>about their perception for themselves</w:t>
      </w:r>
      <w:r w:rsidR="00D629BF" w:rsidRPr="00D629BF">
        <w:rPr>
          <w:lang w:val="en-US"/>
        </w:rPr>
        <w:t>, to then form a higher-level DC measure</w:t>
      </w:r>
      <w:r w:rsidR="00B64CE3">
        <w:rPr>
          <w:lang w:val="en-US"/>
        </w:rPr>
        <w:t xml:space="preserve"> (Chan, 1998)</w:t>
      </w:r>
      <w:r w:rsidR="00D629BF" w:rsidRPr="00D629BF">
        <w:rPr>
          <w:lang w:val="en-US"/>
        </w:rPr>
        <w:t xml:space="preserve">. </w:t>
      </w:r>
      <w:r w:rsidR="00C452BE">
        <w:rPr>
          <w:lang w:val="en-US"/>
        </w:rPr>
        <w:t>Finally, a</w:t>
      </w:r>
      <w:r w:rsidR="00D629BF" w:rsidRPr="00D629BF">
        <w:rPr>
          <w:lang w:val="en-US"/>
        </w:rPr>
        <w:t xml:space="preserve">dding to such lack of clarity, the targeted objects in DC measures also vary according </w:t>
      </w:r>
      <w:r w:rsidR="00BC7DEA">
        <w:rPr>
          <w:lang w:val="en-US"/>
        </w:rPr>
        <w:t xml:space="preserve">to </w:t>
      </w:r>
      <w:r w:rsidR="00D629BF" w:rsidRPr="00D629BF">
        <w:rPr>
          <w:lang w:val="en-US"/>
        </w:rPr>
        <w:t xml:space="preserve">studies. </w:t>
      </w:r>
      <w:r w:rsidR="00AF621E">
        <w:rPr>
          <w:lang w:val="en-US"/>
        </w:rPr>
        <w:t>Targeted objects can be</w:t>
      </w:r>
      <w:r w:rsidR="00D629BF" w:rsidRPr="00D629BF">
        <w:rPr>
          <w:lang w:val="en-US"/>
        </w:rPr>
        <w:t xml:space="preserve"> policies</w:t>
      </w:r>
      <w:r w:rsidR="00C452BE">
        <w:rPr>
          <w:lang w:val="en-US"/>
        </w:rPr>
        <w:t xml:space="preserve"> or </w:t>
      </w:r>
      <w:r w:rsidR="00AF621E">
        <w:rPr>
          <w:lang w:val="en-US"/>
        </w:rPr>
        <w:t xml:space="preserve">processes, </w:t>
      </w:r>
      <w:r w:rsidR="00D629BF" w:rsidRPr="00D629BF">
        <w:rPr>
          <w:lang w:val="en-US"/>
        </w:rPr>
        <w:t>employee attitudes or behaviors</w:t>
      </w:r>
      <w:r w:rsidR="0004272C">
        <w:rPr>
          <w:lang w:val="en-US"/>
        </w:rPr>
        <w:t xml:space="preserve"> such as listening, valuing, integrating</w:t>
      </w:r>
      <w:r w:rsidR="00D629BF" w:rsidRPr="00D629BF">
        <w:rPr>
          <w:lang w:val="en-US"/>
        </w:rPr>
        <w:t xml:space="preserve">, </w:t>
      </w:r>
      <w:r w:rsidR="00FC2209">
        <w:rPr>
          <w:lang w:val="en-US"/>
        </w:rPr>
        <w:t xml:space="preserve">while </w:t>
      </w:r>
      <w:r w:rsidR="00D629BF" w:rsidRPr="00D629BF">
        <w:rPr>
          <w:lang w:val="en-US"/>
        </w:rPr>
        <w:t xml:space="preserve">yet others focus on </w:t>
      </w:r>
      <w:r w:rsidR="000430E2">
        <w:rPr>
          <w:lang w:val="en-US"/>
        </w:rPr>
        <w:t xml:space="preserve">top management </w:t>
      </w:r>
      <w:r w:rsidR="0004272C">
        <w:rPr>
          <w:lang w:val="en-US"/>
        </w:rPr>
        <w:t>commitments/</w:t>
      </w:r>
      <w:r w:rsidR="00D629BF" w:rsidRPr="00D629BF">
        <w:rPr>
          <w:lang w:val="en-US"/>
        </w:rPr>
        <w:t>intentions</w:t>
      </w:r>
      <w:r w:rsidR="00E1526E">
        <w:rPr>
          <w:lang w:val="en-US"/>
        </w:rPr>
        <w:t xml:space="preserve"> (Dwertmann et al., 2016)</w:t>
      </w:r>
      <w:r w:rsidR="00D629BF" w:rsidRPr="00D629BF">
        <w:rPr>
          <w:lang w:val="en-US"/>
        </w:rPr>
        <w:t>.</w:t>
      </w:r>
      <w:r w:rsidR="008D3226">
        <w:rPr>
          <w:lang w:val="en-US"/>
        </w:rPr>
        <w:t xml:space="preserve"> </w:t>
      </w:r>
      <w:r w:rsidR="00401366">
        <w:rPr>
          <w:lang w:val="en-US"/>
        </w:rPr>
        <w:t>Unfortunately</w:t>
      </w:r>
      <w:r w:rsidR="002D269F">
        <w:rPr>
          <w:lang w:val="en-US"/>
        </w:rPr>
        <w:t>,</w:t>
      </w:r>
      <w:r w:rsidR="00726CE9">
        <w:rPr>
          <w:lang w:val="en-US"/>
        </w:rPr>
        <w:t xml:space="preserve"> the</w:t>
      </w:r>
      <w:r w:rsidR="003702C7">
        <w:rPr>
          <w:lang w:val="en-US"/>
        </w:rPr>
        <w:t xml:space="preserve"> use </w:t>
      </w:r>
      <w:r w:rsidR="00726CE9">
        <w:rPr>
          <w:lang w:val="en-US"/>
        </w:rPr>
        <w:t xml:space="preserve">of </w:t>
      </w:r>
      <w:r w:rsidR="003702C7">
        <w:rPr>
          <w:lang w:val="en-US"/>
        </w:rPr>
        <w:t>several objects</w:t>
      </w:r>
      <w:r w:rsidR="00401366">
        <w:rPr>
          <w:lang w:val="en-US"/>
        </w:rPr>
        <w:t>’</w:t>
      </w:r>
      <w:r w:rsidR="002D269F">
        <w:rPr>
          <w:lang w:val="en-US"/>
        </w:rPr>
        <w:t xml:space="preserve"> perception</w:t>
      </w:r>
      <w:r w:rsidR="002D269F" w:rsidRPr="002D269F">
        <w:rPr>
          <w:lang w:val="en-US"/>
        </w:rPr>
        <w:t xml:space="preserve"> </w:t>
      </w:r>
      <w:r w:rsidR="002D269F">
        <w:rPr>
          <w:lang w:val="en-US"/>
        </w:rPr>
        <w:t>in the assessment of DC, while it may be suitable,</w:t>
      </w:r>
      <w:r w:rsidR="00726CE9">
        <w:rPr>
          <w:lang w:val="en-US"/>
        </w:rPr>
        <w:t xml:space="preserve"> is most often poorly or not conceptually justified</w:t>
      </w:r>
      <w:r w:rsidR="00C452BE">
        <w:rPr>
          <w:lang w:val="en-US"/>
        </w:rPr>
        <w:t xml:space="preserve"> regarding the choice of the different objects assessed</w:t>
      </w:r>
      <w:r w:rsidR="00726CE9">
        <w:rPr>
          <w:lang w:val="en-US"/>
        </w:rPr>
        <w:t>.</w:t>
      </w:r>
      <w:r w:rsidR="003702C7">
        <w:rPr>
          <w:lang w:val="en-US"/>
        </w:rPr>
        <w:t xml:space="preserve"> </w:t>
      </w:r>
      <w:r w:rsidR="004A2ECC">
        <w:rPr>
          <w:lang w:val="en-US"/>
        </w:rPr>
        <w:t xml:space="preserve">Most </w:t>
      </w:r>
      <w:r w:rsidR="008D3226">
        <w:rPr>
          <w:lang w:val="en-US"/>
        </w:rPr>
        <w:t xml:space="preserve">previous DC </w:t>
      </w:r>
      <w:r w:rsidR="004A2ECC">
        <w:rPr>
          <w:lang w:val="en-US"/>
        </w:rPr>
        <w:t xml:space="preserve">definitions </w:t>
      </w:r>
      <w:r w:rsidR="008D3226">
        <w:rPr>
          <w:lang w:val="en-US"/>
        </w:rPr>
        <w:t xml:space="preserve">include one or several of these components </w:t>
      </w:r>
      <w:r w:rsidR="00736787">
        <w:rPr>
          <w:lang w:val="en-US"/>
        </w:rPr>
        <w:t xml:space="preserve">(intentions, programs, attitudes &amp; behaviors) </w:t>
      </w:r>
      <w:r w:rsidR="008D3226">
        <w:rPr>
          <w:lang w:val="en-US"/>
        </w:rPr>
        <w:t>but</w:t>
      </w:r>
      <w:r w:rsidR="004A2ECC">
        <w:rPr>
          <w:lang w:val="en-US"/>
        </w:rPr>
        <w:t xml:space="preserve"> almost all of them</w:t>
      </w:r>
      <w:r w:rsidR="008D3226">
        <w:rPr>
          <w:lang w:val="en-US"/>
        </w:rPr>
        <w:t xml:space="preserve"> fail to cover all three dimensions in a combined definition and associated measure.</w:t>
      </w:r>
      <w:r w:rsidR="00736787">
        <w:rPr>
          <w:lang w:val="en-US"/>
        </w:rPr>
        <w:t xml:space="preserve"> </w:t>
      </w:r>
    </w:p>
    <w:p w14:paraId="7F7B12F7" w14:textId="77777777" w:rsidR="00483EC1" w:rsidRPr="00A643FC" w:rsidRDefault="00483EC1" w:rsidP="00483EC1">
      <w:pPr>
        <w:spacing w:line="480" w:lineRule="auto"/>
        <w:jc w:val="center"/>
        <w:rPr>
          <w:lang w:val="en-US"/>
        </w:rPr>
      </w:pPr>
      <w:r w:rsidRPr="00A643FC">
        <w:rPr>
          <w:lang w:val="en-US"/>
        </w:rPr>
        <w:t>-------------------------------------------</w:t>
      </w:r>
    </w:p>
    <w:p w14:paraId="2F9379DA" w14:textId="288377E2" w:rsidR="00483EC1" w:rsidRPr="00A643FC" w:rsidRDefault="00483EC1" w:rsidP="00483EC1">
      <w:pPr>
        <w:spacing w:line="480" w:lineRule="auto"/>
        <w:jc w:val="center"/>
        <w:rPr>
          <w:lang w:val="en-US"/>
        </w:rPr>
      </w:pPr>
      <w:r w:rsidRPr="00A643FC">
        <w:rPr>
          <w:lang w:val="en-US"/>
        </w:rPr>
        <w:t>INSERT TABLE I</w:t>
      </w:r>
      <w:r>
        <w:rPr>
          <w:lang w:val="en-US"/>
        </w:rPr>
        <w:t>I</w:t>
      </w:r>
      <w:r w:rsidR="00CB4BB9">
        <w:rPr>
          <w:lang w:val="en-US"/>
        </w:rPr>
        <w:t>I</w:t>
      </w:r>
      <w:r w:rsidRPr="00A643FC">
        <w:rPr>
          <w:lang w:val="en-US"/>
        </w:rPr>
        <w:t xml:space="preserve"> ABOUT HERE</w:t>
      </w:r>
    </w:p>
    <w:p w14:paraId="47B67E3B" w14:textId="77777777" w:rsidR="00483EC1" w:rsidRDefault="00483EC1" w:rsidP="00483EC1">
      <w:pPr>
        <w:spacing w:line="480" w:lineRule="auto"/>
        <w:jc w:val="center"/>
        <w:rPr>
          <w:lang w:val="en-US"/>
        </w:rPr>
      </w:pPr>
      <w:r w:rsidRPr="00A643FC">
        <w:rPr>
          <w:lang w:val="en-US"/>
        </w:rPr>
        <w:t>-------------------------------------------</w:t>
      </w:r>
    </w:p>
    <w:p w14:paraId="108B93EC" w14:textId="16802779" w:rsidR="00C50F56" w:rsidRDefault="00A96F80" w:rsidP="00C50F56">
      <w:pPr>
        <w:spacing w:line="480" w:lineRule="auto"/>
        <w:jc w:val="both"/>
        <w:rPr>
          <w:lang w:val="en-US"/>
        </w:rPr>
      </w:pPr>
      <w:r w:rsidRPr="00657F22">
        <w:rPr>
          <w:lang w:val="en-US"/>
        </w:rPr>
        <w:t xml:space="preserve">A relevant </w:t>
      </w:r>
      <w:r w:rsidR="00DA7400" w:rsidRPr="00657F22">
        <w:rPr>
          <w:lang w:val="en-US"/>
        </w:rPr>
        <w:t xml:space="preserve">DC measure </w:t>
      </w:r>
      <w:r w:rsidR="00DB7155" w:rsidRPr="00657F22">
        <w:rPr>
          <w:lang w:val="en-US"/>
        </w:rPr>
        <w:t>should</w:t>
      </w:r>
      <w:r w:rsidR="00DB7155">
        <w:rPr>
          <w:lang w:val="en-US"/>
        </w:rPr>
        <w:t xml:space="preserve"> r</w:t>
      </w:r>
      <w:r w:rsidR="005661D5">
        <w:rPr>
          <w:lang w:val="en-US"/>
        </w:rPr>
        <w:t>emed</w:t>
      </w:r>
      <w:r>
        <w:rPr>
          <w:lang w:val="en-US"/>
        </w:rPr>
        <w:t>y the limitations exposed above</w:t>
      </w:r>
      <w:r w:rsidR="00C659E5">
        <w:rPr>
          <w:lang w:val="en-US"/>
        </w:rPr>
        <w:t>: it</w:t>
      </w:r>
      <w:r w:rsidR="005661D5">
        <w:rPr>
          <w:lang w:val="en-US"/>
        </w:rPr>
        <w:t xml:space="preserve"> </w:t>
      </w:r>
      <w:r w:rsidR="005726E6">
        <w:rPr>
          <w:lang w:val="en-US"/>
        </w:rPr>
        <w:t xml:space="preserve">needs to </w:t>
      </w:r>
      <w:r w:rsidR="00C659E5">
        <w:rPr>
          <w:lang w:val="en-US"/>
        </w:rPr>
        <w:t>present a sound alignment with its concept</w:t>
      </w:r>
      <w:r w:rsidR="00072FD6">
        <w:rPr>
          <w:lang w:val="en-US"/>
        </w:rPr>
        <w:t>ual definition</w:t>
      </w:r>
      <w:r w:rsidR="005661D5">
        <w:rPr>
          <w:lang w:val="en-US"/>
        </w:rPr>
        <w:t xml:space="preserve">, be based on perceptions and not on objective data </w:t>
      </w:r>
      <w:r w:rsidR="00A33E58">
        <w:rPr>
          <w:lang w:val="en-US"/>
        </w:rPr>
        <w:t>and</w:t>
      </w:r>
      <w:r w:rsidR="005661D5">
        <w:rPr>
          <w:lang w:val="en-US"/>
        </w:rPr>
        <w:t xml:space="preserve"> </w:t>
      </w:r>
      <w:r w:rsidR="005726E6">
        <w:rPr>
          <w:lang w:val="en-US"/>
        </w:rPr>
        <w:t xml:space="preserve">must </w:t>
      </w:r>
      <w:r w:rsidR="005661D5">
        <w:rPr>
          <w:lang w:val="en-US"/>
        </w:rPr>
        <w:t xml:space="preserve">not </w:t>
      </w:r>
      <w:r w:rsidR="00A33E58">
        <w:rPr>
          <w:lang w:val="en-US"/>
        </w:rPr>
        <w:t xml:space="preserve">address the </w:t>
      </w:r>
      <w:r w:rsidR="005661D5">
        <w:rPr>
          <w:lang w:val="en-US"/>
        </w:rPr>
        <w:t>respond</w:t>
      </w:r>
      <w:r w:rsidR="00097695">
        <w:rPr>
          <w:lang w:val="en-US"/>
        </w:rPr>
        <w:t>ent</w:t>
      </w:r>
      <w:r w:rsidR="00A33E58">
        <w:rPr>
          <w:lang w:val="en-US"/>
        </w:rPr>
        <w:t xml:space="preserve">’s perceptions towards her-/him-self. Besides, </w:t>
      </w:r>
      <w:r w:rsidR="00C659E5">
        <w:rPr>
          <w:lang w:val="en-US"/>
        </w:rPr>
        <w:t xml:space="preserve">it should </w:t>
      </w:r>
      <w:r w:rsidR="005661D5">
        <w:rPr>
          <w:lang w:val="en-US"/>
        </w:rPr>
        <w:t xml:space="preserve">not focus on </w:t>
      </w:r>
      <w:r w:rsidR="00A33E58">
        <w:rPr>
          <w:lang w:val="en-US"/>
        </w:rPr>
        <w:t>identif</w:t>
      </w:r>
      <w:r w:rsidR="00C9193E">
        <w:rPr>
          <w:lang w:val="en-US"/>
        </w:rPr>
        <w:t>ied</w:t>
      </w:r>
      <w:r w:rsidR="005661D5">
        <w:rPr>
          <w:lang w:val="en-US"/>
        </w:rPr>
        <w:t xml:space="preserve"> groups that are specif</w:t>
      </w:r>
      <w:r w:rsidR="00C659E5">
        <w:rPr>
          <w:lang w:val="en-US"/>
        </w:rPr>
        <w:t xml:space="preserve">ic to </w:t>
      </w:r>
      <w:r w:rsidR="001863AD">
        <w:rPr>
          <w:lang w:val="en-US"/>
        </w:rPr>
        <w:t>a given country</w:t>
      </w:r>
      <w:r w:rsidR="00072FD6">
        <w:rPr>
          <w:lang w:val="en-US"/>
        </w:rPr>
        <w:t>.</w:t>
      </w:r>
      <w:r w:rsidR="00C659E5">
        <w:rPr>
          <w:lang w:val="en-US"/>
        </w:rPr>
        <w:t xml:space="preserve"> </w:t>
      </w:r>
      <w:bookmarkStart w:id="4" w:name="_Toc528231609"/>
      <w:r w:rsidR="00C452BE" w:rsidRPr="004F74AF">
        <w:rPr>
          <w:lang w:val="en-US"/>
        </w:rPr>
        <w:t xml:space="preserve">Therefore, it is crucial to develop </w:t>
      </w:r>
      <w:r w:rsidR="00A36387">
        <w:rPr>
          <w:lang w:val="en-US"/>
        </w:rPr>
        <w:t>higher</w:t>
      </w:r>
      <w:r w:rsidR="00C452BE" w:rsidRPr="004F74AF">
        <w:rPr>
          <w:lang w:val="en-US"/>
        </w:rPr>
        <w:t xml:space="preserve">-level measures if we are to study </w:t>
      </w:r>
      <w:r w:rsidR="00DC0BC3">
        <w:rPr>
          <w:lang w:val="en-US"/>
        </w:rPr>
        <w:t>DC</w:t>
      </w:r>
      <w:r w:rsidR="00C452BE" w:rsidRPr="004F74AF">
        <w:rPr>
          <w:lang w:val="en-US"/>
        </w:rPr>
        <w:t>’s role at the organizational level.</w:t>
      </w:r>
      <w:r w:rsidR="00C452BE">
        <w:rPr>
          <w:lang w:val="en-US"/>
        </w:rPr>
        <w:t xml:space="preserve">  </w:t>
      </w:r>
    </w:p>
    <w:p w14:paraId="05094CD9" w14:textId="39855CB7" w:rsidR="00072FD6" w:rsidRPr="00072FD6" w:rsidRDefault="00072FD6" w:rsidP="00C50F56">
      <w:pPr>
        <w:spacing w:line="480" w:lineRule="auto"/>
        <w:jc w:val="both"/>
        <w:rPr>
          <w:lang w:val="en-US"/>
        </w:rPr>
      </w:pPr>
      <w:r w:rsidRPr="00072FD6">
        <w:rPr>
          <w:lang w:val="en-US"/>
        </w:rPr>
        <w:t xml:space="preserve">In the next section, we present the three-stage development and validation </w:t>
      </w:r>
      <w:r>
        <w:rPr>
          <w:lang w:val="en-US"/>
        </w:rPr>
        <w:t xml:space="preserve">of a new measure instrument echoing the new conceptualization of DC from </w:t>
      </w:r>
      <w:r w:rsidRPr="00736787">
        <w:rPr>
          <w:lang w:val="en-US"/>
        </w:rPr>
        <w:t xml:space="preserve">Cachat-Rosset et al. </w:t>
      </w:r>
      <w:r>
        <w:rPr>
          <w:lang w:val="en-US"/>
        </w:rPr>
        <w:t>(</w:t>
      </w:r>
      <w:r w:rsidRPr="00736787">
        <w:rPr>
          <w:lang w:val="en-US"/>
        </w:rPr>
        <w:t>2017)</w:t>
      </w:r>
      <w:r>
        <w:rPr>
          <w:lang w:val="en-US"/>
        </w:rPr>
        <w:t xml:space="preserve">, </w:t>
      </w:r>
      <w:r w:rsidR="00AB5619">
        <w:rPr>
          <w:lang w:val="en-US"/>
        </w:rPr>
        <w:t xml:space="preserve">aligned with its definition and </w:t>
      </w:r>
      <w:r>
        <w:rPr>
          <w:lang w:val="en-US"/>
        </w:rPr>
        <w:t xml:space="preserve">encompassing </w:t>
      </w:r>
      <w:r w:rsidR="00A36387">
        <w:rPr>
          <w:lang w:val="en-US"/>
        </w:rPr>
        <w:t>its</w:t>
      </w:r>
      <w:r>
        <w:rPr>
          <w:lang w:val="en-US"/>
        </w:rPr>
        <w:t xml:space="preserve"> three dimensions. </w:t>
      </w:r>
      <w:r w:rsidR="00C95A4A">
        <w:rPr>
          <w:lang w:val="en-US"/>
        </w:rPr>
        <w:t xml:space="preserve">While this promising conceptualization of DC </w:t>
      </w:r>
      <w:r w:rsidR="00C95A4A" w:rsidRPr="00C95A4A">
        <w:rPr>
          <w:lang w:val="en-US"/>
        </w:rPr>
        <w:t>integrates the latest conceptual advancements in DC research and addresses most of the limitations having been raised in current and past DC research,</w:t>
      </w:r>
      <w:r w:rsidR="00C95A4A">
        <w:rPr>
          <w:lang w:val="en-US"/>
        </w:rPr>
        <w:t xml:space="preserve"> it </w:t>
      </w:r>
      <w:r>
        <w:rPr>
          <w:lang w:val="en-US"/>
        </w:rPr>
        <w:t>remains to be empirically validated.</w:t>
      </w:r>
    </w:p>
    <w:p w14:paraId="53D5654C" w14:textId="77777777" w:rsidR="00C50F56" w:rsidRDefault="00C50F56" w:rsidP="00C50F56">
      <w:pPr>
        <w:spacing w:line="480" w:lineRule="auto"/>
        <w:jc w:val="both"/>
        <w:rPr>
          <w:color w:val="000000"/>
          <w:u w:val="single"/>
          <w:lang w:val="en-US"/>
        </w:rPr>
      </w:pPr>
    </w:p>
    <w:p w14:paraId="4A5A92B7" w14:textId="3C65E758" w:rsidR="0006370D" w:rsidRPr="00714946" w:rsidRDefault="0006370D" w:rsidP="00C50F56">
      <w:pPr>
        <w:spacing w:line="480" w:lineRule="auto"/>
        <w:jc w:val="center"/>
        <w:rPr>
          <w:color w:val="000000"/>
          <w:u w:val="single"/>
          <w:lang w:val="en-US"/>
        </w:rPr>
      </w:pPr>
      <w:r w:rsidRPr="002B1366">
        <w:rPr>
          <w:color w:val="000000"/>
          <w:u w:val="single"/>
          <w:lang w:val="en-US"/>
        </w:rPr>
        <w:lastRenderedPageBreak/>
        <w:t>INSTRUMENT DEVELOPMENT AND VALIDATION</w:t>
      </w:r>
    </w:p>
    <w:p w14:paraId="0FBB58F1" w14:textId="2864FBE2" w:rsidR="0006370D" w:rsidRDefault="0006370D" w:rsidP="0006370D">
      <w:pPr>
        <w:spacing w:line="480" w:lineRule="auto"/>
        <w:jc w:val="both"/>
        <w:rPr>
          <w:lang w:val="en-US"/>
        </w:rPr>
      </w:pPr>
      <w:r>
        <w:rPr>
          <w:lang w:val="en-US"/>
        </w:rPr>
        <w:t>R</w:t>
      </w:r>
      <w:r w:rsidRPr="0055025D">
        <w:rPr>
          <w:lang w:val="en-US"/>
        </w:rPr>
        <w:t>elying upon multiple sources and methods is recommended</w:t>
      </w:r>
      <w:r>
        <w:rPr>
          <w:lang w:val="en-US"/>
        </w:rPr>
        <w:t xml:space="preserve"> </w:t>
      </w:r>
      <w:r w:rsidRPr="0055025D">
        <w:rPr>
          <w:lang w:val="en-US"/>
        </w:rPr>
        <w:t>when developing measurement instruments (</w:t>
      </w:r>
      <w:r w:rsidR="00AF7BD2" w:rsidRPr="0055025D">
        <w:rPr>
          <w:lang w:val="en-US"/>
        </w:rPr>
        <w:t>MacKenzie et al., 2011</w:t>
      </w:r>
      <w:r w:rsidR="00AF7BD2">
        <w:rPr>
          <w:lang w:val="en-US"/>
        </w:rPr>
        <w:t xml:space="preserve">; </w:t>
      </w:r>
      <w:r w:rsidRPr="0055025D">
        <w:rPr>
          <w:lang w:val="en-US"/>
        </w:rPr>
        <w:t xml:space="preserve">Moore and Benbasat, 1991). </w:t>
      </w:r>
      <w:r>
        <w:rPr>
          <w:lang w:val="en-US"/>
        </w:rPr>
        <w:t>B</w:t>
      </w:r>
      <w:r w:rsidRPr="0055025D">
        <w:rPr>
          <w:lang w:val="en-US"/>
        </w:rPr>
        <w:t xml:space="preserve">est practices and recommendations were </w:t>
      </w:r>
      <w:r>
        <w:rPr>
          <w:lang w:val="en-US"/>
        </w:rPr>
        <w:t>reviewed</w:t>
      </w:r>
      <w:r w:rsidRPr="0055025D">
        <w:rPr>
          <w:lang w:val="en-US"/>
        </w:rPr>
        <w:t xml:space="preserve"> with the aim of generating a </w:t>
      </w:r>
      <w:r>
        <w:rPr>
          <w:lang w:val="en-US"/>
        </w:rPr>
        <w:t xml:space="preserve">highly </w:t>
      </w:r>
      <w:r w:rsidRPr="0055025D">
        <w:rPr>
          <w:lang w:val="en-US"/>
        </w:rPr>
        <w:t>valid and reliable measurement instrument (</w:t>
      </w:r>
      <w:r w:rsidR="00AF7BD2" w:rsidRPr="0055025D">
        <w:rPr>
          <w:lang w:val="en-US"/>
        </w:rPr>
        <w:t xml:space="preserve">Churchill, 1979; </w:t>
      </w:r>
      <w:r w:rsidRPr="0055025D">
        <w:rPr>
          <w:lang w:val="en-US"/>
        </w:rPr>
        <w:t xml:space="preserve">MacKenzie et al., 2011; </w:t>
      </w:r>
      <w:r w:rsidR="00AF7BD2" w:rsidRPr="0055025D">
        <w:rPr>
          <w:lang w:val="en-US"/>
        </w:rPr>
        <w:t>Moore and Benbasat, 1991</w:t>
      </w:r>
      <w:r w:rsidRPr="0055025D">
        <w:rPr>
          <w:lang w:val="en-US"/>
        </w:rPr>
        <w:t>)</w:t>
      </w:r>
      <w:r>
        <w:rPr>
          <w:lang w:val="en-US"/>
        </w:rPr>
        <w:t xml:space="preserve">, resulting in the implementation of a rigorous </w:t>
      </w:r>
      <w:r w:rsidRPr="0055025D">
        <w:rPr>
          <w:lang w:val="en-US"/>
        </w:rPr>
        <w:t xml:space="preserve">multi-stage development strategy. </w:t>
      </w:r>
      <w:r>
        <w:rPr>
          <w:lang w:val="en-US"/>
        </w:rPr>
        <w:t>The first</w:t>
      </w:r>
      <w:r w:rsidR="00736787">
        <w:rPr>
          <w:lang w:val="en-US"/>
        </w:rPr>
        <w:t xml:space="preserve"> stage</w:t>
      </w:r>
      <w:r>
        <w:rPr>
          <w:lang w:val="en-US"/>
        </w:rPr>
        <w:t xml:space="preserve"> consisted in generating an initial pool of items and purifying it </w:t>
      </w:r>
      <w:r w:rsidR="00F75968">
        <w:rPr>
          <w:lang w:val="en-US"/>
        </w:rPr>
        <w:t>(Stage 1)</w:t>
      </w:r>
      <w:r>
        <w:rPr>
          <w:lang w:val="en-US"/>
        </w:rPr>
        <w:t>. Since</w:t>
      </w:r>
      <w:r w:rsidRPr="00A57B1F">
        <w:rPr>
          <w:lang w:val="en-US"/>
        </w:rPr>
        <w:t xml:space="preserve"> </w:t>
      </w:r>
      <w:r>
        <w:rPr>
          <w:lang w:val="en-US"/>
        </w:rPr>
        <w:t>DC</w:t>
      </w:r>
      <w:r w:rsidRPr="00A57B1F">
        <w:rPr>
          <w:lang w:val="en-US"/>
        </w:rPr>
        <w:t xml:space="preserve"> is </w:t>
      </w:r>
      <w:r>
        <w:rPr>
          <w:lang w:val="en-US"/>
        </w:rPr>
        <w:t>a specific instance of</w:t>
      </w:r>
      <w:r w:rsidRPr="00A57B1F">
        <w:rPr>
          <w:lang w:val="en-US"/>
        </w:rPr>
        <w:t xml:space="preserve"> organizational climate, </w:t>
      </w:r>
      <w:r>
        <w:rPr>
          <w:lang w:val="en-US"/>
        </w:rPr>
        <w:t>it must thus be considered as</w:t>
      </w:r>
      <w:r w:rsidRPr="00A57B1F">
        <w:rPr>
          <w:lang w:val="en-US"/>
        </w:rPr>
        <w:t xml:space="preserve"> a perceptual construct </w:t>
      </w:r>
      <w:r>
        <w:rPr>
          <w:lang w:val="en-US"/>
        </w:rPr>
        <w:t xml:space="preserve">whose </w:t>
      </w:r>
      <w:r w:rsidRPr="009858F0">
        <w:rPr>
          <w:lang w:val="en-US"/>
        </w:rPr>
        <w:t xml:space="preserve">locus of </w:t>
      </w:r>
      <w:r>
        <w:rPr>
          <w:lang w:val="en-US"/>
        </w:rPr>
        <w:t xml:space="preserve">assessment is the individual </w:t>
      </w:r>
      <w:r w:rsidRPr="009858F0">
        <w:rPr>
          <w:lang w:val="en-US"/>
        </w:rPr>
        <w:t>perception</w:t>
      </w:r>
      <w:r>
        <w:rPr>
          <w:lang w:val="en-US"/>
        </w:rPr>
        <w:t>. Such perceptions must then be aggregated in order to capture the higher-level construct under consideration</w:t>
      </w:r>
      <w:r w:rsidR="00F75968">
        <w:rPr>
          <w:lang w:val="en-US"/>
        </w:rPr>
        <w:t>.</w:t>
      </w:r>
      <w:r>
        <w:rPr>
          <w:lang w:val="en-US"/>
        </w:rPr>
        <w:t xml:space="preserve"> Consequently, </w:t>
      </w:r>
      <w:r w:rsidR="00F75968">
        <w:rPr>
          <w:lang w:val="en-US"/>
        </w:rPr>
        <w:t>we</w:t>
      </w:r>
      <w:r>
        <w:rPr>
          <w:lang w:val="en-US"/>
        </w:rPr>
        <w:t xml:space="preserve"> first validate</w:t>
      </w:r>
      <w:r w:rsidR="00F75968">
        <w:rPr>
          <w:lang w:val="en-US"/>
        </w:rPr>
        <w:t>d</w:t>
      </w:r>
      <w:r>
        <w:rPr>
          <w:lang w:val="en-US"/>
        </w:rPr>
        <w:t xml:space="preserve"> the developed instrument at the individual level </w:t>
      </w:r>
      <w:r w:rsidR="00F75968">
        <w:rPr>
          <w:lang w:val="en-US"/>
        </w:rPr>
        <w:t xml:space="preserve">(Stage 2) </w:t>
      </w:r>
      <w:r>
        <w:rPr>
          <w:lang w:val="en-US"/>
        </w:rPr>
        <w:t xml:space="preserve">and then </w:t>
      </w:r>
      <w:r w:rsidR="00F75968">
        <w:rPr>
          <w:lang w:val="en-US"/>
        </w:rPr>
        <w:t>extended</w:t>
      </w:r>
      <w:r>
        <w:rPr>
          <w:lang w:val="en-US"/>
        </w:rPr>
        <w:t xml:space="preserve"> its validation to the aggregate level</w:t>
      </w:r>
      <w:r w:rsidR="00F75968">
        <w:rPr>
          <w:lang w:val="en-US"/>
        </w:rPr>
        <w:t xml:space="preserve"> after considering the degree of consensus between respondents to justify the aggregation (Stage 3)</w:t>
      </w:r>
      <w:r>
        <w:rPr>
          <w:lang w:val="en-US"/>
        </w:rPr>
        <w:t xml:space="preserve">. The final validation step addressed nomological validity, assessing the impact of DC on perceptions of </w:t>
      </w:r>
      <w:r w:rsidR="00484D1A">
        <w:rPr>
          <w:lang w:val="en-US"/>
        </w:rPr>
        <w:t>SI</w:t>
      </w:r>
      <w:r>
        <w:rPr>
          <w:lang w:val="en-US"/>
        </w:rPr>
        <w:t xml:space="preserve">. </w:t>
      </w:r>
      <w:r w:rsidRPr="0055025D">
        <w:rPr>
          <w:lang w:val="en-US"/>
        </w:rPr>
        <w:t xml:space="preserve">Table </w:t>
      </w:r>
      <w:r w:rsidR="006C5ABE">
        <w:rPr>
          <w:lang w:val="en-US"/>
        </w:rPr>
        <w:t>II</w:t>
      </w:r>
      <w:r>
        <w:rPr>
          <w:lang w:val="en-US"/>
        </w:rPr>
        <w:t>I</w:t>
      </w:r>
      <w:r w:rsidRPr="0055025D">
        <w:rPr>
          <w:lang w:val="en-US"/>
        </w:rPr>
        <w:t xml:space="preserve"> summarizes the successive steps </w:t>
      </w:r>
      <w:r>
        <w:rPr>
          <w:lang w:val="en-US"/>
        </w:rPr>
        <w:t>that were implemented.</w:t>
      </w:r>
    </w:p>
    <w:p w14:paraId="10B9114B" w14:textId="77777777" w:rsidR="00483EC1" w:rsidRPr="00A643FC" w:rsidRDefault="00483EC1" w:rsidP="00483EC1">
      <w:pPr>
        <w:spacing w:line="480" w:lineRule="auto"/>
        <w:jc w:val="center"/>
        <w:rPr>
          <w:lang w:val="en-US"/>
        </w:rPr>
      </w:pPr>
      <w:r w:rsidRPr="00A643FC">
        <w:rPr>
          <w:lang w:val="en-US"/>
        </w:rPr>
        <w:t>-------------------------------------------</w:t>
      </w:r>
    </w:p>
    <w:p w14:paraId="26D92332" w14:textId="441153F2" w:rsidR="00483EC1" w:rsidRPr="00A643FC" w:rsidRDefault="00483EC1" w:rsidP="00483EC1">
      <w:pPr>
        <w:spacing w:line="480" w:lineRule="auto"/>
        <w:jc w:val="center"/>
        <w:rPr>
          <w:lang w:val="en-US"/>
        </w:rPr>
      </w:pPr>
      <w:r w:rsidRPr="00A643FC">
        <w:rPr>
          <w:lang w:val="en-US"/>
        </w:rPr>
        <w:t>INSERT TABLE I</w:t>
      </w:r>
      <w:r w:rsidR="00CB4BB9">
        <w:rPr>
          <w:lang w:val="en-US"/>
        </w:rPr>
        <w:t>V</w:t>
      </w:r>
      <w:r w:rsidRPr="00A643FC">
        <w:rPr>
          <w:lang w:val="en-US"/>
        </w:rPr>
        <w:t xml:space="preserve"> ABOUT HERE</w:t>
      </w:r>
    </w:p>
    <w:p w14:paraId="7327EA6F" w14:textId="77777777" w:rsidR="00483EC1" w:rsidRDefault="00483EC1" w:rsidP="00483EC1">
      <w:pPr>
        <w:spacing w:line="480" w:lineRule="auto"/>
        <w:jc w:val="center"/>
        <w:rPr>
          <w:lang w:val="en-US"/>
        </w:rPr>
      </w:pPr>
      <w:r w:rsidRPr="00A643FC">
        <w:rPr>
          <w:lang w:val="en-US"/>
        </w:rPr>
        <w:t>-------------------------------------------</w:t>
      </w:r>
    </w:p>
    <w:p w14:paraId="249AEDD1" w14:textId="77777777" w:rsidR="0006370D" w:rsidRPr="00D41B01" w:rsidRDefault="0006370D" w:rsidP="0006370D">
      <w:pPr>
        <w:pStyle w:val="Titre2"/>
      </w:pPr>
      <w:bookmarkStart w:id="5" w:name="_Toc528231596"/>
      <w:r w:rsidRPr="00D41B01">
        <w:t xml:space="preserve">Stage 1: </w:t>
      </w:r>
      <w:bookmarkEnd w:id="5"/>
      <w:r w:rsidRPr="00D41B01">
        <w:t xml:space="preserve">Scale development  </w:t>
      </w:r>
    </w:p>
    <w:p w14:paraId="66A24284" w14:textId="70A1431D" w:rsidR="0006370D" w:rsidRDefault="0006370D" w:rsidP="0006370D">
      <w:pPr>
        <w:spacing w:line="480" w:lineRule="auto"/>
        <w:jc w:val="both"/>
        <w:rPr>
          <w:lang w:val="en-GB" w:eastAsia="en-GB"/>
        </w:rPr>
      </w:pPr>
      <w:r w:rsidRPr="00714946">
        <w:rPr>
          <w:lang w:val="en-GB" w:eastAsia="en-GB"/>
        </w:rPr>
        <w:t>Prior to the development of an initial pool of items, it was essential to clearly determine the nature and dimensionality of the DC construct. Th</w:t>
      </w:r>
      <w:r w:rsidRPr="00CF3E42">
        <w:rPr>
          <w:lang w:val="en-GB" w:eastAsia="en-GB"/>
        </w:rPr>
        <w:t xml:space="preserve">e item generation stage started with the generation of an initial pool of candidate items derived from an extensive review of the literature. Then, a card sorting procedure was used with the purpose of identifying the items exhibiting suitable content validity and deleting problematic ones. </w:t>
      </w:r>
      <w:r w:rsidRPr="00714946">
        <w:rPr>
          <w:lang w:val="en-GB" w:eastAsia="en-GB"/>
        </w:rPr>
        <w:t>Finally</w:t>
      </w:r>
      <w:r w:rsidRPr="00CF3E42">
        <w:rPr>
          <w:lang w:val="en-GB" w:eastAsia="en-GB"/>
        </w:rPr>
        <w:t xml:space="preserve">, the outcome of the </w:t>
      </w:r>
      <w:r w:rsidRPr="00CF3E42">
        <w:rPr>
          <w:lang w:val="en-GB" w:eastAsia="en-GB"/>
        </w:rPr>
        <w:lastRenderedPageBreak/>
        <w:t>item selection stage was reviewed by an expert panel to assess and reinforce its content and discriminant validity.</w:t>
      </w:r>
    </w:p>
    <w:p w14:paraId="79DEA8C0" w14:textId="77777777" w:rsidR="0006370D" w:rsidRDefault="0006370D" w:rsidP="0006370D">
      <w:pPr>
        <w:pStyle w:val="Titre3"/>
        <w:spacing w:line="480" w:lineRule="auto"/>
      </w:pPr>
      <w:r w:rsidRPr="00714946">
        <w:t>C</w:t>
      </w:r>
      <w:r w:rsidRPr="002B1366">
        <w:t xml:space="preserve">omposition model </w:t>
      </w:r>
      <w:r w:rsidRPr="00714946">
        <w:t>and dimensionality</w:t>
      </w:r>
    </w:p>
    <w:p w14:paraId="682340C0" w14:textId="010780B2" w:rsidR="0006370D" w:rsidRPr="0074472A" w:rsidRDefault="0006370D" w:rsidP="0006370D">
      <w:pPr>
        <w:spacing w:line="480" w:lineRule="auto"/>
        <w:jc w:val="both"/>
        <w:rPr>
          <w:lang w:val="en-US"/>
        </w:rPr>
      </w:pPr>
      <w:r>
        <w:rPr>
          <w:lang w:val="en-US"/>
        </w:rPr>
        <w:t xml:space="preserve">As previously underscored by Chrobot-Mason and Aramovich (2013), McKay and Avery (2015), Dwertmann et al. (2016), Cachat-Rosset et al. (2017), DC remains poorly defined as a higher-order multidimensional construct. The nature of the relationships between the DC concept and its dimensions must be further investigated. Law et al. (1998) clarified the different natures of second-order constructs: some are </w:t>
      </w:r>
      <w:r w:rsidRPr="000809B1">
        <w:rPr>
          <w:i/>
          <w:lang w:val="en-US"/>
        </w:rPr>
        <w:t>superordi</w:t>
      </w:r>
      <w:r>
        <w:rPr>
          <w:i/>
          <w:lang w:val="en-US"/>
        </w:rPr>
        <w:t>na</w:t>
      </w:r>
      <w:r w:rsidRPr="000809B1">
        <w:rPr>
          <w:i/>
          <w:lang w:val="en-US"/>
        </w:rPr>
        <w:t>te models</w:t>
      </w:r>
      <w:r>
        <w:rPr>
          <w:lang w:val="en-US"/>
        </w:rPr>
        <w:t xml:space="preserve">, </w:t>
      </w:r>
      <w:r w:rsidRPr="008E10C7">
        <w:rPr>
          <w:lang w:val="en-US"/>
        </w:rPr>
        <w:t xml:space="preserve">where latent variables represent a higher abstraction of the </w:t>
      </w:r>
      <w:r>
        <w:rPr>
          <w:lang w:val="en-US"/>
        </w:rPr>
        <w:t xml:space="preserve">reflective </w:t>
      </w:r>
      <w:r w:rsidRPr="008E10C7">
        <w:rPr>
          <w:lang w:val="en-US"/>
        </w:rPr>
        <w:t xml:space="preserve">sub-dimensions manifested through </w:t>
      </w:r>
      <w:r w:rsidRPr="00714946">
        <w:rPr>
          <w:lang w:val="en-US"/>
        </w:rPr>
        <w:t>them</w:t>
      </w:r>
      <w:r w:rsidRPr="008E10C7">
        <w:rPr>
          <w:lang w:val="en-US"/>
        </w:rPr>
        <w:t xml:space="preserve">, and some are </w:t>
      </w:r>
      <w:r w:rsidRPr="008E10C7">
        <w:rPr>
          <w:i/>
          <w:lang w:val="en-US"/>
        </w:rPr>
        <w:t>aggregate</w:t>
      </w:r>
      <w:r w:rsidRPr="008E10C7">
        <w:rPr>
          <w:lang w:val="en-US"/>
        </w:rPr>
        <w:t xml:space="preserve"> or </w:t>
      </w:r>
      <w:r w:rsidRPr="008E10C7">
        <w:rPr>
          <w:i/>
          <w:lang w:val="en-US"/>
        </w:rPr>
        <w:t>profile models</w:t>
      </w:r>
      <w:r w:rsidRPr="008E10C7">
        <w:rPr>
          <w:lang w:val="en-US"/>
        </w:rPr>
        <w:t xml:space="preserve">, where variables are a </w:t>
      </w:r>
      <w:r>
        <w:rPr>
          <w:lang w:val="en-US"/>
        </w:rPr>
        <w:t>composite</w:t>
      </w:r>
      <w:r w:rsidRPr="008E10C7">
        <w:rPr>
          <w:lang w:val="en-US"/>
        </w:rPr>
        <w:t xml:space="preserve"> of the formative dimensions that compose it.</w:t>
      </w:r>
      <w:r>
        <w:rPr>
          <w:lang w:val="en-US"/>
        </w:rPr>
        <w:t xml:space="preserve"> We consider DC as a superordinate model. This means that </w:t>
      </w:r>
      <w:r w:rsidRPr="0074472A">
        <w:rPr>
          <w:lang w:val="en-US"/>
        </w:rPr>
        <w:t xml:space="preserve">intentionality, programming and praxis capture people’s perception of the organizational DC and </w:t>
      </w:r>
      <w:r w:rsidRPr="00714946">
        <w:rPr>
          <w:lang w:val="en-US"/>
        </w:rPr>
        <w:t>that DC represents the shared variance of its three dimensions.</w:t>
      </w:r>
      <w:r w:rsidRPr="0074472A">
        <w:rPr>
          <w:lang w:val="en-US"/>
        </w:rPr>
        <w:t xml:space="preserve"> In other words, intentionality, programming and praxis are each one a manifestation of the organizational DC perceptible by organizational incumbents. </w:t>
      </w:r>
    </w:p>
    <w:p w14:paraId="2B77FCE3" w14:textId="7EAA03A2" w:rsidR="0006370D" w:rsidRDefault="0006370D" w:rsidP="0006370D">
      <w:pPr>
        <w:spacing w:line="480" w:lineRule="auto"/>
        <w:jc w:val="both"/>
        <w:rPr>
          <w:lang w:val="en-US"/>
        </w:rPr>
      </w:pPr>
      <w:r w:rsidRPr="0074472A">
        <w:rPr>
          <w:lang w:val="en-US"/>
        </w:rPr>
        <w:t>Second, as regards a higher-level concept</w:t>
      </w:r>
      <w:r>
        <w:rPr>
          <w:lang w:val="en-US"/>
        </w:rPr>
        <w:t xml:space="preserve">, it is necessary to define its composition model prior to conduct scale development and test hypotheses. Composition models allow to specify the relationships between constructs at different levels of analysis, to identify the locus of data collection and the aggregate nature of constructs (Chan, 1998). DC is portrayed in this study as a </w:t>
      </w:r>
      <w:r w:rsidRPr="00B06888">
        <w:rPr>
          <w:i/>
          <w:lang w:val="en-US"/>
        </w:rPr>
        <w:t>referent-shift consensus model</w:t>
      </w:r>
      <w:r>
        <w:rPr>
          <w:lang w:val="en-US"/>
        </w:rPr>
        <w:t xml:space="preserve"> according to the Chan’s typology. This means that people perceptions examined (the locus of data collection) must address a collective level in their assessment (the group, the organization) to form a higher-level manifestation of the construct when aggregated. Within-group agreement is a necessary condition for justifying aggregation of individual perceptions (</w:t>
      </w:r>
      <w:r w:rsidR="00AF7BD2">
        <w:rPr>
          <w:lang w:val="en-US"/>
        </w:rPr>
        <w:t xml:space="preserve">Chan, 1998; </w:t>
      </w:r>
      <w:r>
        <w:rPr>
          <w:lang w:val="en-US"/>
        </w:rPr>
        <w:t xml:space="preserve">Glick, 1985). </w:t>
      </w:r>
    </w:p>
    <w:p w14:paraId="352D62F6" w14:textId="5753C85F" w:rsidR="0006370D" w:rsidRDefault="0006370D" w:rsidP="0006370D">
      <w:pPr>
        <w:spacing w:line="480" w:lineRule="auto"/>
        <w:jc w:val="both"/>
        <w:rPr>
          <w:lang w:val="en-US"/>
        </w:rPr>
      </w:pPr>
      <w:r>
        <w:rPr>
          <w:lang w:val="en-US"/>
        </w:rPr>
        <w:lastRenderedPageBreak/>
        <w:t>Following these assumptions, the aggregate level under consideration when investigating DC is a key point to be addressed. In th</w:t>
      </w:r>
      <w:r w:rsidR="00905286">
        <w:rPr>
          <w:lang w:val="en-US"/>
        </w:rPr>
        <w:t xml:space="preserve">is study, we focus on the </w:t>
      </w:r>
      <w:r w:rsidR="00D20EF6">
        <w:rPr>
          <w:lang w:val="en-US"/>
        </w:rPr>
        <w:t xml:space="preserve">unit-level, </w:t>
      </w:r>
      <w:r>
        <w:rPr>
          <w:lang w:val="en-US"/>
        </w:rPr>
        <w:t xml:space="preserve">for aggregate-level manifestation of DC (Beus et al., 2017). </w:t>
      </w:r>
      <w:r w:rsidR="00D20EF6">
        <w:rPr>
          <w:lang w:val="en-US"/>
        </w:rPr>
        <w:t xml:space="preserve">Measuring perceived </w:t>
      </w:r>
      <w:r w:rsidR="00DC0BC3">
        <w:rPr>
          <w:lang w:val="en-US"/>
        </w:rPr>
        <w:t>DC</w:t>
      </w:r>
      <w:r w:rsidR="00D20EF6">
        <w:rPr>
          <w:lang w:val="en-US"/>
        </w:rPr>
        <w:t xml:space="preserve"> at the unit-level is relevant since it is people’s immediate work environment (Chung et al., 2019) and they are exposed to the same organizational intention and programs, but may vary in their experience of their implementation, so they are supposed to be able to assess both the pro-diversity organizational features and proximal practices.</w:t>
      </w:r>
    </w:p>
    <w:p w14:paraId="293A50AF" w14:textId="77777777" w:rsidR="0006370D" w:rsidRPr="00714946" w:rsidRDefault="0006370D" w:rsidP="0006370D">
      <w:pPr>
        <w:pStyle w:val="Titre3"/>
        <w:spacing w:line="480" w:lineRule="auto"/>
      </w:pPr>
      <w:bookmarkStart w:id="6" w:name="_Toc528231597"/>
      <w:r w:rsidRPr="00714946">
        <w:t>Item pool</w:t>
      </w:r>
      <w:bookmarkEnd w:id="6"/>
      <w:r w:rsidRPr="00714946">
        <w:t xml:space="preserve"> generation</w:t>
      </w:r>
    </w:p>
    <w:p w14:paraId="3D3610D5" w14:textId="6E287B2E" w:rsidR="0006370D" w:rsidRPr="0055025D" w:rsidRDefault="0006370D" w:rsidP="001B1F7E">
      <w:pPr>
        <w:spacing w:before="240" w:line="480" w:lineRule="auto"/>
        <w:jc w:val="both"/>
        <w:rPr>
          <w:b/>
          <w:lang w:val="en-US"/>
        </w:rPr>
      </w:pPr>
      <w:r w:rsidRPr="0055025D">
        <w:rPr>
          <w:lang w:val="en-US"/>
        </w:rPr>
        <w:t>The purpose of th</w:t>
      </w:r>
      <w:r>
        <w:rPr>
          <w:lang w:val="en-US"/>
        </w:rPr>
        <w:t xml:space="preserve">is step was to generate a </w:t>
      </w:r>
      <w:r w:rsidRPr="0055025D">
        <w:rPr>
          <w:lang w:val="en-US"/>
        </w:rPr>
        <w:t>pool</w:t>
      </w:r>
      <w:r>
        <w:rPr>
          <w:lang w:val="en-US"/>
        </w:rPr>
        <w:t xml:space="preserve"> of items</w:t>
      </w:r>
      <w:r w:rsidRPr="0055025D">
        <w:rPr>
          <w:lang w:val="en-US"/>
        </w:rPr>
        <w:t xml:space="preserve"> with high content validity. </w:t>
      </w:r>
      <w:r>
        <w:rPr>
          <w:lang w:val="en-US"/>
        </w:rPr>
        <w:t>A systematic review of the DC literature resulted in the identification of an initial pool of 3</w:t>
      </w:r>
      <w:r w:rsidR="00DC7E33">
        <w:rPr>
          <w:lang w:val="en-US"/>
        </w:rPr>
        <w:t>4</w:t>
      </w:r>
      <w:r w:rsidRPr="00224D82">
        <w:rPr>
          <w:lang w:val="en-US"/>
        </w:rPr>
        <w:t xml:space="preserve"> </w:t>
      </w:r>
      <w:r w:rsidR="00DC7E33">
        <w:rPr>
          <w:lang w:val="en-US"/>
        </w:rPr>
        <w:t xml:space="preserve">empirical </w:t>
      </w:r>
      <w:r w:rsidR="00A800B0">
        <w:rPr>
          <w:lang w:val="en-US"/>
        </w:rPr>
        <w:t xml:space="preserve">academic </w:t>
      </w:r>
      <w:r w:rsidR="00097556">
        <w:rPr>
          <w:lang w:val="en-US"/>
        </w:rPr>
        <w:t>articles published between 1993 and 2016,</w:t>
      </w:r>
      <w:r w:rsidR="001B1F7E">
        <w:rPr>
          <w:lang w:val="en-US"/>
        </w:rPr>
        <w:t xml:space="preserve"> thanks to the two key words </w:t>
      </w:r>
      <w:r w:rsidR="001B1F7E" w:rsidRPr="001B1F7E">
        <w:rPr>
          <w:lang w:val="en-US"/>
        </w:rPr>
        <w:t>‘diversity climate’ and</w:t>
      </w:r>
      <w:r w:rsidR="001B1F7E">
        <w:rPr>
          <w:lang w:val="en-US"/>
        </w:rPr>
        <w:t xml:space="preserve"> </w:t>
      </w:r>
      <w:r w:rsidR="001B1F7E" w:rsidRPr="001B1F7E">
        <w:rPr>
          <w:lang w:val="en-US"/>
        </w:rPr>
        <w:t>‘climate for diversity’</w:t>
      </w:r>
      <w:r w:rsidRPr="00224D82">
        <w:rPr>
          <w:lang w:val="en-US"/>
        </w:rPr>
        <w:t>.</w:t>
      </w:r>
      <w:r w:rsidRPr="0055025D">
        <w:rPr>
          <w:lang w:val="en-US"/>
        </w:rPr>
        <w:t xml:space="preserve"> Within the identified scales, 7 articles had reused existing scales without changes, 11 had adapted previously used scales,</w:t>
      </w:r>
      <w:r w:rsidRPr="0055025D">
        <w:rPr>
          <w:color w:val="FF0000"/>
          <w:lang w:val="en-US"/>
        </w:rPr>
        <w:t xml:space="preserve"> </w:t>
      </w:r>
      <w:r>
        <w:rPr>
          <w:lang w:val="en-US"/>
        </w:rPr>
        <w:t>and</w:t>
      </w:r>
      <w:r w:rsidRPr="0055025D">
        <w:rPr>
          <w:lang w:val="en-US"/>
        </w:rPr>
        <w:t xml:space="preserve"> 16 had</w:t>
      </w:r>
      <w:r>
        <w:rPr>
          <w:lang w:val="en-US"/>
        </w:rPr>
        <w:t xml:space="preserve"> proposed and developed new</w:t>
      </w:r>
      <w:r w:rsidRPr="0055025D">
        <w:rPr>
          <w:lang w:val="en-US"/>
        </w:rPr>
        <w:t xml:space="preserve"> scales. The process resulted in the generation of a pool of </w:t>
      </w:r>
      <w:r w:rsidRPr="004720BE">
        <w:rPr>
          <w:lang w:val="en-US"/>
        </w:rPr>
        <w:t>114</w:t>
      </w:r>
      <w:r w:rsidRPr="0055025D">
        <w:rPr>
          <w:lang w:val="en-US"/>
        </w:rPr>
        <w:t xml:space="preserve"> distinct items.</w:t>
      </w:r>
    </w:p>
    <w:p w14:paraId="5E308B40" w14:textId="77777777" w:rsidR="0006370D" w:rsidRPr="004A40ED" w:rsidRDefault="0006370D" w:rsidP="0006370D">
      <w:pPr>
        <w:pStyle w:val="Titre3"/>
        <w:spacing w:line="480" w:lineRule="auto"/>
      </w:pPr>
      <w:bookmarkStart w:id="7" w:name="_Toc528231598"/>
      <w:bookmarkStart w:id="8" w:name="_Hlk516949248"/>
      <w:r w:rsidRPr="004A40ED">
        <w:t>Item selection</w:t>
      </w:r>
      <w:bookmarkEnd w:id="7"/>
    </w:p>
    <w:bookmarkEnd w:id="8"/>
    <w:p w14:paraId="075B0838" w14:textId="11CC5B15" w:rsidR="0006370D" w:rsidRPr="0055025D" w:rsidRDefault="0006370D" w:rsidP="0006370D">
      <w:pPr>
        <w:spacing w:before="240" w:line="480" w:lineRule="auto"/>
        <w:jc w:val="both"/>
        <w:rPr>
          <w:lang w:val="en-US"/>
        </w:rPr>
      </w:pPr>
      <w:r>
        <w:rPr>
          <w:lang w:val="en-US"/>
        </w:rPr>
        <w:t>This stage aimed at</w:t>
      </w:r>
      <w:r w:rsidRPr="0055025D">
        <w:rPr>
          <w:lang w:val="en-US"/>
        </w:rPr>
        <w:t xml:space="preserve"> reduc</w:t>
      </w:r>
      <w:r>
        <w:rPr>
          <w:lang w:val="en-US"/>
        </w:rPr>
        <w:t>ing</w:t>
      </w:r>
      <w:r w:rsidRPr="0055025D">
        <w:rPr>
          <w:lang w:val="en-US"/>
        </w:rPr>
        <w:t xml:space="preserve"> the size of </w:t>
      </w:r>
      <w:r>
        <w:rPr>
          <w:lang w:val="en-US"/>
        </w:rPr>
        <w:t>the item pool by</w:t>
      </w:r>
      <w:r w:rsidRPr="0055025D">
        <w:rPr>
          <w:lang w:val="en-US"/>
        </w:rPr>
        <w:t xml:space="preserve"> </w:t>
      </w:r>
      <w:r>
        <w:rPr>
          <w:lang w:val="en-US"/>
        </w:rPr>
        <w:t xml:space="preserve">only </w:t>
      </w:r>
      <w:r w:rsidRPr="0055025D">
        <w:rPr>
          <w:lang w:val="en-US"/>
        </w:rPr>
        <w:t xml:space="preserve">retaining </w:t>
      </w:r>
      <w:r>
        <w:rPr>
          <w:lang w:val="en-US"/>
        </w:rPr>
        <w:t>the most relevant ones</w:t>
      </w:r>
      <w:r w:rsidRPr="0055025D">
        <w:rPr>
          <w:lang w:val="en-US"/>
        </w:rPr>
        <w:t xml:space="preserve">. </w:t>
      </w:r>
      <w:r>
        <w:rPr>
          <w:lang w:val="en-US"/>
        </w:rPr>
        <w:t>A</w:t>
      </w:r>
      <w:r w:rsidRPr="0055025D">
        <w:rPr>
          <w:lang w:val="en-US"/>
        </w:rPr>
        <w:t xml:space="preserve"> preliminary convergent and discriminant validity assessment was conducted through two rounds of </w:t>
      </w:r>
      <w:r>
        <w:rPr>
          <w:lang w:val="en-US"/>
        </w:rPr>
        <w:t xml:space="preserve">a </w:t>
      </w:r>
      <w:bookmarkStart w:id="9" w:name="_Hlk516949408"/>
      <w:r w:rsidRPr="0055025D">
        <w:rPr>
          <w:lang w:val="en-US"/>
        </w:rPr>
        <w:t>card sorting proce</w:t>
      </w:r>
      <w:bookmarkEnd w:id="9"/>
      <w:r>
        <w:rPr>
          <w:lang w:val="en-US"/>
        </w:rPr>
        <w:t>dure, an</w:t>
      </w:r>
      <w:r w:rsidRPr="0055025D">
        <w:rPr>
          <w:lang w:val="en-US"/>
        </w:rPr>
        <w:t xml:space="preserve"> ‘open’</w:t>
      </w:r>
      <w:r>
        <w:rPr>
          <w:lang w:val="en-US"/>
        </w:rPr>
        <w:t xml:space="preserve"> one and a</w:t>
      </w:r>
      <w:r w:rsidRPr="0055025D">
        <w:rPr>
          <w:lang w:val="en-US"/>
        </w:rPr>
        <w:t xml:space="preserve"> ‘closed’</w:t>
      </w:r>
      <w:r>
        <w:rPr>
          <w:lang w:val="en-US"/>
        </w:rPr>
        <w:t xml:space="preserve"> one</w:t>
      </w:r>
      <w:r w:rsidRPr="0055025D">
        <w:rPr>
          <w:color w:val="FF0000"/>
          <w:lang w:val="en-US"/>
        </w:rPr>
        <w:t xml:space="preserve"> </w:t>
      </w:r>
      <w:r w:rsidRPr="0055025D">
        <w:rPr>
          <w:lang w:val="en-US"/>
        </w:rPr>
        <w:t xml:space="preserve">(Moore and Benbasat, 1991).  </w:t>
      </w:r>
      <w:r>
        <w:rPr>
          <w:lang w:val="en-US"/>
        </w:rPr>
        <w:t xml:space="preserve">For the closed procedure </w:t>
      </w:r>
      <w:r w:rsidRPr="0055025D">
        <w:rPr>
          <w:lang w:val="en-US"/>
        </w:rPr>
        <w:t>(Anderson and Gerbing, 1991)</w:t>
      </w:r>
      <w:r>
        <w:rPr>
          <w:lang w:val="en-US"/>
        </w:rPr>
        <w:t xml:space="preserve">, </w:t>
      </w:r>
      <w:r w:rsidR="00D301A5">
        <w:rPr>
          <w:lang w:val="en-US"/>
        </w:rPr>
        <w:t>three scholars experienced in the diversity field</w:t>
      </w:r>
      <w:r w:rsidR="00D301A5" w:rsidRPr="0055025D">
        <w:rPr>
          <w:lang w:val="en-US"/>
        </w:rPr>
        <w:t xml:space="preserve"> </w:t>
      </w:r>
      <w:r w:rsidRPr="0055025D">
        <w:rPr>
          <w:lang w:val="en-US"/>
        </w:rPr>
        <w:t xml:space="preserve">were asked to assign each item to its intended dimension </w:t>
      </w:r>
      <w:r>
        <w:rPr>
          <w:lang w:val="en-US"/>
        </w:rPr>
        <w:t>(intentionality, programmatic</w:t>
      </w:r>
      <w:r w:rsidRPr="0055025D">
        <w:rPr>
          <w:lang w:val="en-US"/>
        </w:rPr>
        <w:t xml:space="preserve"> or pra</w:t>
      </w:r>
      <w:r>
        <w:rPr>
          <w:lang w:val="en-US"/>
        </w:rPr>
        <w:t>gmatic dimension)</w:t>
      </w:r>
      <w:r w:rsidRPr="0055025D">
        <w:rPr>
          <w:lang w:val="en-US"/>
        </w:rPr>
        <w:t xml:space="preserve"> wit</w:t>
      </w:r>
      <w:r>
        <w:rPr>
          <w:lang w:val="en-US"/>
        </w:rPr>
        <w:t>h the purpose of identifying</w:t>
      </w:r>
      <w:r w:rsidRPr="0055025D">
        <w:rPr>
          <w:lang w:val="en-US"/>
        </w:rPr>
        <w:t xml:space="preserve"> items that consistently fell under one dimension with a high level of inter-judge agreement. </w:t>
      </w:r>
    </w:p>
    <w:p w14:paraId="334A9857" w14:textId="77777777" w:rsidR="00483EC1" w:rsidRPr="00A643FC" w:rsidRDefault="00483EC1" w:rsidP="00483EC1">
      <w:pPr>
        <w:spacing w:line="480" w:lineRule="auto"/>
        <w:jc w:val="center"/>
        <w:rPr>
          <w:lang w:val="en-US"/>
        </w:rPr>
      </w:pPr>
      <w:bookmarkStart w:id="10" w:name="_Hlk533277273"/>
      <w:r w:rsidRPr="00A643FC">
        <w:rPr>
          <w:lang w:val="en-US"/>
        </w:rPr>
        <w:t>-------------------------------------------</w:t>
      </w:r>
    </w:p>
    <w:p w14:paraId="4FC31A3F" w14:textId="50EFA521" w:rsidR="00483EC1" w:rsidRPr="00A643FC" w:rsidRDefault="00483EC1" w:rsidP="00483EC1">
      <w:pPr>
        <w:spacing w:line="480" w:lineRule="auto"/>
        <w:jc w:val="center"/>
        <w:rPr>
          <w:lang w:val="en-US"/>
        </w:rPr>
      </w:pPr>
      <w:r w:rsidRPr="00A643FC">
        <w:rPr>
          <w:lang w:val="en-US"/>
        </w:rPr>
        <w:lastRenderedPageBreak/>
        <w:t xml:space="preserve">INSERT TABLE </w:t>
      </w:r>
      <w:r>
        <w:rPr>
          <w:lang w:val="en-US"/>
        </w:rPr>
        <w:t>V</w:t>
      </w:r>
      <w:r w:rsidRPr="00A643FC">
        <w:rPr>
          <w:lang w:val="en-US"/>
        </w:rPr>
        <w:t xml:space="preserve"> ABOUT HERE</w:t>
      </w:r>
    </w:p>
    <w:p w14:paraId="0AD2B829" w14:textId="77777777" w:rsidR="00483EC1" w:rsidRDefault="00483EC1" w:rsidP="00483EC1">
      <w:pPr>
        <w:spacing w:line="480" w:lineRule="auto"/>
        <w:jc w:val="center"/>
        <w:rPr>
          <w:lang w:val="en-US"/>
        </w:rPr>
      </w:pPr>
      <w:r w:rsidRPr="00A643FC">
        <w:rPr>
          <w:lang w:val="en-US"/>
        </w:rPr>
        <w:t>-------------------------------------------</w:t>
      </w:r>
    </w:p>
    <w:bookmarkEnd w:id="10"/>
    <w:p w14:paraId="10C8EE57" w14:textId="77777777" w:rsidR="0006370D" w:rsidRPr="00D667B4" w:rsidRDefault="0006370D" w:rsidP="0006370D">
      <w:pPr>
        <w:rPr>
          <w:lang w:val="en-GB" w:eastAsia="en-GB"/>
        </w:rPr>
      </w:pPr>
    </w:p>
    <w:p w14:paraId="443BCF47" w14:textId="02CD97C9" w:rsidR="00B47E25" w:rsidRDefault="0006370D" w:rsidP="004E5E73">
      <w:pPr>
        <w:spacing w:line="480" w:lineRule="auto"/>
        <w:jc w:val="both"/>
        <w:rPr>
          <w:lang w:val="en-US"/>
        </w:rPr>
      </w:pPr>
      <w:r w:rsidRPr="004720BE">
        <w:rPr>
          <w:lang w:val="en-US"/>
        </w:rPr>
        <w:t xml:space="preserve">Table </w:t>
      </w:r>
      <w:r w:rsidR="00E573FC">
        <w:rPr>
          <w:lang w:val="en-US"/>
        </w:rPr>
        <w:t>V</w:t>
      </w:r>
      <w:r w:rsidR="00E573FC" w:rsidRPr="004720BE">
        <w:rPr>
          <w:lang w:val="en-US"/>
        </w:rPr>
        <w:t xml:space="preserve"> </w:t>
      </w:r>
      <w:r w:rsidRPr="004720BE">
        <w:rPr>
          <w:lang w:val="en-US"/>
        </w:rPr>
        <w:t>summarizes the degree of agreement among the three judges</w:t>
      </w:r>
      <w:r>
        <w:rPr>
          <w:lang w:val="en-US"/>
        </w:rPr>
        <w:t xml:space="preserve"> during the closed card sorting round</w:t>
      </w:r>
      <w:r w:rsidRPr="004720BE">
        <w:rPr>
          <w:lang w:val="en-US"/>
        </w:rPr>
        <w:t xml:space="preserve">. </w:t>
      </w:r>
      <w:r>
        <w:rPr>
          <w:lang w:val="en-US"/>
        </w:rPr>
        <w:t>The kappa coefficient is of 0.668 (p &lt; 0.001), signaling a substantial agreement between raters.</w:t>
      </w:r>
      <w:r w:rsidRPr="0055025D">
        <w:rPr>
          <w:lang w:val="en-US"/>
        </w:rPr>
        <w:t xml:space="preserve"> After several rounds, the judges </w:t>
      </w:r>
      <w:r>
        <w:rPr>
          <w:lang w:val="en-US"/>
        </w:rPr>
        <w:t xml:space="preserve">decided to discard </w:t>
      </w:r>
      <w:r w:rsidR="00DC7E33">
        <w:rPr>
          <w:lang w:val="en-US"/>
        </w:rPr>
        <w:t>ambiguous</w:t>
      </w:r>
      <w:r w:rsidR="00DC7E33" w:rsidRPr="0055025D">
        <w:rPr>
          <w:lang w:val="en-US"/>
        </w:rPr>
        <w:t xml:space="preserve"> and/or redundant</w:t>
      </w:r>
      <w:r w:rsidR="00DC7E33">
        <w:rPr>
          <w:lang w:val="en-US"/>
        </w:rPr>
        <w:t xml:space="preserve"> </w:t>
      </w:r>
      <w:r w:rsidRPr="0055025D">
        <w:rPr>
          <w:lang w:val="en-US"/>
        </w:rPr>
        <w:t>items</w:t>
      </w:r>
      <w:r w:rsidR="00DC7E33">
        <w:rPr>
          <w:lang w:val="en-US"/>
        </w:rPr>
        <w:t xml:space="preserve">, </w:t>
      </w:r>
      <w:r w:rsidRPr="0055025D">
        <w:rPr>
          <w:lang w:val="en-US"/>
        </w:rPr>
        <w:t xml:space="preserve">those that did not capture </w:t>
      </w:r>
      <w:r>
        <w:rPr>
          <w:lang w:val="en-US"/>
        </w:rPr>
        <w:t>DC</w:t>
      </w:r>
      <w:r w:rsidRPr="0055025D">
        <w:rPr>
          <w:lang w:val="en-US"/>
        </w:rPr>
        <w:t xml:space="preserve"> but some other related construct</w:t>
      </w:r>
      <w:r w:rsidR="00F93291">
        <w:rPr>
          <w:lang w:val="en-US"/>
        </w:rPr>
        <w:t xml:space="preserve"> (e.g. inclusion climate,</w:t>
      </w:r>
      <w:r w:rsidR="00DE4A11">
        <w:rPr>
          <w:lang w:val="en-US"/>
        </w:rPr>
        <w:t xml:space="preserve"> perceived organizational support</w:t>
      </w:r>
      <w:r w:rsidR="00F93291">
        <w:rPr>
          <w:lang w:val="en-US"/>
        </w:rPr>
        <w:t>)</w:t>
      </w:r>
      <w:r w:rsidRPr="0055025D">
        <w:rPr>
          <w:lang w:val="en-US"/>
        </w:rPr>
        <w:t xml:space="preserve">, those that did not measure </w:t>
      </w:r>
      <w:r>
        <w:rPr>
          <w:lang w:val="en-US"/>
        </w:rPr>
        <w:t>DC</w:t>
      </w:r>
      <w:r w:rsidRPr="0055025D">
        <w:rPr>
          <w:lang w:val="en-US"/>
        </w:rPr>
        <w:t xml:space="preserve"> as conceptually defined (</w:t>
      </w:r>
      <w:r>
        <w:rPr>
          <w:lang w:val="en-US"/>
        </w:rPr>
        <w:t>e.g.</w:t>
      </w:r>
      <w:r w:rsidR="002D269F">
        <w:rPr>
          <w:lang w:val="en-US"/>
        </w:rPr>
        <w:t xml:space="preserve"> </w:t>
      </w:r>
      <w:r w:rsidR="0013069A" w:rsidRPr="00D629BF">
        <w:rPr>
          <w:lang w:val="en-US"/>
        </w:rPr>
        <w:t>individual-referent perceptions</w:t>
      </w:r>
      <w:r w:rsidR="00397A34">
        <w:rPr>
          <w:lang w:val="en-US"/>
        </w:rPr>
        <w:t>, personal comfort with diversity</w:t>
      </w:r>
      <w:r>
        <w:rPr>
          <w:lang w:val="en-US"/>
        </w:rPr>
        <w:t>),</w:t>
      </w:r>
      <w:r w:rsidRPr="0055025D">
        <w:rPr>
          <w:lang w:val="en-US"/>
        </w:rPr>
        <w:t xml:space="preserve"> and double-barreled </w:t>
      </w:r>
      <w:r>
        <w:rPr>
          <w:lang w:val="en-US"/>
        </w:rPr>
        <w:t>ones</w:t>
      </w:r>
      <w:r w:rsidRPr="0055025D">
        <w:rPr>
          <w:lang w:val="en-US"/>
        </w:rPr>
        <w:t xml:space="preserve">. </w:t>
      </w:r>
    </w:p>
    <w:p w14:paraId="3F442EBD" w14:textId="545628C6" w:rsidR="00404018" w:rsidRPr="00404018" w:rsidRDefault="00514573" w:rsidP="00404018">
      <w:pPr>
        <w:spacing w:line="480" w:lineRule="auto"/>
        <w:jc w:val="both"/>
        <w:rPr>
          <w:lang w:val="en-US"/>
        </w:rPr>
      </w:pPr>
      <w:r>
        <w:rPr>
          <w:lang w:val="en-US"/>
        </w:rPr>
        <w:t xml:space="preserve">For the item selection, we </w:t>
      </w:r>
      <w:r w:rsidR="00894A3A">
        <w:rPr>
          <w:lang w:val="en-US"/>
        </w:rPr>
        <w:t xml:space="preserve">also </w:t>
      </w:r>
      <w:r w:rsidR="008A1B81">
        <w:rPr>
          <w:lang w:val="en-US"/>
        </w:rPr>
        <w:t xml:space="preserve">consider the </w:t>
      </w:r>
      <w:r w:rsidR="00733FAA">
        <w:rPr>
          <w:lang w:val="en-US"/>
        </w:rPr>
        <w:t xml:space="preserve">three </w:t>
      </w:r>
      <w:r w:rsidR="002D269F">
        <w:rPr>
          <w:lang w:val="en-US"/>
        </w:rPr>
        <w:t>dimension</w:t>
      </w:r>
      <w:r w:rsidR="00733FAA">
        <w:rPr>
          <w:lang w:val="en-US"/>
        </w:rPr>
        <w:t>s</w:t>
      </w:r>
      <w:r w:rsidR="002D269F">
        <w:rPr>
          <w:lang w:val="en-US"/>
        </w:rPr>
        <w:t xml:space="preserve"> of the DC concept under study</w:t>
      </w:r>
      <w:r w:rsidR="00D44D88">
        <w:rPr>
          <w:lang w:val="en-US"/>
        </w:rPr>
        <w:t xml:space="preserve">. The </w:t>
      </w:r>
      <w:r w:rsidR="000968C7">
        <w:rPr>
          <w:lang w:val="en-US"/>
        </w:rPr>
        <w:t xml:space="preserve">shape of the </w:t>
      </w:r>
      <w:r w:rsidR="00D44D88">
        <w:rPr>
          <w:lang w:val="en-US"/>
        </w:rPr>
        <w:t>organizational DC is allowed by people’s shared perceptions and interpretations of signals sent by the organization regarding diversity</w:t>
      </w:r>
      <w:r w:rsidR="00BA2BD9">
        <w:rPr>
          <w:lang w:val="en-US"/>
        </w:rPr>
        <w:t xml:space="preserve"> (</w:t>
      </w:r>
      <w:r w:rsidR="00BA2BD9" w:rsidRPr="00BA2BD9">
        <w:rPr>
          <w:lang w:val="en-US"/>
        </w:rPr>
        <w:t>Spence,</w:t>
      </w:r>
      <w:r w:rsidR="00BA2BD9">
        <w:rPr>
          <w:lang w:val="en-US"/>
        </w:rPr>
        <w:t xml:space="preserve"> </w:t>
      </w:r>
      <w:r w:rsidR="00BA2BD9" w:rsidRPr="00BA2BD9">
        <w:rPr>
          <w:lang w:val="en-US"/>
        </w:rPr>
        <w:t>197</w:t>
      </w:r>
      <w:r w:rsidR="005B3185">
        <w:rPr>
          <w:lang w:val="en-US"/>
        </w:rPr>
        <w:t>4</w:t>
      </w:r>
      <w:r w:rsidR="00BA2BD9" w:rsidRPr="00BA2BD9">
        <w:rPr>
          <w:lang w:val="en-US"/>
        </w:rPr>
        <w:t>)</w:t>
      </w:r>
      <w:r w:rsidR="00D44D88">
        <w:rPr>
          <w:lang w:val="en-US"/>
        </w:rPr>
        <w:t>. So, the considered signals may reflect the three dimensions of intentionality, programs and practices. This</w:t>
      </w:r>
      <w:r w:rsidR="008A1B81">
        <w:rPr>
          <w:lang w:val="en-US"/>
        </w:rPr>
        <w:t xml:space="preserve"> </w:t>
      </w:r>
      <w:r w:rsidR="002D269F">
        <w:rPr>
          <w:lang w:val="en-US"/>
        </w:rPr>
        <w:t>resul</w:t>
      </w:r>
      <w:r w:rsidR="008A1B81">
        <w:rPr>
          <w:lang w:val="en-US"/>
        </w:rPr>
        <w:t>ted in</w:t>
      </w:r>
      <w:r w:rsidR="002D269F">
        <w:rPr>
          <w:lang w:val="en-US"/>
        </w:rPr>
        <w:t xml:space="preserve"> </w:t>
      </w:r>
      <w:r w:rsidR="00894A3A">
        <w:rPr>
          <w:lang w:val="en-US"/>
        </w:rPr>
        <w:t xml:space="preserve">selecting </w:t>
      </w:r>
      <w:r w:rsidR="002D269F">
        <w:rPr>
          <w:lang w:val="en-US"/>
        </w:rPr>
        <w:t xml:space="preserve">items </w:t>
      </w:r>
      <w:r w:rsidR="00894A3A">
        <w:rPr>
          <w:lang w:val="en-US"/>
        </w:rPr>
        <w:t xml:space="preserve">that </w:t>
      </w:r>
      <w:r w:rsidR="002D269F">
        <w:rPr>
          <w:lang w:val="en-US"/>
        </w:rPr>
        <w:t xml:space="preserve">address </w:t>
      </w:r>
      <w:r w:rsidR="001D3221">
        <w:rPr>
          <w:lang w:val="en-US"/>
        </w:rPr>
        <w:t xml:space="preserve">(a) </w:t>
      </w:r>
      <w:r w:rsidR="00894A3A">
        <w:rPr>
          <w:lang w:val="en-US"/>
        </w:rPr>
        <w:t xml:space="preserve">the diversity value and commitment of the organization, including through the voice of </w:t>
      </w:r>
      <w:r w:rsidR="00D44D88">
        <w:rPr>
          <w:lang w:val="en-US"/>
        </w:rPr>
        <w:t>its</w:t>
      </w:r>
      <w:r w:rsidR="00894A3A">
        <w:rPr>
          <w:lang w:val="en-US"/>
        </w:rPr>
        <w:t xml:space="preserve"> top management</w:t>
      </w:r>
      <w:r w:rsidR="00D44D88">
        <w:rPr>
          <w:lang w:val="en-US"/>
        </w:rPr>
        <w:t xml:space="preserve"> that </w:t>
      </w:r>
      <w:r w:rsidR="00F515D2">
        <w:rPr>
          <w:lang w:val="en-US"/>
        </w:rPr>
        <w:t>conveys</w:t>
      </w:r>
      <w:r w:rsidR="00D44D88">
        <w:rPr>
          <w:lang w:val="en-US"/>
        </w:rPr>
        <w:t xml:space="preserve"> the people management strategy and practices rewarded by the organization (Arthur and Boyles, 2007)</w:t>
      </w:r>
      <w:r w:rsidR="00894A3A">
        <w:rPr>
          <w:lang w:val="en-US"/>
        </w:rPr>
        <w:t xml:space="preserve">, </w:t>
      </w:r>
      <w:r w:rsidR="001D3221">
        <w:rPr>
          <w:lang w:val="en-US"/>
        </w:rPr>
        <w:t>(b)</w:t>
      </w:r>
      <w:r w:rsidR="00D44D88">
        <w:rPr>
          <w:lang w:val="en-US"/>
        </w:rPr>
        <w:t xml:space="preserve"> </w:t>
      </w:r>
      <w:r w:rsidR="00894A3A">
        <w:rPr>
          <w:lang w:val="en-US"/>
        </w:rPr>
        <w:t xml:space="preserve">the existence of formal programs </w:t>
      </w:r>
      <w:r w:rsidR="00D44D88">
        <w:rPr>
          <w:lang w:val="en-US"/>
        </w:rPr>
        <w:t xml:space="preserve">and </w:t>
      </w:r>
      <w:r w:rsidR="00E14583">
        <w:rPr>
          <w:lang w:val="en-US"/>
        </w:rPr>
        <w:t xml:space="preserve">policies </w:t>
      </w:r>
      <w:r w:rsidR="00D44D88">
        <w:rPr>
          <w:lang w:val="en-US"/>
        </w:rPr>
        <w:t>in favor of diversity</w:t>
      </w:r>
      <w:r w:rsidR="00894A3A">
        <w:rPr>
          <w:lang w:val="en-US"/>
        </w:rPr>
        <w:t xml:space="preserve"> </w:t>
      </w:r>
      <w:r w:rsidR="00D44D88">
        <w:rPr>
          <w:lang w:val="en-US"/>
        </w:rPr>
        <w:t>which tra</w:t>
      </w:r>
      <w:r w:rsidR="005B66D0">
        <w:rPr>
          <w:lang w:val="en-US"/>
        </w:rPr>
        <w:t>nslate</w:t>
      </w:r>
      <w:r w:rsidR="00D44D88">
        <w:rPr>
          <w:lang w:val="en-US"/>
        </w:rPr>
        <w:t xml:space="preserve"> the intention into actions</w:t>
      </w:r>
      <w:r w:rsidR="00373149">
        <w:rPr>
          <w:lang w:val="en-US"/>
        </w:rPr>
        <w:t xml:space="preserve"> (</w:t>
      </w:r>
      <w:r w:rsidR="00373149" w:rsidRPr="00373149">
        <w:rPr>
          <w:lang w:val="en-US"/>
        </w:rPr>
        <w:t>Reinwald et al, 2018)</w:t>
      </w:r>
      <w:r w:rsidR="00D44D88">
        <w:rPr>
          <w:lang w:val="en-US"/>
        </w:rPr>
        <w:t xml:space="preserve">, </w:t>
      </w:r>
      <w:r w:rsidR="001D3221">
        <w:rPr>
          <w:lang w:val="en-US"/>
        </w:rPr>
        <w:t>(c)</w:t>
      </w:r>
      <w:r w:rsidR="00D44D88">
        <w:rPr>
          <w:lang w:val="en-US"/>
        </w:rPr>
        <w:t xml:space="preserve"> the</w:t>
      </w:r>
      <w:r w:rsidR="00F515D2">
        <w:rPr>
          <w:lang w:val="en-US"/>
        </w:rPr>
        <w:t xml:space="preserve"> perception of how </w:t>
      </w:r>
      <w:r w:rsidR="00D44D88">
        <w:rPr>
          <w:lang w:val="en-US"/>
        </w:rPr>
        <w:t>the intention and programs are implemented by the managers and employees</w:t>
      </w:r>
      <w:r w:rsidR="00513B3F">
        <w:rPr>
          <w:lang w:val="en-US"/>
        </w:rPr>
        <w:t>,</w:t>
      </w:r>
      <w:r w:rsidR="001947F0">
        <w:rPr>
          <w:lang w:val="en-US"/>
        </w:rPr>
        <w:t xml:space="preserve"> since </w:t>
      </w:r>
      <w:r w:rsidR="001947F0" w:rsidRPr="001947F0">
        <w:rPr>
          <w:lang w:val="en-US"/>
        </w:rPr>
        <w:t xml:space="preserve">inconsistent implementation of diversity </w:t>
      </w:r>
      <w:r w:rsidR="003823BC">
        <w:rPr>
          <w:lang w:val="en-US"/>
        </w:rPr>
        <w:t xml:space="preserve">policies </w:t>
      </w:r>
      <w:r w:rsidR="001947F0" w:rsidRPr="001947F0">
        <w:rPr>
          <w:lang w:val="en-US"/>
        </w:rPr>
        <w:t xml:space="preserve">by </w:t>
      </w:r>
      <w:r w:rsidR="00513B3F">
        <w:rPr>
          <w:lang w:val="en-US"/>
        </w:rPr>
        <w:t>managers and employees</w:t>
      </w:r>
      <w:r w:rsidR="001947F0" w:rsidRPr="001947F0">
        <w:rPr>
          <w:lang w:val="en-US"/>
        </w:rPr>
        <w:t xml:space="preserve"> at the unit level may cause disagreement in employees' </w:t>
      </w:r>
      <w:r w:rsidR="00DC0BC3">
        <w:rPr>
          <w:lang w:val="en-US"/>
        </w:rPr>
        <w:t>DC</w:t>
      </w:r>
      <w:r w:rsidR="001947F0" w:rsidRPr="001947F0">
        <w:rPr>
          <w:lang w:val="en-US"/>
        </w:rPr>
        <w:t xml:space="preserve"> perceptions</w:t>
      </w:r>
      <w:r w:rsidR="00D44D88">
        <w:rPr>
          <w:lang w:val="en-US"/>
        </w:rPr>
        <w:t>.</w:t>
      </w:r>
      <w:r w:rsidR="002D269F">
        <w:rPr>
          <w:lang w:val="en-US"/>
        </w:rPr>
        <w:t xml:space="preserve"> </w:t>
      </w:r>
    </w:p>
    <w:p w14:paraId="7D97AFEC" w14:textId="7AF6F662" w:rsidR="00F46F78" w:rsidRPr="004E5E73" w:rsidRDefault="00F46F78" w:rsidP="004E5E73">
      <w:pPr>
        <w:spacing w:line="480" w:lineRule="auto"/>
        <w:jc w:val="both"/>
        <w:rPr>
          <w:lang w:val="en-US"/>
        </w:rPr>
      </w:pPr>
      <w:r>
        <w:rPr>
          <w:lang w:val="en-US"/>
        </w:rPr>
        <w:t xml:space="preserve">Finally, we </w:t>
      </w:r>
      <w:r w:rsidR="002D07F2">
        <w:rPr>
          <w:lang w:val="en-US"/>
        </w:rPr>
        <w:t>ensure</w:t>
      </w:r>
      <w:r w:rsidR="00894A62">
        <w:rPr>
          <w:lang w:val="en-US"/>
        </w:rPr>
        <w:t>d</w:t>
      </w:r>
      <w:r w:rsidR="002D07F2">
        <w:rPr>
          <w:lang w:val="en-US"/>
        </w:rPr>
        <w:t xml:space="preserve"> that no item </w:t>
      </w:r>
      <w:r w:rsidR="00894A62">
        <w:rPr>
          <w:lang w:val="en-US"/>
        </w:rPr>
        <w:t>address</w:t>
      </w:r>
      <w:r w:rsidR="00FD051A">
        <w:rPr>
          <w:lang w:val="en-US"/>
        </w:rPr>
        <w:t>ed</w:t>
      </w:r>
      <w:r w:rsidR="00894A62">
        <w:rPr>
          <w:lang w:val="en-US"/>
        </w:rPr>
        <w:t xml:space="preserve"> a </w:t>
      </w:r>
      <w:r w:rsidR="006E6CC7">
        <w:rPr>
          <w:lang w:val="en-US"/>
        </w:rPr>
        <w:t xml:space="preserve">predefined </w:t>
      </w:r>
      <w:r w:rsidR="00BB5084">
        <w:rPr>
          <w:lang w:val="en-US"/>
        </w:rPr>
        <w:t>group</w:t>
      </w:r>
      <w:r w:rsidR="00894A62">
        <w:rPr>
          <w:lang w:val="en-US"/>
        </w:rPr>
        <w:t>, such as gender or race, in line with the Cachat-Rosset et al. (2017)’s definition wh</w:t>
      </w:r>
      <w:r w:rsidR="008D5E71">
        <w:rPr>
          <w:lang w:val="en-US"/>
        </w:rPr>
        <w:t>ich</w:t>
      </w:r>
      <w:r w:rsidR="00894A62">
        <w:rPr>
          <w:lang w:val="en-US"/>
        </w:rPr>
        <w:t xml:space="preserve"> </w:t>
      </w:r>
      <w:r w:rsidR="008D5E71">
        <w:rPr>
          <w:lang w:val="en-US"/>
        </w:rPr>
        <w:t>state</w:t>
      </w:r>
      <w:r w:rsidR="00894A62">
        <w:rPr>
          <w:lang w:val="en-US"/>
        </w:rPr>
        <w:t xml:space="preserve"> that DC should be appraised </w:t>
      </w:r>
      <w:r w:rsidR="00BE29A1">
        <w:rPr>
          <w:lang w:val="en-US"/>
        </w:rPr>
        <w:t>as ‘</w:t>
      </w:r>
      <w:r w:rsidR="00894A62" w:rsidRPr="00F24B7E">
        <w:rPr>
          <w:i/>
          <w:lang w:val="en-US"/>
        </w:rPr>
        <w:t>in favor of visible or invisible forms of diversity relevant to the organization’s social context</w:t>
      </w:r>
      <w:r w:rsidR="00BE29A1">
        <w:rPr>
          <w:lang w:val="en-US"/>
        </w:rPr>
        <w:t>’</w:t>
      </w:r>
      <w:r w:rsidR="00894A62">
        <w:rPr>
          <w:lang w:val="en-US"/>
        </w:rPr>
        <w:t xml:space="preserve">. </w:t>
      </w:r>
      <w:r w:rsidR="006E6CC7">
        <w:rPr>
          <w:lang w:val="en-US"/>
        </w:rPr>
        <w:t xml:space="preserve">Furthermore, focusing on specific </w:t>
      </w:r>
      <w:r w:rsidR="0094118A">
        <w:rPr>
          <w:lang w:val="en-US"/>
        </w:rPr>
        <w:t>groups</w:t>
      </w:r>
      <w:r w:rsidR="006E6CC7">
        <w:rPr>
          <w:lang w:val="en-US"/>
        </w:rPr>
        <w:t xml:space="preserve"> would have made our measure less internationally </w:t>
      </w:r>
      <w:r w:rsidR="006E6CC7">
        <w:rPr>
          <w:lang w:val="en-US"/>
        </w:rPr>
        <w:lastRenderedPageBreak/>
        <w:t xml:space="preserve">versatile. </w:t>
      </w:r>
      <w:r>
        <w:rPr>
          <w:lang w:val="en-US"/>
        </w:rPr>
        <w:t>This</w:t>
      </w:r>
      <w:r w:rsidRPr="0055025D">
        <w:rPr>
          <w:lang w:val="en-US"/>
        </w:rPr>
        <w:t xml:space="preserve"> </w:t>
      </w:r>
      <w:r w:rsidR="00613F1B">
        <w:rPr>
          <w:lang w:val="en-US"/>
        </w:rPr>
        <w:t xml:space="preserve">item selection stage </w:t>
      </w:r>
      <w:r w:rsidRPr="0055025D">
        <w:rPr>
          <w:lang w:val="en-US"/>
        </w:rPr>
        <w:t>resulted in a pool of 26 items: 9 items addressing intentio</w:t>
      </w:r>
      <w:r>
        <w:rPr>
          <w:lang w:val="en-US"/>
        </w:rPr>
        <w:t>nality, 8 items programs</w:t>
      </w:r>
      <w:r w:rsidRPr="0055025D">
        <w:rPr>
          <w:lang w:val="en-US"/>
        </w:rPr>
        <w:t xml:space="preserve"> and 9 </w:t>
      </w:r>
      <w:r>
        <w:rPr>
          <w:lang w:val="en-US"/>
        </w:rPr>
        <w:t>praxis</w:t>
      </w:r>
      <w:r w:rsidRPr="0055025D">
        <w:rPr>
          <w:lang w:val="en-US"/>
        </w:rPr>
        <w:t>.</w:t>
      </w:r>
      <w:r w:rsidR="006E6CC7">
        <w:rPr>
          <w:lang w:val="en-US"/>
        </w:rPr>
        <w:t xml:space="preserve"> </w:t>
      </w:r>
    </w:p>
    <w:p w14:paraId="283D1BD6" w14:textId="77777777" w:rsidR="0006370D" w:rsidRDefault="0006370D" w:rsidP="0006370D">
      <w:pPr>
        <w:pStyle w:val="Titre3"/>
        <w:spacing w:line="480" w:lineRule="auto"/>
        <w:rPr>
          <w:lang w:val="en-US"/>
        </w:rPr>
      </w:pPr>
      <w:bookmarkStart w:id="11" w:name="_Toc528231599"/>
      <w:r>
        <w:t>Item purification</w:t>
      </w:r>
      <w:bookmarkEnd w:id="11"/>
      <w:r>
        <w:t xml:space="preserve">   </w:t>
      </w:r>
    </w:p>
    <w:p w14:paraId="4B61968A" w14:textId="77777777" w:rsidR="0006370D" w:rsidRPr="00C550B1" w:rsidRDefault="0006370D" w:rsidP="0006370D">
      <w:pPr>
        <w:spacing w:before="240" w:line="480" w:lineRule="auto"/>
        <w:jc w:val="both"/>
        <w:rPr>
          <w:lang w:val="en-US"/>
        </w:rPr>
      </w:pPr>
      <w:r w:rsidRPr="0055025D">
        <w:rPr>
          <w:lang w:val="en-US"/>
        </w:rPr>
        <w:t xml:space="preserve">We followed Straub’s recommendations (1989) </w:t>
      </w:r>
      <w:r>
        <w:rPr>
          <w:lang w:val="en-US"/>
        </w:rPr>
        <w:t>regarding the</w:t>
      </w:r>
      <w:r w:rsidRPr="0055025D">
        <w:rPr>
          <w:lang w:val="en-US"/>
        </w:rPr>
        <w:t xml:space="preserve"> </w:t>
      </w:r>
      <w:r>
        <w:rPr>
          <w:lang w:val="en-US"/>
        </w:rPr>
        <w:t xml:space="preserve">qualitative </w:t>
      </w:r>
      <w:r w:rsidRPr="0055025D">
        <w:rPr>
          <w:lang w:val="en-US"/>
        </w:rPr>
        <w:t>assess</w:t>
      </w:r>
      <w:r>
        <w:rPr>
          <w:lang w:val="en-US"/>
        </w:rPr>
        <w:t>ment of</w:t>
      </w:r>
      <w:r w:rsidRPr="0055025D">
        <w:rPr>
          <w:lang w:val="en-US"/>
        </w:rPr>
        <w:t xml:space="preserve"> </w:t>
      </w:r>
      <w:bookmarkStart w:id="12" w:name="_Hlk516949473"/>
      <w:r w:rsidRPr="0055025D">
        <w:rPr>
          <w:lang w:val="en-US"/>
        </w:rPr>
        <w:t xml:space="preserve">content validity </w:t>
      </w:r>
      <w:bookmarkEnd w:id="12"/>
      <w:r>
        <w:rPr>
          <w:lang w:val="en-US"/>
        </w:rPr>
        <w:t>when designing new measurement scales. To proceed, we conducted</w:t>
      </w:r>
      <w:r w:rsidRPr="0055025D">
        <w:rPr>
          <w:lang w:val="en-US"/>
        </w:rPr>
        <w:t xml:space="preserve"> a first round of purification </w:t>
      </w:r>
      <w:r>
        <w:rPr>
          <w:lang w:val="en-US"/>
        </w:rPr>
        <w:t>through the help of</w:t>
      </w:r>
      <w:r w:rsidRPr="0055025D">
        <w:rPr>
          <w:lang w:val="en-US"/>
        </w:rPr>
        <w:t xml:space="preserve"> an expert panel. The purpose of the procedure was to verify whether each scale captured the entire domain of its </w:t>
      </w:r>
      <w:r w:rsidRPr="00C550B1">
        <w:rPr>
          <w:lang w:val="en-US"/>
        </w:rPr>
        <w:t xml:space="preserve">associated dimension. Four experienced scholars well-versed in scale development were asked to </w:t>
      </w:r>
      <w:r>
        <w:rPr>
          <w:lang w:val="en-US"/>
        </w:rPr>
        <w:t xml:space="preserve">review </w:t>
      </w:r>
      <w:r w:rsidRPr="00C550B1">
        <w:rPr>
          <w:lang w:val="en-US"/>
        </w:rPr>
        <w:t xml:space="preserve">the three developed scales. Each expert received an email containing detailed instructions, the definition of </w:t>
      </w:r>
      <w:r>
        <w:rPr>
          <w:lang w:val="en-US"/>
        </w:rPr>
        <w:t>DC</w:t>
      </w:r>
      <w:r w:rsidRPr="00C550B1">
        <w:rPr>
          <w:lang w:val="en-US"/>
        </w:rPr>
        <w:t xml:space="preserve"> along with its three dimensions and </w:t>
      </w:r>
      <w:r>
        <w:rPr>
          <w:lang w:val="en-US"/>
        </w:rPr>
        <w:t>associated items. The e</w:t>
      </w:r>
      <w:r w:rsidRPr="00C550B1">
        <w:rPr>
          <w:lang w:val="en-US"/>
        </w:rPr>
        <w:t xml:space="preserve">xperts identified 8 items as being unclear or poorly worded, thus needing rephrasing. No single item was identified as being highly problematic. </w:t>
      </w:r>
      <w:r>
        <w:rPr>
          <w:lang w:val="en-US"/>
        </w:rPr>
        <w:t>The i</w:t>
      </w:r>
      <w:r w:rsidRPr="00C550B1">
        <w:rPr>
          <w:lang w:val="en-US"/>
        </w:rPr>
        <w:t xml:space="preserve">tem </w:t>
      </w:r>
      <w:r>
        <w:rPr>
          <w:lang w:val="en-US"/>
        </w:rPr>
        <w:t>development phase</w:t>
      </w:r>
      <w:r w:rsidRPr="00C550B1">
        <w:rPr>
          <w:lang w:val="en-US"/>
        </w:rPr>
        <w:t xml:space="preserve"> thus ended with a pool of 26 refined items. </w:t>
      </w:r>
    </w:p>
    <w:p w14:paraId="79D91601" w14:textId="77777777" w:rsidR="0006370D" w:rsidRDefault="0006370D" w:rsidP="0006370D">
      <w:pPr>
        <w:pStyle w:val="Titre2"/>
      </w:pPr>
      <w:bookmarkStart w:id="13" w:name="_Toc528231600"/>
      <w:r>
        <w:t>Stage</w:t>
      </w:r>
      <w:r w:rsidRPr="00373398">
        <w:t xml:space="preserve"> 2: Scale </w:t>
      </w:r>
      <w:bookmarkEnd w:id="13"/>
      <w:r>
        <w:t>validation</w:t>
      </w:r>
      <w:r w:rsidRPr="00373398">
        <w:t xml:space="preserve"> </w:t>
      </w:r>
      <w:r>
        <w:t>at individual level</w:t>
      </w:r>
    </w:p>
    <w:p w14:paraId="182E1775" w14:textId="22C1A200" w:rsidR="0006370D" w:rsidRDefault="0006370D" w:rsidP="0006370D">
      <w:pPr>
        <w:spacing w:line="480" w:lineRule="auto"/>
        <w:jc w:val="both"/>
        <w:rPr>
          <w:lang w:val="en-GB" w:eastAsia="en-GB"/>
        </w:rPr>
      </w:pPr>
      <w:r>
        <w:rPr>
          <w:lang w:val="en-GB" w:eastAsia="en-GB"/>
        </w:rPr>
        <w:t xml:space="preserve">The further refining and initial validation of the newly-developed measurement </w:t>
      </w:r>
      <w:r w:rsidR="0015760D">
        <w:rPr>
          <w:lang w:val="en-GB" w:eastAsia="en-GB"/>
        </w:rPr>
        <w:t>was</w:t>
      </w:r>
      <w:r>
        <w:rPr>
          <w:lang w:val="en-GB" w:eastAsia="en-GB"/>
        </w:rPr>
        <w:t xml:space="preserve"> conducted at the individual level. Two subsequent quantitative research components were conducted. A first online survey (Study 1), involving a multi-organization sample (N = 150), allowed to further purify the item pool while verifying the dimensionality of the construct, and assessing the initial consistency of the resulting measurement. </w:t>
      </w:r>
      <w:r w:rsidRPr="00CF3E42">
        <w:rPr>
          <w:lang w:val="en-GB" w:eastAsia="en-GB"/>
        </w:rPr>
        <w:t xml:space="preserve">A second online survey (Study 2) </w:t>
      </w:r>
      <w:r w:rsidRPr="00714946">
        <w:rPr>
          <w:lang w:val="en-GB" w:eastAsia="en-GB"/>
        </w:rPr>
        <w:t>with</w:t>
      </w:r>
      <w:r w:rsidRPr="00CF3E42">
        <w:rPr>
          <w:lang w:val="en-GB" w:eastAsia="en-GB"/>
        </w:rPr>
        <w:t xml:space="preserve"> a multi-organization sample of 398 respondents </w:t>
      </w:r>
      <w:r w:rsidRPr="00714946">
        <w:rPr>
          <w:lang w:val="en-GB" w:eastAsia="en-GB"/>
        </w:rPr>
        <w:t xml:space="preserve">was conducted </w:t>
      </w:r>
      <w:r w:rsidRPr="00CF3E42">
        <w:rPr>
          <w:lang w:val="en-GB" w:eastAsia="en-GB"/>
        </w:rPr>
        <w:t xml:space="preserve">to </w:t>
      </w:r>
      <w:r w:rsidRPr="00714946">
        <w:rPr>
          <w:lang w:val="en-GB" w:eastAsia="en-GB"/>
        </w:rPr>
        <w:t xml:space="preserve">further </w:t>
      </w:r>
      <w:r w:rsidRPr="00CF3E42">
        <w:rPr>
          <w:lang w:val="en-GB" w:eastAsia="en-GB"/>
        </w:rPr>
        <w:t xml:space="preserve">confirm the </w:t>
      </w:r>
      <w:r w:rsidRPr="00714946">
        <w:rPr>
          <w:lang w:val="en-GB" w:eastAsia="en-GB"/>
        </w:rPr>
        <w:t xml:space="preserve">quality </w:t>
      </w:r>
      <w:r w:rsidRPr="00CF3E42">
        <w:rPr>
          <w:lang w:val="en-GB" w:eastAsia="en-GB"/>
        </w:rPr>
        <w:t xml:space="preserve">of the developed </w:t>
      </w:r>
      <w:r w:rsidRPr="00714946">
        <w:rPr>
          <w:lang w:val="en-GB" w:eastAsia="en-GB"/>
        </w:rPr>
        <w:t>measurement</w:t>
      </w:r>
      <w:r w:rsidRPr="00CF3E42">
        <w:rPr>
          <w:lang w:val="en-GB" w:eastAsia="en-GB"/>
        </w:rPr>
        <w:t xml:space="preserve"> and assess model fit.</w:t>
      </w:r>
      <w:r>
        <w:rPr>
          <w:lang w:val="en-GB" w:eastAsia="en-GB"/>
        </w:rPr>
        <w:t xml:space="preserve"> </w:t>
      </w:r>
    </w:p>
    <w:p w14:paraId="3B4696FB" w14:textId="77777777" w:rsidR="0006370D" w:rsidRDefault="0006370D" w:rsidP="0006370D">
      <w:pPr>
        <w:pStyle w:val="Titre3"/>
        <w:spacing w:line="480" w:lineRule="auto"/>
      </w:pPr>
      <w:bookmarkStart w:id="14" w:name="_Toc528231601"/>
      <w:r w:rsidRPr="00714946">
        <w:t>Further item purification</w:t>
      </w:r>
      <w:r w:rsidRPr="002B1366">
        <w:t xml:space="preserve"> and</w:t>
      </w:r>
      <w:r w:rsidRPr="00714946">
        <w:t xml:space="preserve"> </w:t>
      </w:r>
      <w:r w:rsidRPr="002B1366">
        <w:t>d</w:t>
      </w:r>
      <w:r w:rsidRPr="00714946">
        <w:t>imensionality assessment</w:t>
      </w:r>
      <w:r w:rsidDel="0092167D">
        <w:t xml:space="preserve"> </w:t>
      </w:r>
    </w:p>
    <w:bookmarkEnd w:id="14"/>
    <w:p w14:paraId="1E1AECDC" w14:textId="0EDB4430" w:rsidR="0006370D" w:rsidRPr="00822720" w:rsidRDefault="0006370D" w:rsidP="0006370D">
      <w:pPr>
        <w:spacing w:line="480" w:lineRule="auto"/>
        <w:jc w:val="both"/>
        <w:rPr>
          <w:lang w:val="en-GB" w:eastAsia="en-GB"/>
        </w:rPr>
      </w:pPr>
      <w:r w:rsidRPr="00CF3E42">
        <w:rPr>
          <w:lang w:val="en-US"/>
        </w:rPr>
        <w:t>This first stage aimed at</w:t>
      </w:r>
      <w:r w:rsidRPr="00714946">
        <w:rPr>
          <w:lang w:val="en-US"/>
        </w:rPr>
        <w:t xml:space="preserve"> further </w:t>
      </w:r>
      <w:r w:rsidRPr="00CF3E42">
        <w:rPr>
          <w:lang w:val="en-US"/>
        </w:rPr>
        <w:t xml:space="preserve">purifying the 26 candidate items and at assessing </w:t>
      </w:r>
      <w:r w:rsidR="00E14583">
        <w:rPr>
          <w:lang w:val="en-US"/>
        </w:rPr>
        <w:t>the</w:t>
      </w:r>
      <w:r w:rsidRPr="00CF3E42">
        <w:rPr>
          <w:lang w:val="en-US"/>
        </w:rPr>
        <w:t xml:space="preserve"> scale reliability, indicator reliability, convergent and discriminant validity.</w:t>
      </w:r>
      <w:r w:rsidRPr="00714946">
        <w:rPr>
          <w:lang w:val="en-US"/>
        </w:rPr>
        <w:t xml:space="preserve"> An Exploratory Factor </w:t>
      </w:r>
      <w:r w:rsidRPr="00714946">
        <w:rPr>
          <w:lang w:val="en-US"/>
        </w:rPr>
        <w:lastRenderedPageBreak/>
        <w:t>Analysis (EFA) was also conducted to help purify the items and assess the initial dimensionality of the construct</w:t>
      </w:r>
      <w:r w:rsidRPr="00CF3E42">
        <w:rPr>
          <w:lang w:val="en-US"/>
        </w:rPr>
        <w:t>.</w:t>
      </w:r>
    </w:p>
    <w:p w14:paraId="09FD66F4" w14:textId="50891F28" w:rsidR="0006370D" w:rsidRDefault="00795E6F" w:rsidP="0006370D">
      <w:pPr>
        <w:spacing w:line="480" w:lineRule="auto"/>
        <w:jc w:val="both"/>
        <w:rPr>
          <w:lang w:val="en-US" w:eastAsia="en-GB"/>
        </w:rPr>
      </w:pPr>
      <w:r>
        <w:rPr>
          <w:lang w:val="en-US"/>
        </w:rPr>
        <w:t>For study 1, a</w:t>
      </w:r>
      <w:r w:rsidR="0006370D" w:rsidRPr="00373398">
        <w:rPr>
          <w:lang w:val="en-US"/>
        </w:rPr>
        <w:t xml:space="preserve">n online survey was conducted in which respondents were asked to rate </w:t>
      </w:r>
      <w:r w:rsidR="0006370D">
        <w:rPr>
          <w:lang w:val="en-US"/>
        </w:rPr>
        <w:t>the</w:t>
      </w:r>
      <w:r w:rsidR="0006370D" w:rsidRPr="00373398">
        <w:rPr>
          <w:lang w:val="en-US"/>
        </w:rPr>
        <w:t xml:space="preserve"> </w:t>
      </w:r>
      <w:r w:rsidR="0006370D">
        <w:rPr>
          <w:lang w:val="en-US"/>
        </w:rPr>
        <w:t xml:space="preserve">26 </w:t>
      </w:r>
      <w:r w:rsidR="0006370D" w:rsidRPr="00373398">
        <w:rPr>
          <w:lang w:val="en-US"/>
        </w:rPr>
        <w:t>item</w:t>
      </w:r>
      <w:r w:rsidR="0006370D">
        <w:rPr>
          <w:lang w:val="en-US"/>
        </w:rPr>
        <w:t>s</w:t>
      </w:r>
      <w:r w:rsidR="0006370D" w:rsidRPr="00373398">
        <w:rPr>
          <w:lang w:val="en-US"/>
        </w:rPr>
        <w:t xml:space="preserve"> on a 5-point Likert scale (from 1 “Strongly disagree” to 5 “Strongly agree”). Items were randomly distributed in the survey questionnaire to limit any potential halo effect. We relied on professional social netwo</w:t>
      </w:r>
      <w:r w:rsidR="0006370D">
        <w:rPr>
          <w:lang w:val="en-US"/>
        </w:rPr>
        <w:t xml:space="preserve">rks to invite individuals to </w:t>
      </w:r>
      <w:r w:rsidR="0006370D" w:rsidRPr="00373398">
        <w:rPr>
          <w:lang w:val="en-US"/>
        </w:rPr>
        <w:t>take</w:t>
      </w:r>
      <w:r w:rsidR="0006370D">
        <w:rPr>
          <w:lang w:val="en-US"/>
        </w:rPr>
        <w:t xml:space="preserve"> part in</w:t>
      </w:r>
      <w:r w:rsidR="0006370D" w:rsidRPr="00373398">
        <w:rPr>
          <w:lang w:val="en-US"/>
        </w:rPr>
        <w:t xml:space="preserve"> the survey. The sample resulted in 150</w:t>
      </w:r>
      <w:r w:rsidR="0006370D" w:rsidRPr="00373398">
        <w:rPr>
          <w:color w:val="FF0000"/>
          <w:lang w:val="en-US"/>
        </w:rPr>
        <w:t xml:space="preserve"> </w:t>
      </w:r>
      <w:r w:rsidR="00174371">
        <w:rPr>
          <w:lang w:val="en-US"/>
        </w:rPr>
        <w:t xml:space="preserve">respondents. 62% were female and </w:t>
      </w:r>
      <w:r w:rsidR="0006370D" w:rsidRPr="00373398">
        <w:rPr>
          <w:lang w:val="en-US"/>
        </w:rPr>
        <w:t>38% were male</w:t>
      </w:r>
      <w:r w:rsidR="00174371">
        <w:rPr>
          <w:lang w:val="en-US"/>
        </w:rPr>
        <w:t>;</w:t>
      </w:r>
      <w:r w:rsidR="0006370D" w:rsidRPr="00373398">
        <w:rPr>
          <w:lang w:val="en-US"/>
        </w:rPr>
        <w:t xml:space="preserve"> </w:t>
      </w:r>
      <w:r w:rsidR="00174371">
        <w:rPr>
          <w:lang w:val="en-US"/>
        </w:rPr>
        <w:t>the average age was 30.03 years;</w:t>
      </w:r>
      <w:r w:rsidR="0006370D" w:rsidRPr="00373398">
        <w:rPr>
          <w:lang w:val="en-US"/>
        </w:rPr>
        <w:t xml:space="preserve"> 63.31% were employees, managers or executives whereas 36.79% were master’s level students or persons looking for a job. In such case, respondents were asked to think about their former employer for the sake of answering the survey. </w:t>
      </w:r>
      <w:r w:rsidR="0006370D" w:rsidRPr="00597B27">
        <w:rPr>
          <w:lang w:val="en-US" w:eastAsia="en-GB"/>
        </w:rPr>
        <w:t xml:space="preserve"> </w:t>
      </w:r>
    </w:p>
    <w:p w14:paraId="59634680" w14:textId="749B1BB0" w:rsidR="0006370D" w:rsidRPr="00373398" w:rsidRDefault="0006370D" w:rsidP="0006370D">
      <w:pPr>
        <w:spacing w:before="240" w:line="480" w:lineRule="auto"/>
        <w:jc w:val="both"/>
        <w:rPr>
          <w:lang w:val="en-US"/>
        </w:rPr>
      </w:pPr>
      <w:r w:rsidRPr="00373398">
        <w:rPr>
          <w:lang w:val="en-US"/>
        </w:rPr>
        <w:t>First, we examined the inter-item correlations to ensure that items sufficiently correlated with their respecti</w:t>
      </w:r>
      <w:r w:rsidR="00174371">
        <w:rPr>
          <w:lang w:val="en-US"/>
        </w:rPr>
        <w:t>ve dimension (surpassing the 0.6</w:t>
      </w:r>
      <w:r w:rsidRPr="00373398">
        <w:rPr>
          <w:lang w:val="en-US"/>
        </w:rPr>
        <w:t>0 threshold) while having low correlations with items from the other dimensio</w:t>
      </w:r>
      <w:r w:rsidR="00174371">
        <w:rPr>
          <w:lang w:val="en-US"/>
        </w:rPr>
        <w:t>ns (cross loading gaps above 0.4</w:t>
      </w:r>
      <w:r w:rsidRPr="00373398">
        <w:rPr>
          <w:lang w:val="en-US"/>
        </w:rPr>
        <w:t>0) (Hair et al., 20</w:t>
      </w:r>
      <w:r w:rsidR="001C44D0">
        <w:rPr>
          <w:lang w:val="en-US"/>
        </w:rPr>
        <w:t>11</w:t>
      </w:r>
      <w:r w:rsidRPr="00373398">
        <w:rPr>
          <w:lang w:val="en-US"/>
        </w:rPr>
        <w:t>). Then, we</w:t>
      </w:r>
      <w:r>
        <w:rPr>
          <w:lang w:val="en-US"/>
        </w:rPr>
        <w:t xml:space="preserve"> </w:t>
      </w:r>
      <w:r w:rsidRPr="00373398">
        <w:rPr>
          <w:lang w:val="en-US"/>
        </w:rPr>
        <w:t xml:space="preserve">assessed commonality (average variance extracted) and reliability (composite reliability and Cronbach’s alpha coefficients). Before dropping any item, we controlled that any manipulation would not affect the content validity of the related dimension and ensured that this resulted in greater scale reliability. </w:t>
      </w:r>
    </w:p>
    <w:p w14:paraId="50948E9D" w14:textId="538FF36B" w:rsidR="0006370D" w:rsidRPr="00894733" w:rsidRDefault="0006370D" w:rsidP="0006370D">
      <w:pPr>
        <w:spacing w:line="480" w:lineRule="auto"/>
        <w:jc w:val="both"/>
        <w:rPr>
          <w:lang w:val="en-US"/>
        </w:rPr>
      </w:pPr>
      <w:r w:rsidRPr="00B70BA0">
        <w:rPr>
          <w:lang w:val="en-US"/>
        </w:rPr>
        <w:t>To explore the underlying factor structure and examine the overall dimensionality of the</w:t>
      </w:r>
      <w:r w:rsidRPr="00373398">
        <w:rPr>
          <w:lang w:val="en-US"/>
        </w:rPr>
        <w:t xml:space="preserve"> </w:t>
      </w:r>
      <w:r>
        <w:rPr>
          <w:lang w:val="en-US"/>
        </w:rPr>
        <w:t>DC</w:t>
      </w:r>
      <w:r w:rsidRPr="00373398">
        <w:rPr>
          <w:lang w:val="en-US"/>
        </w:rPr>
        <w:t xml:space="preserve"> construct, </w:t>
      </w:r>
      <w:r>
        <w:rPr>
          <w:lang w:val="en-US"/>
        </w:rPr>
        <w:t>we performed</w:t>
      </w:r>
      <w:r w:rsidRPr="00373398">
        <w:rPr>
          <w:lang w:val="en-US"/>
        </w:rPr>
        <w:t xml:space="preserve"> </w:t>
      </w:r>
      <w:r>
        <w:rPr>
          <w:lang w:val="en-US"/>
        </w:rPr>
        <w:t xml:space="preserve">an </w:t>
      </w:r>
      <w:r w:rsidRPr="00373398">
        <w:rPr>
          <w:lang w:val="en-US"/>
        </w:rPr>
        <w:t>EFA</w:t>
      </w:r>
      <w:r>
        <w:rPr>
          <w:lang w:val="en-US"/>
        </w:rPr>
        <w:t xml:space="preserve"> </w:t>
      </w:r>
      <w:r w:rsidRPr="00894733">
        <w:rPr>
          <w:lang w:val="en-US"/>
        </w:rPr>
        <w:t>(IBM SPSS version 20)</w:t>
      </w:r>
      <w:r w:rsidRPr="00373398">
        <w:rPr>
          <w:lang w:val="en-US"/>
        </w:rPr>
        <w:t xml:space="preserve">, </w:t>
      </w:r>
      <w:r w:rsidRPr="00894733">
        <w:rPr>
          <w:lang w:val="en-US"/>
        </w:rPr>
        <w:t xml:space="preserve">with oblique rotation (Oblimin) </w:t>
      </w:r>
      <w:r>
        <w:rPr>
          <w:lang w:val="en-US"/>
        </w:rPr>
        <w:t>considering the three dimensions theoretically capture the whole construct of DC</w:t>
      </w:r>
      <w:r w:rsidRPr="00894733">
        <w:rPr>
          <w:lang w:val="en-US"/>
        </w:rPr>
        <w:t xml:space="preserve">. To proceed, we first confirmed the legitimacy of performing such analysis with the collected dataset (KMO = </w:t>
      </w:r>
      <w:r w:rsidRPr="00E5074A">
        <w:rPr>
          <w:lang w:val="en-US"/>
        </w:rPr>
        <w:t>0.793</w:t>
      </w:r>
      <w:r w:rsidRPr="00894733">
        <w:rPr>
          <w:lang w:val="en-US"/>
        </w:rPr>
        <w:t xml:space="preserve">; Bartlett’s Test of Sphericity sig.&lt; 0,000 – </w:t>
      </w:r>
      <w:r w:rsidRPr="00687E8A">
        <w:rPr>
          <w:lang w:val="en-US"/>
        </w:rPr>
        <w:t>Field</w:t>
      </w:r>
      <w:r>
        <w:rPr>
          <w:lang w:val="en-US"/>
        </w:rPr>
        <w:t>, 2013). In the first round, five</w:t>
      </w:r>
      <w:r w:rsidRPr="00894733">
        <w:rPr>
          <w:lang w:val="en-US"/>
        </w:rPr>
        <w:t xml:space="preserve"> components emerged. Several item deletion strategies were followed, discarding </w:t>
      </w:r>
      <w:r>
        <w:rPr>
          <w:lang w:val="en-US"/>
        </w:rPr>
        <w:t>items one by one (or in groups)</w:t>
      </w:r>
      <w:r w:rsidRPr="00894733">
        <w:rPr>
          <w:lang w:val="en-US"/>
        </w:rPr>
        <w:t>. Items were removed based on their factor loadings and cross-loadings</w:t>
      </w:r>
      <w:r>
        <w:rPr>
          <w:lang w:val="en-US"/>
        </w:rPr>
        <w:t>.</w:t>
      </w:r>
      <w:r w:rsidRPr="00894733">
        <w:rPr>
          <w:lang w:val="en-US"/>
        </w:rPr>
        <w:t xml:space="preserve"> </w:t>
      </w:r>
      <w:r>
        <w:rPr>
          <w:lang w:val="en-US"/>
        </w:rPr>
        <w:t>We made sure</w:t>
      </w:r>
      <w:r w:rsidRPr="00894733">
        <w:rPr>
          <w:lang w:val="en-US"/>
        </w:rPr>
        <w:t xml:space="preserve"> that the remaining items properly covered the content domain of each dimension. </w:t>
      </w:r>
      <w:r w:rsidRPr="00894733">
        <w:rPr>
          <w:lang w:val="en-US"/>
        </w:rPr>
        <w:lastRenderedPageBreak/>
        <w:t>All strategies converged towards the</w:t>
      </w:r>
      <w:r>
        <w:rPr>
          <w:lang w:val="en-US"/>
        </w:rPr>
        <w:t xml:space="preserve"> same stable structure, extracting three</w:t>
      </w:r>
      <w:r w:rsidRPr="00894733">
        <w:rPr>
          <w:lang w:val="en-US"/>
        </w:rPr>
        <w:t xml:space="preserve"> components (cumulatively explaining </w:t>
      </w:r>
      <w:r w:rsidRPr="00E5074A">
        <w:rPr>
          <w:lang w:val="en-US"/>
        </w:rPr>
        <w:t>63</w:t>
      </w:r>
      <w:r w:rsidRPr="00894733">
        <w:rPr>
          <w:lang w:val="en-US"/>
        </w:rPr>
        <w:t>% of the total variance)</w:t>
      </w:r>
      <w:r>
        <w:rPr>
          <w:lang w:val="en-US"/>
        </w:rPr>
        <w:t>. The three components did reflect the three</w:t>
      </w:r>
      <w:r w:rsidRPr="00894733">
        <w:rPr>
          <w:lang w:val="en-US"/>
        </w:rPr>
        <w:t xml:space="preserve"> conceptual dimensions </w:t>
      </w:r>
      <w:r>
        <w:rPr>
          <w:lang w:val="en-US"/>
        </w:rPr>
        <w:t xml:space="preserve">of the DC proposed by Cachat-Rosset et al. (2017). </w:t>
      </w:r>
      <w:r w:rsidRPr="00894733">
        <w:rPr>
          <w:lang w:val="en-US"/>
        </w:rPr>
        <w:t>The refined measurement instru</w:t>
      </w:r>
      <w:r>
        <w:rPr>
          <w:lang w:val="en-US"/>
        </w:rPr>
        <w:t>ment resulted in 12 items with four</w:t>
      </w:r>
      <w:r w:rsidRPr="00894733">
        <w:rPr>
          <w:lang w:val="en-US"/>
        </w:rPr>
        <w:t xml:space="preserve"> items for each dimension. </w:t>
      </w:r>
    </w:p>
    <w:p w14:paraId="6E300F60" w14:textId="4999E145" w:rsidR="0006370D" w:rsidRDefault="0006370D" w:rsidP="0006370D">
      <w:pPr>
        <w:spacing w:line="480" w:lineRule="auto"/>
        <w:jc w:val="both"/>
        <w:rPr>
          <w:lang w:val="en-US"/>
        </w:rPr>
      </w:pPr>
      <w:r w:rsidRPr="004F68ED">
        <w:rPr>
          <w:lang w:val="en-US"/>
        </w:rPr>
        <w:t>As a prerequisite</w:t>
      </w:r>
      <w:r>
        <w:rPr>
          <w:lang w:val="en-US"/>
        </w:rPr>
        <w:t xml:space="preserve"> for the evaluation of first-order constructs</w:t>
      </w:r>
      <w:r w:rsidRPr="004F68ED">
        <w:rPr>
          <w:lang w:val="en-US"/>
        </w:rPr>
        <w:t xml:space="preserve">, we first tested for block uni-dimensionality and reliability using three tests (see Table </w:t>
      </w:r>
      <w:r w:rsidR="0015760D">
        <w:rPr>
          <w:lang w:val="en-US"/>
        </w:rPr>
        <w:t>VI</w:t>
      </w:r>
      <w:r w:rsidRPr="004F68ED">
        <w:rPr>
          <w:lang w:val="en-US"/>
        </w:rPr>
        <w:t xml:space="preserve">), Cronbach’s α, CR and Dillon-Goldstein’s ρ, which all exceeded the 0.7 threshold </w:t>
      </w:r>
      <w:r w:rsidR="00755A3F">
        <w:rPr>
          <w:lang w:val="en-US"/>
        </w:rPr>
        <w:t>(</w:t>
      </w:r>
      <w:r w:rsidR="00755A3F" w:rsidRPr="00687E8A">
        <w:rPr>
          <w:lang w:val="en-US"/>
        </w:rPr>
        <w:t>Kline, 20</w:t>
      </w:r>
      <w:r w:rsidR="00755A3F">
        <w:rPr>
          <w:lang w:val="en-US"/>
        </w:rPr>
        <w:t xml:space="preserve">13; </w:t>
      </w:r>
      <w:r w:rsidR="00755A3F" w:rsidRPr="00894733">
        <w:rPr>
          <w:lang w:val="en-US"/>
        </w:rPr>
        <w:t>Nu</w:t>
      </w:r>
      <w:r w:rsidR="00EF3DB9">
        <w:rPr>
          <w:lang w:val="en-US"/>
        </w:rPr>
        <w:t>n</w:t>
      </w:r>
      <w:r w:rsidR="00755A3F" w:rsidRPr="00894733">
        <w:rPr>
          <w:lang w:val="en-US"/>
        </w:rPr>
        <w:t>nally, 1978</w:t>
      </w:r>
      <w:r w:rsidR="00755A3F">
        <w:rPr>
          <w:lang w:val="en-US"/>
        </w:rPr>
        <w:t>;</w:t>
      </w:r>
      <w:r w:rsidR="00755A3F" w:rsidRPr="004F68ED">
        <w:rPr>
          <w:lang w:val="en-US"/>
        </w:rPr>
        <w:t xml:space="preserve"> </w:t>
      </w:r>
      <w:r w:rsidRPr="004F68ED">
        <w:rPr>
          <w:lang w:val="en-US"/>
        </w:rPr>
        <w:t xml:space="preserve">Schmiedel et al., 2014). To assess convergent validity, we </w:t>
      </w:r>
      <w:r>
        <w:rPr>
          <w:lang w:val="en-US"/>
        </w:rPr>
        <w:t>examined</w:t>
      </w:r>
      <w:r w:rsidRPr="004F68ED">
        <w:rPr>
          <w:lang w:val="en-US"/>
        </w:rPr>
        <w:t xml:space="preserve"> the factor loadings and the average variance extracted (AVE) from each ﬁrst-order construct. The AVE for each </w:t>
      </w:r>
      <w:r>
        <w:rPr>
          <w:lang w:val="en-US"/>
        </w:rPr>
        <w:t>DC</w:t>
      </w:r>
      <w:r w:rsidRPr="004F68ED">
        <w:rPr>
          <w:lang w:val="en-US"/>
        </w:rPr>
        <w:t xml:space="preserve"> dimension ranged from 0.5</w:t>
      </w:r>
      <w:r>
        <w:rPr>
          <w:lang w:val="en-US"/>
        </w:rPr>
        <w:t>79</w:t>
      </w:r>
      <w:r w:rsidRPr="004F68ED">
        <w:rPr>
          <w:lang w:val="en-US"/>
        </w:rPr>
        <w:t xml:space="preserve"> to 0.</w:t>
      </w:r>
      <w:r>
        <w:rPr>
          <w:lang w:val="en-US"/>
        </w:rPr>
        <w:t>674</w:t>
      </w:r>
      <w:r w:rsidRPr="004F68ED">
        <w:rPr>
          <w:lang w:val="en-US"/>
        </w:rPr>
        <w:t xml:space="preserve"> (Table </w:t>
      </w:r>
      <w:r w:rsidR="0015760D">
        <w:rPr>
          <w:lang w:val="en-US"/>
        </w:rPr>
        <w:t>VI</w:t>
      </w:r>
      <w:r w:rsidRPr="004F68ED">
        <w:rPr>
          <w:lang w:val="en-US"/>
        </w:rPr>
        <w:t xml:space="preserve">), all above the commonly recommended 0.50 threshold. The factor loadings ranged from </w:t>
      </w:r>
      <w:r w:rsidRPr="00E5074A">
        <w:rPr>
          <w:lang w:val="en-US"/>
        </w:rPr>
        <w:t>0.636 to 0.873</w:t>
      </w:r>
      <w:r>
        <w:rPr>
          <w:lang w:val="en-US"/>
        </w:rPr>
        <w:t>, exceeding</w:t>
      </w:r>
      <w:r w:rsidRPr="004F68ED">
        <w:rPr>
          <w:lang w:val="en-US"/>
        </w:rPr>
        <w:t xml:space="preserve"> the cut-off value of 0.6 (see Table </w:t>
      </w:r>
      <w:r>
        <w:rPr>
          <w:lang w:val="en-US"/>
        </w:rPr>
        <w:t>V</w:t>
      </w:r>
      <w:r w:rsidR="0015760D">
        <w:rPr>
          <w:lang w:val="en-US"/>
        </w:rPr>
        <w:t>II</w:t>
      </w:r>
      <w:r w:rsidRPr="004F68ED">
        <w:rPr>
          <w:lang w:val="en-US"/>
        </w:rPr>
        <w:t>). The criteria ensuring convergent validity were thus all satisfactorily met.</w:t>
      </w:r>
    </w:p>
    <w:p w14:paraId="349C4050" w14:textId="77777777" w:rsidR="00483EC1" w:rsidRPr="00A643FC" w:rsidRDefault="00483EC1" w:rsidP="00483EC1">
      <w:pPr>
        <w:spacing w:line="480" w:lineRule="auto"/>
        <w:jc w:val="center"/>
        <w:rPr>
          <w:lang w:val="en-US"/>
        </w:rPr>
      </w:pPr>
      <w:r w:rsidRPr="00A643FC">
        <w:rPr>
          <w:lang w:val="en-US"/>
        </w:rPr>
        <w:t>-------------------------------------------</w:t>
      </w:r>
    </w:p>
    <w:p w14:paraId="695C1148" w14:textId="0A7B32E1" w:rsidR="00483EC1" w:rsidRPr="00A643FC" w:rsidRDefault="00483EC1" w:rsidP="00483EC1">
      <w:pPr>
        <w:spacing w:line="480" w:lineRule="auto"/>
        <w:jc w:val="center"/>
        <w:rPr>
          <w:lang w:val="en-US"/>
        </w:rPr>
      </w:pPr>
      <w:r w:rsidRPr="00A643FC">
        <w:rPr>
          <w:lang w:val="en-US"/>
        </w:rPr>
        <w:t xml:space="preserve">INSERT TABLE </w:t>
      </w:r>
      <w:r>
        <w:rPr>
          <w:lang w:val="en-US"/>
        </w:rPr>
        <w:t>VI</w:t>
      </w:r>
      <w:r w:rsidRPr="00A643FC">
        <w:rPr>
          <w:lang w:val="en-US"/>
        </w:rPr>
        <w:t xml:space="preserve"> ABOUT HERE</w:t>
      </w:r>
    </w:p>
    <w:p w14:paraId="0C0FD74B" w14:textId="77777777" w:rsidR="00483EC1" w:rsidRDefault="00483EC1" w:rsidP="00483EC1">
      <w:pPr>
        <w:spacing w:line="480" w:lineRule="auto"/>
        <w:jc w:val="center"/>
        <w:rPr>
          <w:lang w:val="en-US"/>
        </w:rPr>
      </w:pPr>
      <w:r w:rsidRPr="00A643FC">
        <w:rPr>
          <w:lang w:val="en-US"/>
        </w:rPr>
        <w:t>-------------------------------------------</w:t>
      </w:r>
    </w:p>
    <w:p w14:paraId="56C30D72" w14:textId="77777777" w:rsidR="00483EC1" w:rsidRPr="00A643FC" w:rsidRDefault="00483EC1" w:rsidP="00483EC1">
      <w:pPr>
        <w:spacing w:line="480" w:lineRule="auto"/>
        <w:jc w:val="center"/>
        <w:rPr>
          <w:lang w:val="en-US"/>
        </w:rPr>
      </w:pPr>
      <w:r w:rsidRPr="00A643FC">
        <w:rPr>
          <w:lang w:val="en-US"/>
        </w:rPr>
        <w:t>-------------------------------------------</w:t>
      </w:r>
    </w:p>
    <w:p w14:paraId="13E7A6E8" w14:textId="5E77AE1F" w:rsidR="00483EC1" w:rsidRPr="00A643FC" w:rsidRDefault="00483EC1" w:rsidP="00483EC1">
      <w:pPr>
        <w:spacing w:line="480" w:lineRule="auto"/>
        <w:jc w:val="center"/>
        <w:rPr>
          <w:lang w:val="en-US"/>
        </w:rPr>
      </w:pPr>
      <w:r w:rsidRPr="00A643FC">
        <w:rPr>
          <w:lang w:val="en-US"/>
        </w:rPr>
        <w:t xml:space="preserve">INSERT TABLE </w:t>
      </w:r>
      <w:r>
        <w:rPr>
          <w:lang w:val="en-US"/>
        </w:rPr>
        <w:t>VII</w:t>
      </w:r>
      <w:r w:rsidRPr="00A643FC">
        <w:rPr>
          <w:lang w:val="en-US"/>
        </w:rPr>
        <w:t xml:space="preserve"> ABOUT HERE</w:t>
      </w:r>
    </w:p>
    <w:p w14:paraId="38FAD99D" w14:textId="77777777" w:rsidR="00483EC1" w:rsidRDefault="00483EC1" w:rsidP="00483EC1">
      <w:pPr>
        <w:spacing w:line="480" w:lineRule="auto"/>
        <w:jc w:val="center"/>
        <w:rPr>
          <w:lang w:val="en-US"/>
        </w:rPr>
      </w:pPr>
      <w:r w:rsidRPr="00A643FC">
        <w:rPr>
          <w:lang w:val="en-US"/>
        </w:rPr>
        <w:t>-------------------------------------------</w:t>
      </w:r>
    </w:p>
    <w:p w14:paraId="42B773B0" w14:textId="77777777" w:rsidR="0006370D" w:rsidRPr="00FF3563" w:rsidRDefault="0006370D" w:rsidP="0006370D">
      <w:pPr>
        <w:rPr>
          <w:lang w:val="en-GB" w:eastAsia="en-GB"/>
        </w:rPr>
      </w:pPr>
    </w:p>
    <w:p w14:paraId="12DE06EC" w14:textId="383CDF37" w:rsidR="0006370D" w:rsidRDefault="0006370D" w:rsidP="0006370D">
      <w:pPr>
        <w:spacing w:line="480" w:lineRule="auto"/>
        <w:jc w:val="both"/>
        <w:rPr>
          <w:lang w:val="en-US"/>
        </w:rPr>
      </w:pPr>
      <w:r w:rsidRPr="004F68ED">
        <w:rPr>
          <w:lang w:val="en-US"/>
        </w:rPr>
        <w:t xml:space="preserve">To assess discriminant validity, we used three criteria: item cross loadings, the Fornell-Larcker criterion (Fornell </w:t>
      </w:r>
      <w:r>
        <w:rPr>
          <w:lang w:val="en-US"/>
        </w:rPr>
        <w:t>and</w:t>
      </w:r>
      <w:r w:rsidRPr="004F68ED">
        <w:rPr>
          <w:lang w:val="en-US"/>
        </w:rPr>
        <w:t xml:space="preserve"> Larcker, 1981) and the Heterotrait-Monotrait Ratio of Correlations (HTMT). Table </w:t>
      </w:r>
      <w:r>
        <w:rPr>
          <w:lang w:val="en-US"/>
        </w:rPr>
        <w:t>V</w:t>
      </w:r>
      <w:r w:rsidR="00996B08">
        <w:rPr>
          <w:lang w:val="en-US"/>
        </w:rPr>
        <w:t>II</w:t>
      </w:r>
      <w:r w:rsidRPr="004F68ED">
        <w:rPr>
          <w:lang w:val="en-US"/>
        </w:rPr>
        <w:t xml:space="preserve"> shows that items</w:t>
      </w:r>
      <w:r>
        <w:rPr>
          <w:lang w:val="en-US"/>
        </w:rPr>
        <w:t>’</w:t>
      </w:r>
      <w:r w:rsidRPr="004F68ED">
        <w:rPr>
          <w:lang w:val="en-US"/>
        </w:rPr>
        <w:t xml:space="preserve"> loadings on their intended first-order construct are all greater than their cross-loadings with the other dimensions. </w:t>
      </w:r>
      <w:r w:rsidRPr="00E5074A">
        <w:rPr>
          <w:lang w:val="en-US"/>
        </w:rPr>
        <w:t xml:space="preserve">All items had cross-loading gaps higher than 0.3 except for ‘Clearly, diversity is not important to this organization’ (INT 3) with a loading difference of 0.262 with </w:t>
      </w:r>
      <w:r>
        <w:rPr>
          <w:lang w:val="en-US"/>
        </w:rPr>
        <w:t xml:space="preserve">the </w:t>
      </w:r>
      <w:r w:rsidRPr="00E5074A">
        <w:rPr>
          <w:lang w:val="en-US"/>
        </w:rPr>
        <w:t>programmatic</w:t>
      </w:r>
      <w:r>
        <w:rPr>
          <w:lang w:val="en-US"/>
        </w:rPr>
        <w:t xml:space="preserve"> dimension</w:t>
      </w:r>
      <w:r w:rsidRPr="00E5074A">
        <w:rPr>
          <w:lang w:val="en-US"/>
        </w:rPr>
        <w:t xml:space="preserve"> (Table </w:t>
      </w:r>
      <w:r>
        <w:rPr>
          <w:lang w:val="en-US"/>
        </w:rPr>
        <w:t>V</w:t>
      </w:r>
      <w:r w:rsidR="00996B08">
        <w:rPr>
          <w:lang w:val="en-US"/>
        </w:rPr>
        <w:t>II</w:t>
      </w:r>
      <w:r w:rsidRPr="00E5074A">
        <w:rPr>
          <w:lang w:val="en-US"/>
        </w:rPr>
        <w:t>).</w:t>
      </w:r>
      <w:r w:rsidRPr="004F68ED">
        <w:rPr>
          <w:lang w:val="en-US"/>
        </w:rPr>
        <w:t xml:space="preserve"> The factor correlation matrix shows that the AVE for each construct is well above the squared correlation </w:t>
      </w:r>
      <w:r w:rsidRPr="004F68ED">
        <w:rPr>
          <w:lang w:val="en-US"/>
        </w:rPr>
        <w:lastRenderedPageBreak/>
        <w:t xml:space="preserve">between the construct and any other construct (Table </w:t>
      </w:r>
      <w:r>
        <w:rPr>
          <w:lang w:val="en-US"/>
        </w:rPr>
        <w:t>V</w:t>
      </w:r>
      <w:r w:rsidR="00996B08">
        <w:rPr>
          <w:lang w:val="en-US"/>
        </w:rPr>
        <w:t>III</w:t>
      </w:r>
      <w:r w:rsidRPr="004F68ED">
        <w:rPr>
          <w:lang w:val="en-US"/>
        </w:rPr>
        <w:t>). The HTMT test ensures that a reflective construct has the strongest relationships with its own indicators (Hair et al., 201</w:t>
      </w:r>
      <w:r w:rsidR="00840DAF">
        <w:rPr>
          <w:lang w:val="en-US"/>
        </w:rPr>
        <w:t>7</w:t>
      </w:r>
      <w:r w:rsidRPr="004F68ED">
        <w:rPr>
          <w:lang w:val="en-US"/>
        </w:rPr>
        <w:t xml:space="preserve">). All HTMT ratios did not exceed the recommended 0.85 threshold (Table </w:t>
      </w:r>
      <w:r>
        <w:rPr>
          <w:lang w:val="en-US"/>
        </w:rPr>
        <w:t>V</w:t>
      </w:r>
      <w:r w:rsidR="00996B08">
        <w:rPr>
          <w:lang w:val="en-US"/>
        </w:rPr>
        <w:t>III</w:t>
      </w:r>
      <w:r w:rsidRPr="004F68ED">
        <w:rPr>
          <w:lang w:val="en-US"/>
        </w:rPr>
        <w:t xml:space="preserve">), thus providing extra confidence in terms of discriminant validity. </w:t>
      </w:r>
    </w:p>
    <w:p w14:paraId="31FC10A1" w14:textId="77777777" w:rsidR="00483EC1" w:rsidRPr="00A643FC" w:rsidRDefault="00483EC1" w:rsidP="00483EC1">
      <w:pPr>
        <w:spacing w:line="480" w:lineRule="auto"/>
        <w:jc w:val="center"/>
        <w:rPr>
          <w:lang w:val="en-US"/>
        </w:rPr>
      </w:pPr>
      <w:r w:rsidRPr="00A643FC">
        <w:rPr>
          <w:lang w:val="en-US"/>
        </w:rPr>
        <w:t>-------------------------------------------</w:t>
      </w:r>
    </w:p>
    <w:p w14:paraId="2E16C023" w14:textId="5A716923" w:rsidR="00483EC1" w:rsidRPr="00A643FC" w:rsidRDefault="00483EC1" w:rsidP="00483EC1">
      <w:pPr>
        <w:spacing w:line="480" w:lineRule="auto"/>
        <w:jc w:val="center"/>
        <w:rPr>
          <w:lang w:val="en-US"/>
        </w:rPr>
      </w:pPr>
      <w:r w:rsidRPr="00A643FC">
        <w:rPr>
          <w:lang w:val="en-US"/>
        </w:rPr>
        <w:t xml:space="preserve">INSERT TABLE </w:t>
      </w:r>
      <w:r>
        <w:rPr>
          <w:lang w:val="en-US"/>
        </w:rPr>
        <w:t>VII</w:t>
      </w:r>
      <w:r w:rsidR="00EB71F8">
        <w:rPr>
          <w:lang w:val="en-US"/>
        </w:rPr>
        <w:t>I</w:t>
      </w:r>
      <w:r w:rsidRPr="00A643FC">
        <w:rPr>
          <w:lang w:val="en-US"/>
        </w:rPr>
        <w:t xml:space="preserve"> ABOUT HERE</w:t>
      </w:r>
    </w:p>
    <w:p w14:paraId="39D5DBC7" w14:textId="77777777" w:rsidR="00483EC1" w:rsidRDefault="00483EC1" w:rsidP="00483EC1">
      <w:pPr>
        <w:spacing w:line="480" w:lineRule="auto"/>
        <w:jc w:val="center"/>
        <w:rPr>
          <w:lang w:val="en-US"/>
        </w:rPr>
      </w:pPr>
      <w:r w:rsidRPr="00A643FC">
        <w:rPr>
          <w:lang w:val="en-US"/>
        </w:rPr>
        <w:t>-------------------------------------------</w:t>
      </w:r>
    </w:p>
    <w:p w14:paraId="417E1311" w14:textId="7F0F182F" w:rsidR="0006370D" w:rsidRDefault="0006370D" w:rsidP="0006370D">
      <w:pPr>
        <w:spacing w:line="480" w:lineRule="auto"/>
        <w:jc w:val="both"/>
        <w:rPr>
          <w:lang w:val="en-US" w:eastAsia="en-GB"/>
        </w:rPr>
      </w:pPr>
      <w:r w:rsidRPr="00714946">
        <w:rPr>
          <w:lang w:val="en-GB" w:eastAsia="en-GB"/>
        </w:rPr>
        <w:t xml:space="preserve">In conclusion, </w:t>
      </w:r>
      <w:r w:rsidRPr="000147DC">
        <w:rPr>
          <w:lang w:val="en-US"/>
        </w:rPr>
        <w:t xml:space="preserve">Study 1 allowed to reduce the pool of items from 26 to 12 items </w:t>
      </w:r>
      <w:r>
        <w:rPr>
          <w:lang w:val="en-US" w:eastAsia="en-GB"/>
        </w:rPr>
        <w:t xml:space="preserve">while the results demonstrated </w:t>
      </w:r>
      <w:r w:rsidRPr="000147DC">
        <w:rPr>
          <w:lang w:val="en-US" w:eastAsia="en-GB"/>
        </w:rPr>
        <w:t xml:space="preserve">satisfactory </w:t>
      </w:r>
      <w:r>
        <w:rPr>
          <w:lang w:val="en-US" w:eastAsia="en-GB"/>
        </w:rPr>
        <w:t xml:space="preserve">results in terms of consistency, </w:t>
      </w:r>
      <w:r w:rsidRPr="000147DC">
        <w:rPr>
          <w:lang w:val="en-US" w:eastAsia="en-GB"/>
        </w:rPr>
        <w:t>reliability</w:t>
      </w:r>
      <w:r>
        <w:rPr>
          <w:lang w:val="en-US" w:eastAsia="en-GB"/>
        </w:rPr>
        <w:t xml:space="preserve">, convergent and discriminant validity. </w:t>
      </w:r>
    </w:p>
    <w:p w14:paraId="1CAE37BD" w14:textId="77777777" w:rsidR="0006370D" w:rsidRPr="00FC4BA7" w:rsidRDefault="0006370D" w:rsidP="0006370D">
      <w:pPr>
        <w:pStyle w:val="Titre3"/>
        <w:spacing w:line="480" w:lineRule="auto"/>
        <w:rPr>
          <w:rFonts w:cs="Times New Roman"/>
          <w:szCs w:val="24"/>
        </w:rPr>
      </w:pPr>
      <w:r>
        <w:rPr>
          <w:rFonts w:cs="Times New Roman"/>
          <w:szCs w:val="24"/>
        </w:rPr>
        <w:t xml:space="preserve">Validity assessment </w:t>
      </w:r>
    </w:p>
    <w:p w14:paraId="629D08DA" w14:textId="1F0F5C6C" w:rsidR="0006370D" w:rsidRDefault="00903BA6" w:rsidP="0006370D">
      <w:pPr>
        <w:spacing w:before="240" w:line="480" w:lineRule="auto"/>
        <w:jc w:val="both"/>
        <w:rPr>
          <w:lang w:val="en-US" w:eastAsia="en-GB"/>
        </w:rPr>
      </w:pPr>
      <w:r>
        <w:rPr>
          <w:lang w:val="en-US" w:eastAsia="en-GB"/>
        </w:rPr>
        <w:t>T</w:t>
      </w:r>
      <w:r w:rsidR="0006370D">
        <w:rPr>
          <w:lang w:val="en-US" w:eastAsia="en-GB"/>
        </w:rPr>
        <w:t xml:space="preserve">o further increase the robustness of the developed measurement instrument, </w:t>
      </w:r>
      <w:r w:rsidR="0006370D">
        <w:rPr>
          <w:lang w:val="en-GB" w:eastAsia="en-GB"/>
        </w:rPr>
        <w:t xml:space="preserve">the superiority of the proposed operationalization and dimensionality of the DC concept had also to </w:t>
      </w:r>
      <w:r w:rsidR="006150BE">
        <w:rPr>
          <w:lang w:val="en-GB" w:eastAsia="en-GB"/>
        </w:rPr>
        <w:t xml:space="preserve">be </w:t>
      </w:r>
      <w:r w:rsidR="0006370D">
        <w:rPr>
          <w:lang w:val="en-GB" w:eastAsia="en-GB"/>
        </w:rPr>
        <w:t>investigated through a fit comparison with alternative DC models</w:t>
      </w:r>
      <w:r w:rsidR="00A2692B">
        <w:rPr>
          <w:lang w:val="en-GB" w:eastAsia="en-GB"/>
        </w:rPr>
        <w:t xml:space="preserve"> </w:t>
      </w:r>
      <w:r w:rsidR="00A2692B">
        <w:rPr>
          <w:lang w:val="en-US" w:eastAsia="en-GB"/>
        </w:rPr>
        <w:t>(Study 2)</w:t>
      </w:r>
      <w:r w:rsidR="0006370D">
        <w:rPr>
          <w:lang w:val="en-GB" w:eastAsia="en-GB"/>
        </w:rPr>
        <w:t xml:space="preserve">. </w:t>
      </w:r>
      <w:r w:rsidR="00137F1B">
        <w:rPr>
          <w:lang w:val="en-GB" w:eastAsia="en-GB"/>
        </w:rPr>
        <w:t>To proceed,</w:t>
      </w:r>
      <w:r w:rsidR="00795E6F">
        <w:rPr>
          <w:lang w:val="en-GB" w:eastAsia="en-GB"/>
        </w:rPr>
        <w:t xml:space="preserve"> </w:t>
      </w:r>
      <w:r w:rsidR="00795E6F">
        <w:rPr>
          <w:lang w:val="en-US" w:eastAsia="en-GB"/>
        </w:rPr>
        <w:t>a</w:t>
      </w:r>
      <w:r w:rsidR="0006370D">
        <w:rPr>
          <w:lang w:val="en-US" w:eastAsia="en-GB"/>
        </w:rPr>
        <w:t xml:space="preserve">n online survey was conducted using the 12-item measurement instrument that had been developed and validated at that stage of the research process. </w:t>
      </w:r>
      <w:r w:rsidR="0006370D" w:rsidRPr="00F2339F">
        <w:rPr>
          <w:lang w:val="en-US" w:eastAsia="en-GB"/>
        </w:rPr>
        <w:t xml:space="preserve">The </w:t>
      </w:r>
      <w:r w:rsidR="0006370D">
        <w:rPr>
          <w:lang w:val="en-US" w:eastAsia="en-GB"/>
        </w:rPr>
        <w:t xml:space="preserve">final </w:t>
      </w:r>
      <w:r w:rsidR="00137F1B">
        <w:rPr>
          <w:lang w:val="en-US" w:eastAsia="en-GB"/>
        </w:rPr>
        <w:t xml:space="preserve">multi-organization </w:t>
      </w:r>
      <w:r w:rsidR="0006370D" w:rsidRPr="00F2339F">
        <w:rPr>
          <w:lang w:val="en-US" w:eastAsia="en-GB"/>
        </w:rPr>
        <w:t>sample</w:t>
      </w:r>
      <w:r w:rsidR="0006370D">
        <w:rPr>
          <w:lang w:val="en-US" w:eastAsia="en-GB"/>
        </w:rPr>
        <w:t xml:space="preserve"> </w:t>
      </w:r>
      <w:r w:rsidR="0006370D" w:rsidRPr="00F2339F">
        <w:rPr>
          <w:lang w:val="en-US" w:eastAsia="en-GB"/>
        </w:rPr>
        <w:t>consist</w:t>
      </w:r>
      <w:r w:rsidR="0006370D">
        <w:rPr>
          <w:lang w:val="en-US" w:eastAsia="en-GB"/>
        </w:rPr>
        <w:t>ed</w:t>
      </w:r>
      <w:r w:rsidR="0006370D" w:rsidRPr="00F2339F">
        <w:rPr>
          <w:lang w:val="en-US" w:eastAsia="en-GB"/>
        </w:rPr>
        <w:t xml:space="preserve"> of </w:t>
      </w:r>
      <w:r w:rsidR="0006370D" w:rsidRPr="00597B27">
        <w:rPr>
          <w:lang w:val="en-US" w:eastAsia="en-GB"/>
        </w:rPr>
        <w:t>398 respondents</w:t>
      </w:r>
      <w:r w:rsidR="00ED310E">
        <w:rPr>
          <w:lang w:val="en-US" w:eastAsia="en-GB"/>
        </w:rPr>
        <w:t>,</w:t>
      </w:r>
      <w:r w:rsidR="0006370D">
        <w:rPr>
          <w:lang w:val="en-US" w:eastAsia="en-GB"/>
        </w:rPr>
        <w:t xml:space="preserve"> </w:t>
      </w:r>
      <w:r w:rsidR="0006370D" w:rsidRPr="00597B27">
        <w:rPr>
          <w:lang w:val="en-US" w:eastAsia="en-GB"/>
        </w:rPr>
        <w:t>composed of female</w:t>
      </w:r>
      <w:r w:rsidR="0006370D">
        <w:rPr>
          <w:lang w:val="en-US" w:eastAsia="en-GB"/>
        </w:rPr>
        <w:t>s</w:t>
      </w:r>
      <w:r w:rsidR="0006370D" w:rsidRPr="00597B27">
        <w:rPr>
          <w:lang w:val="en-US" w:eastAsia="en-GB"/>
        </w:rPr>
        <w:t xml:space="preserve"> for 46%, male</w:t>
      </w:r>
      <w:r w:rsidR="0006370D">
        <w:rPr>
          <w:lang w:val="en-US" w:eastAsia="en-GB"/>
        </w:rPr>
        <w:t>s</w:t>
      </w:r>
      <w:r w:rsidR="0006370D" w:rsidRPr="00597B27">
        <w:rPr>
          <w:lang w:val="en-US" w:eastAsia="en-GB"/>
        </w:rPr>
        <w:t xml:space="preserve"> for 5</w:t>
      </w:r>
      <w:r w:rsidR="00137F1B">
        <w:rPr>
          <w:lang w:val="en-US" w:eastAsia="en-GB"/>
        </w:rPr>
        <w:t>4</w:t>
      </w:r>
      <w:r w:rsidR="0006370D" w:rsidRPr="00597B27">
        <w:rPr>
          <w:lang w:val="en-US" w:eastAsia="en-GB"/>
        </w:rPr>
        <w:t>%</w:t>
      </w:r>
      <w:r w:rsidR="00137F1B">
        <w:rPr>
          <w:lang w:val="en-US" w:eastAsia="en-GB"/>
        </w:rPr>
        <w:t>.</w:t>
      </w:r>
      <w:r w:rsidR="0006370D" w:rsidRPr="00597B27">
        <w:rPr>
          <w:lang w:val="en-US" w:eastAsia="en-GB"/>
        </w:rPr>
        <w:t xml:space="preserve"> </w:t>
      </w:r>
      <w:r w:rsidR="0006370D">
        <w:rPr>
          <w:lang w:val="en-US" w:eastAsia="en-GB"/>
        </w:rPr>
        <w:t xml:space="preserve">All were employed in private companies </w:t>
      </w:r>
      <w:r w:rsidR="0006370D" w:rsidRPr="00597B27">
        <w:rPr>
          <w:lang w:val="en-US" w:eastAsia="en-GB"/>
        </w:rPr>
        <w:t>and 38%</w:t>
      </w:r>
      <w:r w:rsidR="006150BE">
        <w:rPr>
          <w:lang w:val="en-US" w:eastAsia="en-GB"/>
        </w:rPr>
        <w:t xml:space="preserve"> he</w:t>
      </w:r>
      <w:r w:rsidR="0006370D" w:rsidRPr="0094239A">
        <w:rPr>
          <w:lang w:val="en-US" w:eastAsia="en-GB"/>
        </w:rPr>
        <w:t>ld a management position</w:t>
      </w:r>
      <w:r w:rsidR="0006370D">
        <w:rPr>
          <w:lang w:val="en-US" w:eastAsia="en-GB"/>
        </w:rPr>
        <w:t xml:space="preserve">. </w:t>
      </w:r>
      <w:r w:rsidR="00137F1B">
        <w:rPr>
          <w:lang w:val="en-US" w:eastAsia="en-GB"/>
        </w:rPr>
        <w:t xml:space="preserve">Moreover, to ensure the stability of the measurement in </w:t>
      </w:r>
      <w:r w:rsidR="00137F1B">
        <w:rPr>
          <w:lang w:val="en-US"/>
        </w:rPr>
        <w:t>cross-national contexts,</w:t>
      </w:r>
      <w:r w:rsidR="00137F1B">
        <w:rPr>
          <w:lang w:val="en-US" w:eastAsia="en-GB"/>
        </w:rPr>
        <w:t xml:space="preserve"> t</w:t>
      </w:r>
      <w:r w:rsidR="0006370D">
        <w:rPr>
          <w:lang w:val="en-US" w:eastAsia="en-GB"/>
        </w:rPr>
        <w:t xml:space="preserve">he </w:t>
      </w:r>
      <w:r w:rsidR="00137F1B">
        <w:rPr>
          <w:lang w:val="en-US" w:eastAsia="en-GB"/>
        </w:rPr>
        <w:t>multi</w:t>
      </w:r>
      <w:r w:rsidR="0006370D">
        <w:rPr>
          <w:lang w:val="en-US" w:eastAsia="en-GB"/>
        </w:rPr>
        <w:t xml:space="preserve">-national nature of the sample was ensured with </w:t>
      </w:r>
      <w:r w:rsidR="0006370D" w:rsidRPr="00597B27">
        <w:rPr>
          <w:lang w:val="en-US" w:eastAsia="en-GB"/>
        </w:rPr>
        <w:t xml:space="preserve">respondents from </w:t>
      </w:r>
      <w:r w:rsidR="0006370D">
        <w:rPr>
          <w:lang w:val="en-US" w:eastAsia="en-GB"/>
        </w:rPr>
        <w:t>30 different</w:t>
      </w:r>
      <w:r w:rsidR="0006370D" w:rsidRPr="00597B27">
        <w:rPr>
          <w:lang w:val="en-US" w:eastAsia="en-GB"/>
        </w:rPr>
        <w:t xml:space="preserve"> countries</w:t>
      </w:r>
      <w:r w:rsidR="0006370D">
        <w:rPr>
          <w:lang w:val="en-US" w:eastAsia="en-GB"/>
        </w:rPr>
        <w:t xml:space="preserve"> mainly in Europe, North America, South America and Australia</w:t>
      </w:r>
      <w:r w:rsidR="0006370D" w:rsidRPr="00597B27">
        <w:rPr>
          <w:lang w:val="en-US" w:eastAsia="en-GB"/>
        </w:rPr>
        <w:t>.</w:t>
      </w:r>
      <w:r w:rsidR="0006370D">
        <w:rPr>
          <w:lang w:val="en-US" w:eastAsia="en-GB"/>
        </w:rPr>
        <w:t xml:space="preserve"> </w:t>
      </w:r>
    </w:p>
    <w:p w14:paraId="3D698011" w14:textId="38EF8CAC" w:rsidR="0006370D" w:rsidRDefault="0006370D" w:rsidP="0006370D">
      <w:pPr>
        <w:spacing w:before="240" w:line="480" w:lineRule="auto"/>
        <w:jc w:val="both"/>
        <w:rPr>
          <w:lang w:val="en-US"/>
        </w:rPr>
      </w:pPr>
      <w:r>
        <w:rPr>
          <w:lang w:val="en-US"/>
        </w:rPr>
        <w:t>The assessment of item reliability coupled with a confirmatory factor analysis revealed some problematic issue regarding the Intentionality dimension. One item, INT3, which was a reversed item</w:t>
      </w:r>
      <w:r w:rsidR="006150BE">
        <w:rPr>
          <w:lang w:val="en-US"/>
        </w:rPr>
        <w:t>,</w:t>
      </w:r>
      <w:r>
        <w:rPr>
          <w:lang w:val="en-US"/>
        </w:rPr>
        <w:t xml:space="preserve"> appeared to significantly decrease the Cronbach’s alpha of the Intentionality </w:t>
      </w:r>
      <w:r>
        <w:rPr>
          <w:lang w:val="en-US"/>
        </w:rPr>
        <w:lastRenderedPageBreak/>
        <w:t>dimension (</w:t>
      </w:r>
      <w:r w:rsidRPr="004F68ED">
        <w:rPr>
          <w:lang w:val="en-US"/>
        </w:rPr>
        <w:t>α</w:t>
      </w:r>
      <w:r>
        <w:rPr>
          <w:lang w:val="en-US"/>
        </w:rPr>
        <w:t>=0.54) while its factor loading was surprisingly low (-0.120**). It was then decided to drop the item. I</w:t>
      </w:r>
      <w:r w:rsidRPr="000B6AB3">
        <w:rPr>
          <w:lang w:val="en-US"/>
        </w:rPr>
        <w:t>nternal consistency</w:t>
      </w:r>
      <w:r>
        <w:rPr>
          <w:lang w:val="en-US"/>
        </w:rPr>
        <w:t xml:space="preserve">, </w:t>
      </w:r>
      <w:r w:rsidRPr="000B6AB3">
        <w:rPr>
          <w:lang w:val="en-US"/>
        </w:rPr>
        <w:t>scale reliability</w:t>
      </w:r>
      <w:r>
        <w:rPr>
          <w:lang w:val="en-US"/>
        </w:rPr>
        <w:t xml:space="preserve">, </w:t>
      </w:r>
      <w:r w:rsidRPr="000B6AB3">
        <w:rPr>
          <w:lang w:val="en-US"/>
        </w:rPr>
        <w:t>indicator reliability</w:t>
      </w:r>
      <w:r>
        <w:rPr>
          <w:lang w:val="en-US"/>
        </w:rPr>
        <w:t>,</w:t>
      </w:r>
      <w:r w:rsidRPr="000B6AB3">
        <w:rPr>
          <w:lang w:val="en-US"/>
        </w:rPr>
        <w:t xml:space="preserve"> convergent validity </w:t>
      </w:r>
      <w:r>
        <w:rPr>
          <w:lang w:val="en-US"/>
        </w:rPr>
        <w:t xml:space="preserve">and </w:t>
      </w:r>
      <w:r w:rsidRPr="000B6AB3">
        <w:rPr>
          <w:lang w:val="en-US"/>
        </w:rPr>
        <w:t>discriminant validity</w:t>
      </w:r>
      <w:r>
        <w:rPr>
          <w:lang w:val="en-US"/>
        </w:rPr>
        <w:t xml:space="preserve"> were assessed following the same procedures and thresholds presented in the analysis of Study 1 data. All tests were fully satisfactory (See Tables </w:t>
      </w:r>
      <w:r w:rsidR="00996B08">
        <w:rPr>
          <w:lang w:val="en-US"/>
        </w:rPr>
        <w:t>IX</w:t>
      </w:r>
      <w:r>
        <w:rPr>
          <w:lang w:val="en-US"/>
        </w:rPr>
        <w:t>,</w:t>
      </w:r>
      <w:r w:rsidR="00996B08">
        <w:rPr>
          <w:lang w:val="en-US"/>
        </w:rPr>
        <w:t xml:space="preserve"> X</w:t>
      </w:r>
      <w:r>
        <w:rPr>
          <w:lang w:val="en-US"/>
        </w:rPr>
        <w:t xml:space="preserve"> and </w:t>
      </w:r>
      <w:r w:rsidR="00996B08">
        <w:rPr>
          <w:lang w:val="en-US"/>
        </w:rPr>
        <w:t>XI</w:t>
      </w:r>
      <w:r>
        <w:rPr>
          <w:lang w:val="en-US"/>
        </w:rPr>
        <w:t xml:space="preserve">). </w:t>
      </w:r>
    </w:p>
    <w:p w14:paraId="735C18B1" w14:textId="77777777" w:rsidR="00EB71F8" w:rsidRPr="00A643FC" w:rsidRDefault="00EB71F8" w:rsidP="00EB71F8">
      <w:pPr>
        <w:spacing w:line="480" w:lineRule="auto"/>
        <w:jc w:val="center"/>
        <w:rPr>
          <w:lang w:val="en-US"/>
        </w:rPr>
      </w:pPr>
      <w:r w:rsidRPr="00A643FC">
        <w:rPr>
          <w:lang w:val="en-US"/>
        </w:rPr>
        <w:t>-------------------------------------------</w:t>
      </w:r>
    </w:p>
    <w:p w14:paraId="2F2C269A" w14:textId="0C792F47" w:rsidR="00EB71F8" w:rsidRPr="00A643FC" w:rsidRDefault="00EB71F8" w:rsidP="00EB71F8">
      <w:pPr>
        <w:spacing w:line="480" w:lineRule="auto"/>
        <w:jc w:val="center"/>
        <w:rPr>
          <w:lang w:val="en-US"/>
        </w:rPr>
      </w:pPr>
      <w:r w:rsidRPr="00A643FC">
        <w:rPr>
          <w:lang w:val="en-US"/>
        </w:rPr>
        <w:t xml:space="preserve">INSERT TABLE </w:t>
      </w:r>
      <w:r>
        <w:rPr>
          <w:lang w:val="en-US"/>
        </w:rPr>
        <w:t>IX</w:t>
      </w:r>
      <w:r w:rsidRPr="00A643FC">
        <w:rPr>
          <w:lang w:val="en-US"/>
        </w:rPr>
        <w:t xml:space="preserve"> ABOUT HERE</w:t>
      </w:r>
    </w:p>
    <w:p w14:paraId="4BD1B5CA" w14:textId="6B292C33" w:rsidR="00EB71F8" w:rsidRDefault="00EB71F8" w:rsidP="00EB71F8">
      <w:pPr>
        <w:spacing w:line="480" w:lineRule="auto"/>
        <w:jc w:val="center"/>
        <w:rPr>
          <w:lang w:val="en-US"/>
        </w:rPr>
      </w:pPr>
      <w:r w:rsidRPr="00A643FC">
        <w:rPr>
          <w:lang w:val="en-US"/>
        </w:rPr>
        <w:t>-------------------------------------------</w:t>
      </w:r>
    </w:p>
    <w:p w14:paraId="164F93F2" w14:textId="77777777" w:rsidR="00EB71F8" w:rsidRPr="00A643FC" w:rsidRDefault="00EB71F8" w:rsidP="00EB71F8">
      <w:pPr>
        <w:spacing w:line="480" w:lineRule="auto"/>
        <w:jc w:val="center"/>
        <w:rPr>
          <w:lang w:val="en-US"/>
        </w:rPr>
      </w:pPr>
      <w:r w:rsidRPr="00A643FC">
        <w:rPr>
          <w:lang w:val="en-US"/>
        </w:rPr>
        <w:t>-------------------------------------------</w:t>
      </w:r>
    </w:p>
    <w:p w14:paraId="05EB6A3B" w14:textId="3062D81E" w:rsidR="00EB71F8" w:rsidRPr="00A643FC" w:rsidRDefault="00EB71F8" w:rsidP="00EB71F8">
      <w:pPr>
        <w:spacing w:line="480" w:lineRule="auto"/>
        <w:jc w:val="center"/>
        <w:rPr>
          <w:lang w:val="en-US"/>
        </w:rPr>
      </w:pPr>
      <w:r w:rsidRPr="00A643FC">
        <w:rPr>
          <w:lang w:val="en-US"/>
        </w:rPr>
        <w:t xml:space="preserve">INSERT TABLE </w:t>
      </w:r>
      <w:r>
        <w:rPr>
          <w:lang w:val="en-US"/>
        </w:rPr>
        <w:t>X</w:t>
      </w:r>
      <w:r w:rsidRPr="00A643FC">
        <w:rPr>
          <w:lang w:val="en-US"/>
        </w:rPr>
        <w:t xml:space="preserve"> ABOUT HERE</w:t>
      </w:r>
    </w:p>
    <w:p w14:paraId="33571F91" w14:textId="77777777" w:rsidR="00EB71F8" w:rsidRDefault="00EB71F8" w:rsidP="00EB71F8">
      <w:pPr>
        <w:spacing w:line="480" w:lineRule="auto"/>
        <w:jc w:val="center"/>
        <w:rPr>
          <w:lang w:val="en-US"/>
        </w:rPr>
      </w:pPr>
      <w:r w:rsidRPr="00A643FC">
        <w:rPr>
          <w:lang w:val="en-US"/>
        </w:rPr>
        <w:t>-------------------------------------------</w:t>
      </w:r>
    </w:p>
    <w:p w14:paraId="2D43186B" w14:textId="77777777" w:rsidR="00EB71F8" w:rsidRPr="00A643FC" w:rsidRDefault="00EB71F8" w:rsidP="00EB71F8">
      <w:pPr>
        <w:spacing w:line="480" w:lineRule="auto"/>
        <w:jc w:val="center"/>
        <w:rPr>
          <w:lang w:val="en-US"/>
        </w:rPr>
      </w:pPr>
      <w:r w:rsidRPr="00A643FC">
        <w:rPr>
          <w:lang w:val="en-US"/>
        </w:rPr>
        <w:t>-------------------------------------------</w:t>
      </w:r>
    </w:p>
    <w:p w14:paraId="020C818A" w14:textId="7F516882" w:rsidR="00EB71F8" w:rsidRPr="00A643FC" w:rsidRDefault="00EB71F8" w:rsidP="00EB71F8">
      <w:pPr>
        <w:spacing w:line="480" w:lineRule="auto"/>
        <w:jc w:val="center"/>
        <w:rPr>
          <w:lang w:val="en-US"/>
        </w:rPr>
      </w:pPr>
      <w:r w:rsidRPr="00A643FC">
        <w:rPr>
          <w:lang w:val="en-US"/>
        </w:rPr>
        <w:t xml:space="preserve">INSERT TABLE </w:t>
      </w:r>
      <w:r>
        <w:rPr>
          <w:lang w:val="en-US"/>
        </w:rPr>
        <w:t>XI</w:t>
      </w:r>
      <w:r w:rsidRPr="00A643FC">
        <w:rPr>
          <w:lang w:val="en-US"/>
        </w:rPr>
        <w:t xml:space="preserve"> ABOUT HERE</w:t>
      </w:r>
    </w:p>
    <w:p w14:paraId="230B9329" w14:textId="21416C4D" w:rsidR="0006370D" w:rsidRDefault="00EB71F8" w:rsidP="00EB71F8">
      <w:pPr>
        <w:spacing w:line="480" w:lineRule="auto"/>
        <w:jc w:val="center"/>
        <w:rPr>
          <w:lang w:val="en-US"/>
        </w:rPr>
      </w:pPr>
      <w:r w:rsidRPr="00A643FC">
        <w:rPr>
          <w:lang w:val="en-US"/>
        </w:rPr>
        <w:t>-------------------------------------------</w:t>
      </w:r>
    </w:p>
    <w:p w14:paraId="0E1942E5" w14:textId="5CD9C72D" w:rsidR="0006370D" w:rsidRPr="00A15F45" w:rsidRDefault="0006370D" w:rsidP="0006370D">
      <w:pPr>
        <w:spacing w:line="480" w:lineRule="auto"/>
        <w:jc w:val="both"/>
        <w:rPr>
          <w:rStyle w:val="fontstyle01"/>
          <w:lang w:val="en-US"/>
        </w:rPr>
      </w:pPr>
      <w:r>
        <w:rPr>
          <w:lang w:val="en-US"/>
        </w:rPr>
        <w:t>Validity assessment could not go without further investigating the superiority of the proposed model in comparison with alternative models. Figure 1 depicts the t</w:t>
      </w:r>
      <w:r w:rsidR="00C823C0">
        <w:rPr>
          <w:lang w:val="en-US"/>
        </w:rPr>
        <w:t>wo</w:t>
      </w:r>
      <w:r>
        <w:rPr>
          <w:lang w:val="en-US"/>
        </w:rPr>
        <w:t xml:space="preserve"> models for which rigorous fit evaluations were performed. While Model A considered DC as a second-order reflexive construct (our proposed model), Model B consisted of considering DC as a first-order model with direct reflective indicators</w:t>
      </w:r>
    </w:p>
    <w:p w14:paraId="2C7095F7" w14:textId="0CD8EA64" w:rsidR="00EB71F8" w:rsidRPr="00A643FC" w:rsidRDefault="00EB71F8" w:rsidP="00EB71F8">
      <w:pPr>
        <w:spacing w:line="480" w:lineRule="auto"/>
        <w:jc w:val="center"/>
        <w:rPr>
          <w:lang w:val="en-US"/>
        </w:rPr>
      </w:pPr>
      <w:r w:rsidRPr="00A643FC">
        <w:rPr>
          <w:lang w:val="en-US"/>
        </w:rPr>
        <w:t>-------------------------------------------</w:t>
      </w:r>
    </w:p>
    <w:p w14:paraId="7635FA5F" w14:textId="55D9EFA0" w:rsidR="00EB71F8" w:rsidRPr="00A643FC" w:rsidRDefault="00EB71F8" w:rsidP="00EB71F8">
      <w:pPr>
        <w:spacing w:line="480" w:lineRule="auto"/>
        <w:jc w:val="center"/>
        <w:rPr>
          <w:lang w:val="en-US"/>
        </w:rPr>
      </w:pPr>
      <w:r w:rsidRPr="00A643FC">
        <w:rPr>
          <w:lang w:val="en-US"/>
        </w:rPr>
        <w:t xml:space="preserve">INSERT </w:t>
      </w:r>
      <w:r>
        <w:rPr>
          <w:lang w:val="en-US"/>
        </w:rPr>
        <w:t>FIGURE 1</w:t>
      </w:r>
      <w:r w:rsidRPr="00A643FC">
        <w:rPr>
          <w:lang w:val="en-US"/>
        </w:rPr>
        <w:t xml:space="preserve"> ABOUT HERE</w:t>
      </w:r>
    </w:p>
    <w:p w14:paraId="0FD2FFF5" w14:textId="77777777" w:rsidR="00EB71F8" w:rsidRDefault="00EB71F8" w:rsidP="00EB71F8">
      <w:pPr>
        <w:spacing w:line="480" w:lineRule="auto"/>
        <w:jc w:val="center"/>
        <w:rPr>
          <w:lang w:val="en-US"/>
        </w:rPr>
      </w:pPr>
      <w:r w:rsidRPr="00A643FC">
        <w:rPr>
          <w:lang w:val="en-US"/>
        </w:rPr>
        <w:t>-------------------------------------------</w:t>
      </w:r>
    </w:p>
    <w:p w14:paraId="1C619277" w14:textId="77777777" w:rsidR="0006370D" w:rsidRDefault="0006370D" w:rsidP="0006370D">
      <w:pPr>
        <w:spacing w:line="480" w:lineRule="auto"/>
        <w:jc w:val="both"/>
        <w:rPr>
          <w:lang w:val="en-US"/>
        </w:rPr>
      </w:pPr>
    </w:p>
    <w:p w14:paraId="663C9CE5" w14:textId="0AD9DE0C" w:rsidR="0006370D" w:rsidRDefault="00905286" w:rsidP="0006370D">
      <w:pPr>
        <w:spacing w:line="480" w:lineRule="auto"/>
        <w:jc w:val="both"/>
        <w:rPr>
          <w:lang w:val="en-US"/>
        </w:rPr>
      </w:pPr>
      <w:r>
        <w:rPr>
          <w:lang w:val="en-US"/>
        </w:rPr>
        <w:t>O</w:t>
      </w:r>
      <w:r w:rsidR="0006370D" w:rsidRPr="007C646E">
        <w:rPr>
          <w:lang w:val="en-US"/>
        </w:rPr>
        <w:t>f the t</w:t>
      </w:r>
      <w:r w:rsidR="00C823C0">
        <w:rPr>
          <w:lang w:val="en-US"/>
        </w:rPr>
        <w:t>wo</w:t>
      </w:r>
      <w:r w:rsidR="0006370D">
        <w:rPr>
          <w:lang w:val="en-US"/>
        </w:rPr>
        <w:t xml:space="preserve"> </w:t>
      </w:r>
      <w:r w:rsidR="0006370D" w:rsidRPr="007C646E">
        <w:rPr>
          <w:lang w:val="en-US"/>
        </w:rPr>
        <w:t xml:space="preserve">models, </w:t>
      </w:r>
      <w:r w:rsidR="0006370D">
        <w:rPr>
          <w:lang w:val="en-US"/>
        </w:rPr>
        <w:t>M</w:t>
      </w:r>
      <w:r w:rsidR="0006370D" w:rsidRPr="007C646E">
        <w:rPr>
          <w:lang w:val="en-US"/>
        </w:rPr>
        <w:t>odel A</w:t>
      </w:r>
      <w:r w:rsidR="0006370D">
        <w:rPr>
          <w:lang w:val="en-US"/>
        </w:rPr>
        <w:t xml:space="preserve"> demonstrated </w:t>
      </w:r>
      <w:r w:rsidR="00D062DB">
        <w:rPr>
          <w:lang w:val="en-US"/>
        </w:rPr>
        <w:t xml:space="preserve">the </w:t>
      </w:r>
      <w:r w:rsidR="00C823C0">
        <w:rPr>
          <w:lang w:val="en-US"/>
        </w:rPr>
        <w:t>be</w:t>
      </w:r>
      <w:r w:rsidR="00D062DB">
        <w:rPr>
          <w:lang w:val="en-US"/>
        </w:rPr>
        <w:t>s</w:t>
      </w:r>
      <w:r w:rsidR="00C823C0">
        <w:rPr>
          <w:lang w:val="en-US"/>
        </w:rPr>
        <w:t>t</w:t>
      </w:r>
      <w:r w:rsidR="0006370D">
        <w:rPr>
          <w:lang w:val="en-US"/>
        </w:rPr>
        <w:t xml:space="preserve"> fit indices </w:t>
      </w:r>
      <w:r w:rsidR="00C823C0">
        <w:rPr>
          <w:lang w:val="en-US"/>
        </w:rPr>
        <w:t>me</w:t>
      </w:r>
      <w:r w:rsidR="00510898">
        <w:rPr>
          <w:lang w:val="en-US"/>
        </w:rPr>
        <w:t>e</w:t>
      </w:r>
      <w:r w:rsidR="00C823C0">
        <w:rPr>
          <w:lang w:val="en-US"/>
        </w:rPr>
        <w:t>ting</w:t>
      </w:r>
      <w:r w:rsidR="0006370D" w:rsidRPr="00C42B73">
        <w:rPr>
          <w:lang w:val="en-US"/>
        </w:rPr>
        <w:t xml:space="preserve"> the general cut-off values</w:t>
      </w:r>
      <w:r w:rsidR="0006370D">
        <w:rPr>
          <w:lang w:val="en-US"/>
        </w:rPr>
        <w:t xml:space="preserve"> </w:t>
      </w:r>
      <w:r w:rsidR="0006370D" w:rsidRPr="00C42B73">
        <w:rPr>
          <w:lang w:val="en-US"/>
        </w:rPr>
        <w:t xml:space="preserve">(Hooper et al., 2008) for absolute, incremental and parsimony fit indices </w:t>
      </w:r>
      <w:r w:rsidR="0006370D" w:rsidRPr="007C646E">
        <w:rPr>
          <w:lang w:val="en-US"/>
        </w:rPr>
        <w:t>(</w:t>
      </w:r>
      <w:r w:rsidR="0006370D">
        <w:rPr>
          <w:lang w:val="en-US"/>
        </w:rPr>
        <w:t>χ</w:t>
      </w:r>
      <w:r w:rsidR="0006370D" w:rsidRPr="007C646E">
        <w:rPr>
          <w:lang w:val="en-US"/>
        </w:rPr>
        <w:t>²</w:t>
      </w:r>
      <w:r w:rsidR="0006370D" w:rsidRPr="007C646E">
        <w:rPr>
          <w:vertAlign w:val="subscript"/>
          <w:lang w:val="en-US"/>
        </w:rPr>
        <w:t xml:space="preserve">[398] </w:t>
      </w:r>
      <w:r w:rsidR="0006370D" w:rsidRPr="007C646E">
        <w:rPr>
          <w:lang w:val="en-US"/>
        </w:rPr>
        <w:t xml:space="preserve">= </w:t>
      </w:r>
      <w:r w:rsidR="0006370D">
        <w:rPr>
          <w:lang w:val="en-US"/>
        </w:rPr>
        <w:t>167.0</w:t>
      </w:r>
      <w:r w:rsidR="0006370D" w:rsidRPr="007C646E">
        <w:rPr>
          <w:lang w:val="en-US"/>
        </w:rPr>
        <w:t xml:space="preserve">, p &lt; </w:t>
      </w:r>
      <w:r w:rsidR="0006370D" w:rsidRPr="007C646E">
        <w:rPr>
          <w:lang w:val="en-US"/>
        </w:rPr>
        <w:lastRenderedPageBreak/>
        <w:t xml:space="preserve">0.000; CMIN/df = </w:t>
      </w:r>
      <w:r w:rsidR="0006370D">
        <w:rPr>
          <w:lang w:val="en-US"/>
        </w:rPr>
        <w:t>4.07</w:t>
      </w:r>
      <w:r w:rsidR="0006370D" w:rsidRPr="007C646E">
        <w:rPr>
          <w:lang w:val="en-US"/>
        </w:rPr>
        <w:t>; CFI = 0.9</w:t>
      </w:r>
      <w:r w:rsidR="0006370D">
        <w:rPr>
          <w:lang w:val="en-US"/>
        </w:rPr>
        <w:t>43</w:t>
      </w:r>
      <w:r w:rsidR="0006370D" w:rsidRPr="007C646E">
        <w:rPr>
          <w:lang w:val="en-US"/>
        </w:rPr>
        <w:t>; SRMR = 0.0</w:t>
      </w:r>
      <w:r w:rsidR="0006370D">
        <w:rPr>
          <w:lang w:val="en-US"/>
        </w:rPr>
        <w:t>72</w:t>
      </w:r>
      <w:r w:rsidR="0006370D" w:rsidRPr="007C646E">
        <w:rPr>
          <w:lang w:val="en-US"/>
        </w:rPr>
        <w:t>; RMSEA = 0.0</w:t>
      </w:r>
      <w:r w:rsidR="0006370D">
        <w:rPr>
          <w:lang w:val="en-US"/>
        </w:rPr>
        <w:t>88</w:t>
      </w:r>
      <w:r w:rsidR="0006370D" w:rsidRPr="007C646E">
        <w:rPr>
          <w:lang w:val="en-US"/>
        </w:rPr>
        <w:t>)</w:t>
      </w:r>
      <w:r w:rsidR="00C823C0">
        <w:rPr>
          <w:lang w:val="en-US"/>
        </w:rPr>
        <w:t>.</w:t>
      </w:r>
      <w:r w:rsidR="0006370D" w:rsidRPr="007C646E">
        <w:rPr>
          <w:lang w:val="en-US"/>
        </w:rPr>
        <w:t xml:space="preserve"> </w:t>
      </w:r>
      <w:r w:rsidR="00C823C0">
        <w:rPr>
          <w:lang w:val="en-US"/>
        </w:rPr>
        <w:t xml:space="preserve">While </w:t>
      </w:r>
      <w:r>
        <w:rPr>
          <w:lang w:val="en-US"/>
        </w:rPr>
        <w:t>Model B</w:t>
      </w:r>
      <w:r w:rsidR="0006370D">
        <w:rPr>
          <w:lang w:val="en-US"/>
        </w:rPr>
        <w:t xml:space="preserve"> had </w:t>
      </w:r>
      <w:r w:rsidR="00C823C0">
        <w:rPr>
          <w:lang w:val="en-US"/>
        </w:rPr>
        <w:t>bad</w:t>
      </w:r>
      <w:r w:rsidR="0006370D">
        <w:rPr>
          <w:lang w:val="en-US"/>
        </w:rPr>
        <w:t xml:space="preserve"> results with fit indices being far from the recommended thresholds </w:t>
      </w:r>
      <w:r w:rsidR="0006370D" w:rsidRPr="00C42B73">
        <w:rPr>
          <w:lang w:val="en-US"/>
        </w:rPr>
        <w:t>(</w:t>
      </w:r>
      <w:r w:rsidR="0006370D">
        <w:rPr>
          <w:lang w:val="en-US"/>
        </w:rPr>
        <w:t>χ</w:t>
      </w:r>
      <w:r w:rsidR="0006370D" w:rsidRPr="00C42B73">
        <w:rPr>
          <w:lang w:val="en-US"/>
        </w:rPr>
        <w:t>²</w:t>
      </w:r>
      <w:r w:rsidR="0006370D" w:rsidRPr="00C42B73">
        <w:rPr>
          <w:vertAlign w:val="subscript"/>
          <w:lang w:val="en-US"/>
        </w:rPr>
        <w:t xml:space="preserve">[398] </w:t>
      </w:r>
      <w:r w:rsidR="0006370D" w:rsidRPr="00C42B73">
        <w:rPr>
          <w:lang w:val="en-US"/>
        </w:rPr>
        <w:t xml:space="preserve">= </w:t>
      </w:r>
      <w:r w:rsidR="0006370D">
        <w:rPr>
          <w:lang w:val="en-US"/>
        </w:rPr>
        <w:t>529.9</w:t>
      </w:r>
      <w:r w:rsidR="0006370D" w:rsidRPr="00C42B73">
        <w:rPr>
          <w:lang w:val="en-US"/>
        </w:rPr>
        <w:t xml:space="preserve">, p &lt; 0.000; CMIN/df = </w:t>
      </w:r>
      <w:r w:rsidR="0006370D">
        <w:rPr>
          <w:lang w:val="en-US"/>
        </w:rPr>
        <w:t>12.52</w:t>
      </w:r>
      <w:r w:rsidR="0006370D" w:rsidRPr="00C42B73">
        <w:rPr>
          <w:lang w:val="en-US"/>
        </w:rPr>
        <w:t xml:space="preserve">; </w:t>
      </w:r>
      <w:r w:rsidR="0006370D">
        <w:rPr>
          <w:lang w:val="en-US"/>
        </w:rPr>
        <w:t>CFI = 0.782</w:t>
      </w:r>
      <w:r w:rsidR="0006370D" w:rsidRPr="00C42B73">
        <w:rPr>
          <w:lang w:val="en-US"/>
        </w:rPr>
        <w:t>; SRMR = 0.</w:t>
      </w:r>
      <w:r w:rsidR="0006370D">
        <w:rPr>
          <w:lang w:val="en-US"/>
        </w:rPr>
        <w:t>112</w:t>
      </w:r>
      <w:r w:rsidR="0006370D" w:rsidRPr="00C42B73">
        <w:rPr>
          <w:lang w:val="en-US"/>
        </w:rPr>
        <w:t>; RMSEA = 0.</w:t>
      </w:r>
      <w:r w:rsidR="0006370D">
        <w:rPr>
          <w:lang w:val="en-US"/>
        </w:rPr>
        <w:t>170</w:t>
      </w:r>
      <w:r w:rsidR="0006370D" w:rsidRPr="00C42B73">
        <w:rPr>
          <w:lang w:val="en-US"/>
        </w:rPr>
        <w:t>)</w:t>
      </w:r>
      <w:r w:rsidR="0006370D">
        <w:rPr>
          <w:lang w:val="en-US"/>
        </w:rPr>
        <w:t>. Th</w:t>
      </w:r>
      <w:r w:rsidR="00C823C0">
        <w:rPr>
          <w:lang w:val="en-US"/>
        </w:rPr>
        <w:t>ese</w:t>
      </w:r>
      <w:r w:rsidR="0006370D">
        <w:rPr>
          <w:lang w:val="en-US"/>
        </w:rPr>
        <w:t xml:space="preserve"> results clearly demonstrated the superiority of conceptualizing and operationalizing DC as a second-order construct instead of </w:t>
      </w:r>
      <w:r>
        <w:rPr>
          <w:lang w:val="en-US"/>
        </w:rPr>
        <w:t xml:space="preserve">a </w:t>
      </w:r>
      <w:r w:rsidR="0006370D">
        <w:rPr>
          <w:lang w:val="en-US"/>
        </w:rPr>
        <w:t xml:space="preserve">first-order one, </w:t>
      </w:r>
      <w:r>
        <w:rPr>
          <w:lang w:val="en-US"/>
        </w:rPr>
        <w:t>providing additional evidence of</w:t>
      </w:r>
      <w:r w:rsidR="0006370D">
        <w:rPr>
          <w:lang w:val="en-US"/>
        </w:rPr>
        <w:t xml:space="preserve"> the </w:t>
      </w:r>
      <w:r>
        <w:rPr>
          <w:lang w:val="en-US"/>
        </w:rPr>
        <w:t>proposed approach’s relevance. Overall, Stage</w:t>
      </w:r>
      <w:r w:rsidR="0006370D">
        <w:rPr>
          <w:lang w:val="en-US"/>
        </w:rPr>
        <w:t xml:space="preserve"> 2 results provided </w:t>
      </w:r>
      <w:r>
        <w:rPr>
          <w:lang w:val="en-US"/>
        </w:rPr>
        <w:t>strong support to</w:t>
      </w:r>
      <w:r w:rsidR="0006370D">
        <w:rPr>
          <w:lang w:val="en-US"/>
        </w:rPr>
        <w:t xml:space="preserve"> the psychometric properties of the developed measurement instrument at the individual level. Since DC is here treated as an instance of organizational climate, it was </w:t>
      </w:r>
      <w:r w:rsidR="0022519E">
        <w:rPr>
          <w:lang w:val="en-US"/>
        </w:rPr>
        <w:t xml:space="preserve">key </w:t>
      </w:r>
      <w:r w:rsidR="0006370D">
        <w:rPr>
          <w:lang w:val="en-US"/>
        </w:rPr>
        <w:t>to pursue our analysis at the aggregate level</w:t>
      </w:r>
      <w:r w:rsidR="0022519E">
        <w:rPr>
          <w:lang w:val="en-US"/>
        </w:rPr>
        <w:t xml:space="preserve"> </w:t>
      </w:r>
      <w:r w:rsidR="0006370D">
        <w:rPr>
          <w:lang w:val="en-US"/>
        </w:rPr>
        <w:t xml:space="preserve">to assess the validity of the </w:t>
      </w:r>
      <w:r w:rsidR="0022519E">
        <w:rPr>
          <w:lang w:val="en-US"/>
        </w:rPr>
        <w:t>developed scale</w:t>
      </w:r>
      <w:r w:rsidR="0006370D">
        <w:rPr>
          <w:lang w:val="en-US"/>
        </w:rPr>
        <w:t>.</w:t>
      </w:r>
    </w:p>
    <w:p w14:paraId="3E5BE9D6" w14:textId="77777777" w:rsidR="0006370D" w:rsidRDefault="0006370D" w:rsidP="0006370D">
      <w:pPr>
        <w:pStyle w:val="Titre2"/>
      </w:pPr>
      <w:r>
        <w:t>Stage 3</w:t>
      </w:r>
      <w:r w:rsidRPr="001F5641">
        <w:t xml:space="preserve">: </w:t>
      </w:r>
      <w:r w:rsidRPr="00714946">
        <w:t>Scale validation at aggregate level</w:t>
      </w:r>
      <w:r w:rsidRPr="001A1268">
        <w:t xml:space="preserve"> </w:t>
      </w:r>
    </w:p>
    <w:p w14:paraId="4FB31CB6" w14:textId="157103D4" w:rsidR="0006370D" w:rsidRPr="0070605A" w:rsidRDefault="0006370D" w:rsidP="0006370D">
      <w:pPr>
        <w:spacing w:line="480" w:lineRule="auto"/>
        <w:jc w:val="both"/>
        <w:rPr>
          <w:lang w:val="en-US"/>
        </w:rPr>
      </w:pPr>
      <w:r w:rsidRPr="00EA5597">
        <w:rPr>
          <w:lang w:val="en-US" w:eastAsia="en-GB"/>
        </w:rPr>
        <w:t xml:space="preserve">Data </w:t>
      </w:r>
      <w:r>
        <w:rPr>
          <w:lang w:val="en-US" w:eastAsia="en-GB"/>
        </w:rPr>
        <w:t>was collected in two organizations through</w:t>
      </w:r>
      <w:r w:rsidRPr="00EA5597">
        <w:rPr>
          <w:lang w:val="en-US" w:eastAsia="en-GB"/>
        </w:rPr>
        <w:t xml:space="preserve"> an online survey</w:t>
      </w:r>
      <w:r>
        <w:rPr>
          <w:lang w:val="en-US" w:eastAsia="en-GB"/>
        </w:rPr>
        <w:t xml:space="preserve"> (Study 3)</w:t>
      </w:r>
      <w:r w:rsidRPr="00FC6207">
        <w:rPr>
          <w:lang w:val="en-US" w:eastAsia="en-GB"/>
        </w:rPr>
        <w:t>.</w:t>
      </w:r>
      <w:r>
        <w:rPr>
          <w:lang w:val="en-US" w:eastAsia="en-GB"/>
        </w:rPr>
        <w:t xml:space="preserve"> The first sub-sample consisted in </w:t>
      </w:r>
      <w:r w:rsidRPr="00F2339F">
        <w:rPr>
          <w:lang w:val="en-US" w:eastAsia="en-GB"/>
        </w:rPr>
        <w:t>101 respon</w:t>
      </w:r>
      <w:r>
        <w:rPr>
          <w:lang w:val="en-US" w:eastAsia="en-GB"/>
        </w:rPr>
        <w:t>dents</w:t>
      </w:r>
      <w:r w:rsidRPr="007032EC">
        <w:rPr>
          <w:lang w:val="en-US" w:eastAsia="en-GB"/>
        </w:rPr>
        <w:t xml:space="preserve"> </w:t>
      </w:r>
      <w:r>
        <w:rPr>
          <w:lang w:val="en-US" w:eastAsia="en-GB"/>
        </w:rPr>
        <w:t>from</w:t>
      </w:r>
      <w:r w:rsidRPr="007032EC">
        <w:rPr>
          <w:lang w:val="en-US" w:eastAsia="en-GB"/>
        </w:rPr>
        <w:t xml:space="preserve"> </w:t>
      </w:r>
      <w:r>
        <w:rPr>
          <w:lang w:val="en-US" w:eastAsia="en-GB"/>
        </w:rPr>
        <w:t>5 different subsidiaries of a European manufacturing</w:t>
      </w:r>
      <w:r w:rsidRPr="00EA5597">
        <w:rPr>
          <w:lang w:val="en-US" w:eastAsia="en-GB"/>
        </w:rPr>
        <w:t xml:space="preserve"> company</w:t>
      </w:r>
      <w:r>
        <w:rPr>
          <w:lang w:val="en-US" w:eastAsia="en-GB"/>
        </w:rPr>
        <w:t>. Respondents were</w:t>
      </w:r>
      <w:r w:rsidRPr="00F2339F">
        <w:rPr>
          <w:lang w:val="en-US" w:eastAsia="en-GB"/>
        </w:rPr>
        <w:t xml:space="preserve"> 63%</w:t>
      </w:r>
      <w:r>
        <w:rPr>
          <w:lang w:val="en-US" w:eastAsia="en-GB"/>
        </w:rPr>
        <w:t xml:space="preserve"> female,</w:t>
      </w:r>
      <w:r w:rsidRPr="00F2339F">
        <w:rPr>
          <w:lang w:val="en-US" w:eastAsia="en-GB"/>
        </w:rPr>
        <w:t xml:space="preserve"> 36%</w:t>
      </w:r>
      <w:r>
        <w:rPr>
          <w:lang w:val="en-US" w:eastAsia="en-GB"/>
        </w:rPr>
        <w:t xml:space="preserve"> male, </w:t>
      </w:r>
      <w:r w:rsidRPr="00F2339F">
        <w:rPr>
          <w:lang w:val="en-US" w:eastAsia="en-GB"/>
        </w:rPr>
        <w:t>1% “other”, the</w:t>
      </w:r>
      <w:r>
        <w:rPr>
          <w:lang w:val="en-US" w:eastAsia="en-GB"/>
        </w:rPr>
        <w:t>ir</w:t>
      </w:r>
      <w:r w:rsidRPr="00F2339F">
        <w:rPr>
          <w:lang w:val="en-US" w:eastAsia="en-GB"/>
        </w:rPr>
        <w:t xml:space="preserve"> average age was 41.7 years and 35% h</w:t>
      </w:r>
      <w:r>
        <w:rPr>
          <w:lang w:val="en-US" w:eastAsia="en-GB"/>
        </w:rPr>
        <w:t>e</w:t>
      </w:r>
      <w:r w:rsidRPr="00F2339F">
        <w:rPr>
          <w:lang w:val="en-US" w:eastAsia="en-GB"/>
        </w:rPr>
        <w:t>ld a management position.</w:t>
      </w:r>
      <w:r>
        <w:rPr>
          <w:lang w:val="en-US" w:eastAsia="en-GB"/>
        </w:rPr>
        <w:t xml:space="preserve"> The </w:t>
      </w:r>
      <w:r w:rsidR="00C8079B">
        <w:rPr>
          <w:lang w:val="en-US" w:eastAsia="en-GB"/>
        </w:rPr>
        <w:t xml:space="preserve">second </w:t>
      </w:r>
      <w:r>
        <w:rPr>
          <w:lang w:val="en-US" w:eastAsia="en-GB"/>
        </w:rPr>
        <w:t>sub-sample gathered 120</w:t>
      </w:r>
      <w:r w:rsidRPr="00F2339F">
        <w:rPr>
          <w:lang w:val="en-US" w:eastAsia="en-GB"/>
        </w:rPr>
        <w:t xml:space="preserve"> respon</w:t>
      </w:r>
      <w:r>
        <w:rPr>
          <w:lang w:val="en-US" w:eastAsia="en-GB"/>
        </w:rPr>
        <w:t>ses</w:t>
      </w:r>
      <w:r w:rsidRPr="007032EC">
        <w:rPr>
          <w:lang w:val="en-US" w:eastAsia="en-GB"/>
        </w:rPr>
        <w:t xml:space="preserve"> </w:t>
      </w:r>
      <w:r>
        <w:rPr>
          <w:lang w:val="en-US" w:eastAsia="en-GB"/>
        </w:rPr>
        <w:t>from</w:t>
      </w:r>
      <w:r w:rsidRPr="007032EC">
        <w:rPr>
          <w:lang w:val="en-US" w:eastAsia="en-GB"/>
        </w:rPr>
        <w:t xml:space="preserve"> </w:t>
      </w:r>
      <w:r>
        <w:rPr>
          <w:lang w:val="en-US" w:eastAsia="en-GB"/>
        </w:rPr>
        <w:t xml:space="preserve">a group composed of 6 </w:t>
      </w:r>
      <w:r w:rsidR="0011790C">
        <w:rPr>
          <w:lang w:val="en-US" w:eastAsia="en-GB"/>
        </w:rPr>
        <w:t xml:space="preserve">distinct </w:t>
      </w:r>
      <w:r w:rsidR="00C8079B">
        <w:rPr>
          <w:lang w:val="en-US" w:eastAsia="en-GB"/>
        </w:rPr>
        <w:t>hotels</w:t>
      </w:r>
      <w:r>
        <w:rPr>
          <w:lang w:val="en-US" w:eastAsia="en-GB"/>
        </w:rPr>
        <w:t>. It</w:t>
      </w:r>
      <w:r w:rsidRPr="00F2339F">
        <w:rPr>
          <w:lang w:val="en-US" w:eastAsia="en-GB"/>
        </w:rPr>
        <w:t xml:space="preserve"> was </w:t>
      </w:r>
      <w:r>
        <w:rPr>
          <w:lang w:val="en-US" w:eastAsia="en-GB"/>
        </w:rPr>
        <w:t xml:space="preserve">43% </w:t>
      </w:r>
      <w:r w:rsidRPr="00F2339F">
        <w:rPr>
          <w:lang w:val="en-US" w:eastAsia="en-GB"/>
        </w:rPr>
        <w:t xml:space="preserve">female, </w:t>
      </w:r>
      <w:r>
        <w:rPr>
          <w:lang w:val="en-US" w:eastAsia="en-GB"/>
        </w:rPr>
        <w:t xml:space="preserve">54% </w:t>
      </w:r>
      <w:r w:rsidRPr="00F2339F">
        <w:rPr>
          <w:lang w:val="en-US" w:eastAsia="en-GB"/>
        </w:rPr>
        <w:t>male</w:t>
      </w:r>
      <w:r>
        <w:rPr>
          <w:lang w:val="en-US" w:eastAsia="en-GB"/>
        </w:rPr>
        <w:t>, 3</w:t>
      </w:r>
      <w:r w:rsidRPr="00F2339F">
        <w:rPr>
          <w:lang w:val="en-US" w:eastAsia="en-GB"/>
        </w:rPr>
        <w:t>%</w:t>
      </w:r>
      <w:r>
        <w:rPr>
          <w:lang w:val="en-US" w:eastAsia="en-GB"/>
        </w:rPr>
        <w:t xml:space="preserve">, </w:t>
      </w:r>
      <w:r w:rsidRPr="00F2339F">
        <w:rPr>
          <w:lang w:val="en-US" w:eastAsia="en-GB"/>
        </w:rPr>
        <w:t xml:space="preserve">“other”, the average age was </w:t>
      </w:r>
      <w:r>
        <w:rPr>
          <w:lang w:val="en-US" w:eastAsia="en-GB"/>
        </w:rPr>
        <w:t>31.6</w:t>
      </w:r>
      <w:r w:rsidRPr="00F2339F">
        <w:rPr>
          <w:lang w:val="en-US" w:eastAsia="en-GB"/>
        </w:rPr>
        <w:t xml:space="preserve"> years and </w:t>
      </w:r>
      <w:r>
        <w:rPr>
          <w:lang w:val="en-US" w:eastAsia="en-GB"/>
        </w:rPr>
        <w:t>25</w:t>
      </w:r>
      <w:r w:rsidRPr="00F2339F">
        <w:rPr>
          <w:lang w:val="en-US" w:eastAsia="en-GB"/>
        </w:rPr>
        <w:t>% h</w:t>
      </w:r>
      <w:r>
        <w:rPr>
          <w:lang w:val="en-US" w:eastAsia="en-GB"/>
        </w:rPr>
        <w:t>e</w:t>
      </w:r>
      <w:r w:rsidRPr="00F2339F">
        <w:rPr>
          <w:lang w:val="en-US" w:eastAsia="en-GB"/>
        </w:rPr>
        <w:t>ld a management position.</w:t>
      </w:r>
      <w:r>
        <w:rPr>
          <w:lang w:val="en-US" w:eastAsia="en-GB"/>
        </w:rPr>
        <w:t xml:space="preserve"> </w:t>
      </w:r>
      <w:r>
        <w:rPr>
          <w:lang w:val="en-US"/>
        </w:rPr>
        <w:t>The subsidiary was chosen as the aggregate level for DC assessment because of two key contextual characteristics. First,</w:t>
      </w:r>
      <w:r w:rsidRPr="00E66025">
        <w:rPr>
          <w:lang w:val="en-US"/>
        </w:rPr>
        <w:t xml:space="preserve"> </w:t>
      </w:r>
      <w:r>
        <w:rPr>
          <w:lang w:val="en-US"/>
        </w:rPr>
        <w:t xml:space="preserve">each subsidiary is relatively independent for implementing </w:t>
      </w:r>
      <w:r w:rsidR="004E7504">
        <w:rPr>
          <w:lang w:val="en-US"/>
        </w:rPr>
        <w:t>HR</w:t>
      </w:r>
      <w:r>
        <w:rPr>
          <w:lang w:val="en-US"/>
        </w:rPr>
        <w:t xml:space="preserve"> and diversity policies. Second, people mainly </w:t>
      </w:r>
      <w:r w:rsidR="00BE347E">
        <w:rPr>
          <w:lang w:val="en-US"/>
        </w:rPr>
        <w:t xml:space="preserve">experience practices and </w:t>
      </w:r>
      <w:r>
        <w:rPr>
          <w:lang w:val="en-US"/>
        </w:rPr>
        <w:t xml:space="preserve">integrate socially at the proximal level </w:t>
      </w:r>
      <w:r w:rsidRPr="00D32B90">
        <w:rPr>
          <w:lang w:val="en-US"/>
        </w:rPr>
        <w:t>(Beus et al., 2017).</w:t>
      </w:r>
      <w:r>
        <w:rPr>
          <w:lang w:val="en-US"/>
        </w:rPr>
        <w:t xml:space="preserve"> </w:t>
      </w:r>
      <w:r>
        <w:rPr>
          <w:lang w:val="en-US" w:eastAsia="en-GB"/>
        </w:rPr>
        <w:t>Before proceeding to aggregate level analyses, we confirm</w:t>
      </w:r>
      <w:r w:rsidR="004E7504">
        <w:rPr>
          <w:lang w:val="en-US" w:eastAsia="en-GB"/>
        </w:rPr>
        <w:t>ed</w:t>
      </w:r>
      <w:r>
        <w:rPr>
          <w:lang w:val="en-US" w:eastAsia="en-GB"/>
        </w:rPr>
        <w:t xml:space="preserve"> that aggregate data adequately represent the </w:t>
      </w:r>
      <w:r w:rsidR="00BE347E">
        <w:rPr>
          <w:lang w:val="en-US"/>
        </w:rPr>
        <w:t>unit</w:t>
      </w:r>
      <w:r w:rsidR="00BE347E">
        <w:rPr>
          <w:lang w:val="en-US" w:eastAsia="en-GB"/>
        </w:rPr>
        <w:t xml:space="preserve">’s </w:t>
      </w:r>
      <w:r>
        <w:rPr>
          <w:lang w:val="en-US" w:eastAsia="en-GB"/>
        </w:rPr>
        <w:t>DC. First, we tested for both within-unit agreement and between-unit variance through the ICC</w:t>
      </w:r>
      <w:r w:rsidRPr="00714946">
        <w:rPr>
          <w:vertAlign w:val="subscript"/>
          <w:lang w:val="en-US" w:eastAsia="en-GB"/>
        </w:rPr>
        <w:t>1</w:t>
      </w:r>
      <w:r>
        <w:rPr>
          <w:lang w:val="en-US" w:eastAsia="en-GB"/>
        </w:rPr>
        <w:t xml:space="preserve"> and ICC</w:t>
      </w:r>
      <w:r w:rsidRPr="00714946">
        <w:rPr>
          <w:vertAlign w:val="subscript"/>
          <w:lang w:val="en-US" w:eastAsia="en-GB"/>
        </w:rPr>
        <w:t>2</w:t>
      </w:r>
      <w:r>
        <w:rPr>
          <w:lang w:val="en-US" w:eastAsia="en-GB"/>
        </w:rPr>
        <w:t xml:space="preserve"> criteria. We found low variance</w:t>
      </w:r>
      <w:r w:rsidRPr="006E5E14">
        <w:rPr>
          <w:lang w:val="en-US" w:eastAsia="en-GB"/>
        </w:rPr>
        <w:t xml:space="preserve"> </w:t>
      </w:r>
      <w:r>
        <w:rPr>
          <w:lang w:val="en-US" w:eastAsia="en-GB"/>
        </w:rPr>
        <w:t xml:space="preserve">within units, high variance </w:t>
      </w:r>
      <w:r w:rsidRPr="006E5E14">
        <w:rPr>
          <w:lang w:val="en-US" w:eastAsia="en-GB"/>
        </w:rPr>
        <w:t>between</w:t>
      </w:r>
      <w:r>
        <w:rPr>
          <w:lang w:val="en-US" w:eastAsia="en-GB"/>
        </w:rPr>
        <w:t xml:space="preserve"> units</w:t>
      </w:r>
      <w:r w:rsidRPr="006E5E14">
        <w:rPr>
          <w:lang w:val="en-US" w:eastAsia="en-GB"/>
        </w:rPr>
        <w:t xml:space="preserve"> </w:t>
      </w:r>
      <w:r w:rsidRPr="00470AA1">
        <w:rPr>
          <w:lang w:val="en-US" w:eastAsia="en-GB"/>
        </w:rPr>
        <w:t>and a good reliability of the group means</w:t>
      </w:r>
      <w:r>
        <w:rPr>
          <w:lang w:val="en-US" w:eastAsia="en-GB"/>
        </w:rPr>
        <w:t xml:space="preserve"> (ICC</w:t>
      </w:r>
      <w:r>
        <w:rPr>
          <w:vertAlign w:val="subscript"/>
          <w:lang w:val="en-US" w:eastAsia="en-GB"/>
        </w:rPr>
        <w:t>1</w:t>
      </w:r>
      <w:r>
        <w:rPr>
          <w:lang w:val="en-US" w:eastAsia="en-GB"/>
        </w:rPr>
        <w:t xml:space="preserve"> = 0.18; ICC</w:t>
      </w:r>
      <w:r>
        <w:rPr>
          <w:vertAlign w:val="subscript"/>
          <w:lang w:val="en-US" w:eastAsia="en-GB"/>
        </w:rPr>
        <w:t>2</w:t>
      </w:r>
      <w:r w:rsidRPr="00D32B90">
        <w:rPr>
          <w:lang w:val="en-US" w:eastAsia="en-GB"/>
        </w:rPr>
        <w:t xml:space="preserve"> = 0.92)</w:t>
      </w:r>
      <w:r>
        <w:rPr>
          <w:lang w:val="en-US" w:eastAsia="en-GB"/>
        </w:rPr>
        <w:t>. This made us confident that</w:t>
      </w:r>
      <w:r w:rsidRPr="00470AA1">
        <w:rPr>
          <w:lang w:val="en-US" w:eastAsia="en-GB"/>
        </w:rPr>
        <w:t xml:space="preserve"> unit-level </w:t>
      </w:r>
      <w:r>
        <w:rPr>
          <w:lang w:val="en-US" w:eastAsia="en-GB"/>
        </w:rPr>
        <w:t>DC</w:t>
      </w:r>
      <w:r w:rsidRPr="00470AA1">
        <w:rPr>
          <w:lang w:val="en-US" w:eastAsia="en-GB"/>
        </w:rPr>
        <w:t xml:space="preserve"> is well explained by </w:t>
      </w:r>
      <w:r>
        <w:rPr>
          <w:lang w:val="en-US"/>
        </w:rPr>
        <w:t>subsidiary</w:t>
      </w:r>
      <w:r w:rsidRPr="00470AA1">
        <w:rPr>
          <w:lang w:val="en-US" w:eastAsia="en-GB"/>
        </w:rPr>
        <w:t xml:space="preserve"> membership (LeBreton and Senter, 2008). Second, </w:t>
      </w:r>
      <w:r>
        <w:rPr>
          <w:lang w:val="en-US" w:eastAsia="en-GB"/>
        </w:rPr>
        <w:t>we assessed within-unit agreement through the r</w:t>
      </w:r>
      <w:r w:rsidRPr="00EC54EF">
        <w:rPr>
          <w:vertAlign w:val="subscript"/>
          <w:lang w:val="en-US" w:eastAsia="en-GB"/>
        </w:rPr>
        <w:t xml:space="preserve">wg(j) </w:t>
      </w:r>
      <w:r>
        <w:rPr>
          <w:lang w:val="en-US" w:eastAsia="en-GB"/>
        </w:rPr>
        <w:lastRenderedPageBreak/>
        <w:t>criteria to identify whether DC may represent a unit-level manifestation of the construct with enough relevance. W</w:t>
      </w:r>
      <w:r w:rsidRPr="00470AA1">
        <w:rPr>
          <w:lang w:val="en-US" w:eastAsia="en-GB"/>
        </w:rPr>
        <w:t>e assessed the median r</w:t>
      </w:r>
      <w:r w:rsidRPr="00470AA1">
        <w:rPr>
          <w:vertAlign w:val="subscript"/>
          <w:lang w:val="en-US" w:eastAsia="en-GB"/>
        </w:rPr>
        <w:t xml:space="preserve">wg(j) </w:t>
      </w:r>
      <w:r w:rsidRPr="00470AA1">
        <w:rPr>
          <w:lang w:val="en-US" w:eastAsia="en-GB"/>
        </w:rPr>
        <w:t>with a uniform distribution</w:t>
      </w:r>
      <w:r w:rsidRPr="00EC2D38">
        <w:rPr>
          <w:lang w:val="en-US" w:eastAsia="en-GB"/>
        </w:rPr>
        <w:t xml:space="preserve">. It was </w:t>
      </w:r>
      <w:r w:rsidRPr="00470AA1">
        <w:rPr>
          <w:lang w:val="en-US" w:eastAsia="en-GB"/>
        </w:rPr>
        <w:t xml:space="preserve">of </w:t>
      </w:r>
      <w:r w:rsidRPr="00D32B90">
        <w:rPr>
          <w:lang w:val="en-US" w:eastAsia="en-GB"/>
        </w:rPr>
        <w:t>0.95 (ranged from 0.92 to 0.98</w:t>
      </w:r>
      <w:r>
        <w:rPr>
          <w:lang w:val="en-US" w:eastAsia="en-GB"/>
        </w:rPr>
        <w:t xml:space="preserve">), indicating a high level of consensus within </w:t>
      </w:r>
      <w:r w:rsidR="0037021E">
        <w:rPr>
          <w:lang w:val="en-US" w:eastAsia="en-GB"/>
        </w:rPr>
        <w:t>units</w:t>
      </w:r>
      <w:r>
        <w:rPr>
          <w:lang w:val="en-US" w:eastAsia="en-GB"/>
        </w:rPr>
        <w:t>.</w:t>
      </w:r>
    </w:p>
    <w:p w14:paraId="256151A7" w14:textId="77777777" w:rsidR="0006370D" w:rsidRPr="00714946" w:rsidRDefault="0006370D" w:rsidP="0006370D">
      <w:pPr>
        <w:pStyle w:val="Titre3"/>
        <w:spacing w:line="480" w:lineRule="auto"/>
        <w:rPr>
          <w:rFonts w:cs="Times New Roman"/>
          <w:szCs w:val="24"/>
        </w:rPr>
      </w:pPr>
      <w:bookmarkStart w:id="15" w:name="_Toc528231603"/>
      <w:r w:rsidRPr="00714946">
        <w:rPr>
          <w:rFonts w:cs="Times New Roman"/>
          <w:szCs w:val="24"/>
        </w:rPr>
        <w:t xml:space="preserve">Nomological validity </w:t>
      </w:r>
      <w:bookmarkEnd w:id="15"/>
      <w:r w:rsidRPr="00714946">
        <w:rPr>
          <w:rFonts w:cs="Times New Roman"/>
          <w:szCs w:val="24"/>
        </w:rPr>
        <w:t>assessment</w:t>
      </w:r>
    </w:p>
    <w:p w14:paraId="21863DD9" w14:textId="6417E9B0" w:rsidR="0006370D" w:rsidRPr="00905C88" w:rsidRDefault="0006370D" w:rsidP="0006370D">
      <w:pPr>
        <w:spacing w:line="480" w:lineRule="auto"/>
        <w:jc w:val="both"/>
        <w:rPr>
          <w:lang w:val="en-US"/>
        </w:rPr>
      </w:pPr>
      <w:r w:rsidRPr="00714946">
        <w:rPr>
          <w:lang w:val="en-US"/>
        </w:rPr>
        <w:t>The assessment of the nomological network surrounding a focal construct is an essential step during the scale development process. In order to evaluate the nomological validity of a focal construct, data for constructs that a</w:t>
      </w:r>
      <w:r w:rsidR="00F372CF">
        <w:rPr>
          <w:lang w:val="en-US"/>
        </w:rPr>
        <w:t>re theoretically connected should</w:t>
      </w:r>
      <w:r w:rsidRPr="00714946">
        <w:rPr>
          <w:lang w:val="en-US"/>
        </w:rPr>
        <w:t xml:space="preserve"> be collected (MacKenzie et al.</w:t>
      </w:r>
      <w:r w:rsidR="00922622">
        <w:rPr>
          <w:lang w:val="en-US"/>
        </w:rPr>
        <w:t>,</w:t>
      </w:r>
      <w:r w:rsidRPr="00714946">
        <w:rPr>
          <w:lang w:val="en-US"/>
        </w:rPr>
        <w:t xml:space="preserve"> 2011). </w:t>
      </w:r>
    </w:p>
    <w:p w14:paraId="35FF80EE" w14:textId="5DDF8A4E" w:rsidR="0006370D" w:rsidRDefault="0006370D" w:rsidP="0006370D">
      <w:pPr>
        <w:spacing w:line="480" w:lineRule="auto"/>
        <w:jc w:val="both"/>
        <w:rPr>
          <w:lang w:val="en-US" w:eastAsia="en-GB"/>
        </w:rPr>
      </w:pPr>
      <w:r w:rsidRPr="00714946">
        <w:rPr>
          <w:b/>
          <w:lang w:val="en-US" w:eastAsia="en-GB"/>
        </w:rPr>
        <w:t>Social integration</w:t>
      </w:r>
      <w:r w:rsidRPr="00714946">
        <w:rPr>
          <w:lang w:val="en-US" w:eastAsia="en-GB"/>
        </w:rPr>
        <w:t xml:space="preserve">. </w:t>
      </w:r>
      <w:r w:rsidRPr="0048338A">
        <w:rPr>
          <w:lang w:val="en-US" w:eastAsia="en-GB"/>
        </w:rPr>
        <w:t>S</w:t>
      </w:r>
      <w:r w:rsidR="00484D1A">
        <w:rPr>
          <w:lang w:val="en-US" w:eastAsia="en-GB"/>
        </w:rPr>
        <w:t xml:space="preserve">I </w:t>
      </w:r>
      <w:r w:rsidRPr="0048338A">
        <w:rPr>
          <w:lang w:val="en-US" w:eastAsia="en-GB"/>
        </w:rPr>
        <w:t>deals with the development of relationships with colleagues and peers within t</w:t>
      </w:r>
      <w:r>
        <w:rPr>
          <w:lang w:val="en-US" w:eastAsia="en-GB"/>
        </w:rPr>
        <w:t>he organization and is key</w:t>
      </w:r>
      <w:r w:rsidRPr="0048338A">
        <w:rPr>
          <w:lang w:val="en-US" w:eastAsia="en-GB"/>
        </w:rPr>
        <w:t xml:space="preserve"> to collect</w:t>
      </w:r>
      <w:r>
        <w:rPr>
          <w:lang w:val="en-US" w:eastAsia="en-GB"/>
        </w:rPr>
        <w:t>ing</w:t>
      </w:r>
      <w:r w:rsidRPr="0048338A">
        <w:rPr>
          <w:lang w:val="en-US" w:eastAsia="en-GB"/>
        </w:rPr>
        <w:t xml:space="preserve"> information and adjust</w:t>
      </w:r>
      <w:r>
        <w:rPr>
          <w:lang w:val="en-US" w:eastAsia="en-GB"/>
        </w:rPr>
        <w:t>ing</w:t>
      </w:r>
      <w:r w:rsidRPr="0048338A">
        <w:rPr>
          <w:lang w:val="en-US" w:eastAsia="en-GB"/>
        </w:rPr>
        <w:t xml:space="preserve"> to the work environment </w:t>
      </w:r>
      <w:r w:rsidRPr="00E52A80">
        <w:rPr>
          <w:lang w:val="en-US" w:eastAsia="en-GB"/>
        </w:rPr>
        <w:t>(</w:t>
      </w:r>
      <w:r w:rsidRPr="00AA037D">
        <w:rPr>
          <w:lang w:val="en-US" w:eastAsia="en-GB"/>
        </w:rPr>
        <w:t>Morrison, 1993</w:t>
      </w:r>
      <w:r w:rsidRPr="0048338A">
        <w:rPr>
          <w:lang w:val="en-US" w:eastAsia="en-GB"/>
        </w:rPr>
        <w:t xml:space="preserve">). </w:t>
      </w:r>
      <w:r>
        <w:rPr>
          <w:lang w:val="en-US" w:eastAsia="en-GB"/>
        </w:rPr>
        <w:t>When d</w:t>
      </w:r>
      <w:r w:rsidRPr="00EB7F7B">
        <w:rPr>
          <w:lang w:val="en-US" w:eastAsia="en-GB"/>
        </w:rPr>
        <w:t xml:space="preserve">eveloping interactions and relationships with colleagues, employees increase their </w:t>
      </w:r>
      <w:r>
        <w:rPr>
          <w:lang w:val="en-US" w:eastAsia="en-GB"/>
        </w:rPr>
        <w:t xml:space="preserve">understanding of the work environment and </w:t>
      </w:r>
      <w:r w:rsidRPr="007B2D06">
        <w:rPr>
          <w:lang w:val="en-US" w:eastAsia="en-GB"/>
        </w:rPr>
        <w:t>strengthen</w:t>
      </w:r>
      <w:r>
        <w:rPr>
          <w:lang w:val="en-US" w:eastAsia="en-GB"/>
        </w:rPr>
        <w:t xml:space="preserve"> their </w:t>
      </w:r>
      <w:r w:rsidRPr="00EB7F7B">
        <w:rPr>
          <w:lang w:val="en-US" w:eastAsia="en-GB"/>
        </w:rPr>
        <w:t xml:space="preserve">feeling of being part of the </w:t>
      </w:r>
      <w:r>
        <w:rPr>
          <w:lang w:val="en-US" w:eastAsia="en-GB"/>
        </w:rPr>
        <w:t>unit</w:t>
      </w:r>
      <w:r w:rsidRPr="00EB7F7B">
        <w:rPr>
          <w:lang w:val="en-US" w:eastAsia="en-GB"/>
        </w:rPr>
        <w:t xml:space="preserve">. </w:t>
      </w:r>
      <w:r w:rsidR="004E7504">
        <w:rPr>
          <w:lang w:val="en-US" w:eastAsia="en-GB"/>
        </w:rPr>
        <w:t>DC</w:t>
      </w:r>
      <w:r w:rsidR="004E7504" w:rsidRPr="00261247">
        <w:rPr>
          <w:lang w:val="en-US" w:eastAsia="en-GB"/>
        </w:rPr>
        <w:t xml:space="preserve"> highlight</w:t>
      </w:r>
      <w:r w:rsidR="004E7504">
        <w:rPr>
          <w:lang w:val="en-US" w:eastAsia="en-GB"/>
        </w:rPr>
        <w:t>s</w:t>
      </w:r>
      <w:r w:rsidR="004E7504" w:rsidRPr="00261247">
        <w:rPr>
          <w:lang w:val="en-US" w:eastAsia="en-GB"/>
        </w:rPr>
        <w:t xml:space="preserve"> </w:t>
      </w:r>
      <w:r w:rsidR="004E7504">
        <w:rPr>
          <w:lang w:val="en-US" w:eastAsia="en-GB"/>
        </w:rPr>
        <w:t xml:space="preserve">that diverse people are </w:t>
      </w:r>
      <w:r w:rsidR="004E7504" w:rsidRPr="00261247">
        <w:rPr>
          <w:lang w:val="en-US" w:eastAsia="en-GB"/>
        </w:rPr>
        <w:t>recog</w:t>
      </w:r>
      <w:r w:rsidR="004E7504">
        <w:rPr>
          <w:lang w:val="en-US" w:eastAsia="en-GB"/>
        </w:rPr>
        <w:t>nized and valued whatever their</w:t>
      </w:r>
      <w:r w:rsidR="004E7504" w:rsidRPr="00261247">
        <w:rPr>
          <w:lang w:val="en-US" w:eastAsia="en-GB"/>
        </w:rPr>
        <w:t xml:space="preserve"> group </w:t>
      </w:r>
      <w:r w:rsidR="004E7504">
        <w:rPr>
          <w:lang w:val="en-US" w:eastAsia="en-GB"/>
        </w:rPr>
        <w:t>identity</w:t>
      </w:r>
      <w:r w:rsidR="004E7504" w:rsidRPr="00601EE2">
        <w:rPr>
          <w:lang w:val="en-US" w:eastAsia="en-GB"/>
        </w:rPr>
        <w:t>.</w:t>
      </w:r>
      <w:r w:rsidR="004E7504" w:rsidRPr="00714946">
        <w:rPr>
          <w:lang w:val="en-US" w:eastAsia="en-GB"/>
        </w:rPr>
        <w:t xml:space="preserve"> </w:t>
      </w:r>
      <w:r w:rsidRPr="005C7DC9">
        <w:rPr>
          <w:lang w:val="en-US" w:eastAsia="en-GB"/>
        </w:rPr>
        <w:t>Developing diverse relationships</w:t>
      </w:r>
      <w:r>
        <w:rPr>
          <w:lang w:val="en-US" w:eastAsia="en-GB"/>
        </w:rPr>
        <w:t xml:space="preserve"> with diverse people</w:t>
      </w:r>
      <w:r w:rsidRPr="005C7DC9">
        <w:rPr>
          <w:lang w:val="en-US" w:eastAsia="en-GB"/>
        </w:rPr>
        <w:t xml:space="preserve">, </w:t>
      </w:r>
      <w:r w:rsidR="00C97C45">
        <w:rPr>
          <w:lang w:val="en-US" w:eastAsia="en-GB"/>
        </w:rPr>
        <w:t>employees</w:t>
      </w:r>
      <w:r w:rsidR="00C97C45" w:rsidRPr="005C7DC9">
        <w:rPr>
          <w:lang w:val="en-US" w:eastAsia="en-GB"/>
        </w:rPr>
        <w:t xml:space="preserve"> </w:t>
      </w:r>
      <w:r w:rsidRPr="005C7DC9">
        <w:rPr>
          <w:lang w:val="en-US" w:eastAsia="en-GB"/>
        </w:rPr>
        <w:t xml:space="preserve">answer the call of the organization </w:t>
      </w:r>
      <w:r>
        <w:rPr>
          <w:lang w:val="en-US" w:eastAsia="en-GB"/>
        </w:rPr>
        <w:t xml:space="preserve">to </w:t>
      </w:r>
      <w:r w:rsidRPr="005C7DC9">
        <w:rPr>
          <w:lang w:val="en-US" w:eastAsia="en-GB"/>
        </w:rPr>
        <w:t xml:space="preserve">adopt the </w:t>
      </w:r>
      <w:r>
        <w:rPr>
          <w:lang w:val="en-US" w:eastAsia="en-GB"/>
        </w:rPr>
        <w:t>required</w:t>
      </w:r>
      <w:r w:rsidRPr="005C7DC9">
        <w:rPr>
          <w:lang w:val="en-US" w:eastAsia="en-GB"/>
        </w:rPr>
        <w:t xml:space="preserve"> behaviors</w:t>
      </w:r>
      <w:r w:rsidR="004E7504">
        <w:rPr>
          <w:lang w:val="en-US" w:eastAsia="en-GB"/>
        </w:rPr>
        <w:t xml:space="preserve"> towards diversity</w:t>
      </w:r>
      <w:r>
        <w:rPr>
          <w:lang w:val="en-US" w:eastAsia="en-GB"/>
        </w:rPr>
        <w:t xml:space="preserve"> </w:t>
      </w:r>
      <w:r w:rsidRPr="00D82C83">
        <w:rPr>
          <w:lang w:val="en-US" w:eastAsia="en-GB"/>
        </w:rPr>
        <w:t>(</w:t>
      </w:r>
      <w:r w:rsidRPr="00AA037D">
        <w:rPr>
          <w:lang w:val="en-US" w:eastAsia="en-GB"/>
        </w:rPr>
        <w:t>Reichers and Schneider, 1990</w:t>
      </w:r>
      <w:r w:rsidRPr="004449CD">
        <w:rPr>
          <w:lang w:val="en-US" w:eastAsia="en-GB"/>
        </w:rPr>
        <w:t>)</w:t>
      </w:r>
      <w:r w:rsidRPr="005C7DC9">
        <w:rPr>
          <w:lang w:val="en-US" w:eastAsia="en-GB"/>
        </w:rPr>
        <w:t xml:space="preserve">. </w:t>
      </w:r>
      <w:r>
        <w:rPr>
          <w:lang w:val="en-US" w:eastAsia="en-GB"/>
        </w:rPr>
        <w:t xml:space="preserve">Positive DC reflect a perception that </w:t>
      </w:r>
      <w:r w:rsidRPr="00BB520E">
        <w:rPr>
          <w:lang w:val="en-US" w:eastAsia="en-GB"/>
        </w:rPr>
        <w:t xml:space="preserve">social interactions </w:t>
      </w:r>
      <w:r>
        <w:rPr>
          <w:lang w:val="en-US" w:eastAsia="en-GB"/>
        </w:rPr>
        <w:t>respect</w:t>
      </w:r>
      <w:r w:rsidRPr="00BB520E">
        <w:rPr>
          <w:lang w:val="en-US" w:eastAsia="en-GB"/>
        </w:rPr>
        <w:t xml:space="preserve"> </w:t>
      </w:r>
      <w:r>
        <w:rPr>
          <w:lang w:val="en-US" w:eastAsia="en-GB"/>
        </w:rPr>
        <w:t xml:space="preserve">and value </w:t>
      </w:r>
      <w:r w:rsidRPr="00BB520E">
        <w:rPr>
          <w:lang w:val="en-US" w:eastAsia="en-GB"/>
        </w:rPr>
        <w:t>differences (Reinwald et al., 2018)</w:t>
      </w:r>
      <w:r>
        <w:rPr>
          <w:lang w:val="en-US" w:eastAsia="en-GB"/>
        </w:rPr>
        <w:t>.</w:t>
      </w:r>
      <w:r w:rsidRPr="00BB520E">
        <w:rPr>
          <w:lang w:val="en-US" w:eastAsia="en-GB"/>
        </w:rPr>
        <w:t xml:space="preserve"> </w:t>
      </w:r>
      <w:r>
        <w:rPr>
          <w:lang w:val="en-US" w:eastAsia="en-GB"/>
        </w:rPr>
        <w:t>P</w:t>
      </w:r>
      <w:r w:rsidRPr="005C7DC9">
        <w:rPr>
          <w:lang w:val="en-US" w:eastAsia="en-GB"/>
        </w:rPr>
        <w:t xml:space="preserve">eople who perceive a positive </w:t>
      </w:r>
      <w:r>
        <w:rPr>
          <w:lang w:val="en-US" w:eastAsia="en-GB"/>
        </w:rPr>
        <w:t>DC</w:t>
      </w:r>
      <w:r w:rsidRPr="005C7DC9">
        <w:rPr>
          <w:lang w:val="en-US" w:eastAsia="en-GB"/>
        </w:rPr>
        <w:t xml:space="preserve"> are </w:t>
      </w:r>
      <w:r>
        <w:rPr>
          <w:lang w:val="en-US" w:eastAsia="en-GB"/>
        </w:rPr>
        <w:t>more likely</w:t>
      </w:r>
      <w:r w:rsidRPr="005C7DC9">
        <w:rPr>
          <w:lang w:val="en-US" w:eastAsia="en-GB"/>
        </w:rPr>
        <w:t xml:space="preserve"> to develop relationships with </w:t>
      </w:r>
      <w:r>
        <w:rPr>
          <w:lang w:val="en-US" w:eastAsia="en-GB"/>
        </w:rPr>
        <w:t xml:space="preserve">all </w:t>
      </w:r>
      <w:r w:rsidRPr="005C7DC9">
        <w:rPr>
          <w:lang w:val="en-US" w:eastAsia="en-GB"/>
        </w:rPr>
        <w:t>their peers and feel socially integrated</w:t>
      </w:r>
      <w:r>
        <w:rPr>
          <w:lang w:val="en-US" w:eastAsia="en-GB"/>
        </w:rPr>
        <w:t>,</w:t>
      </w:r>
      <w:r w:rsidRPr="005C7DC9">
        <w:rPr>
          <w:lang w:val="en-US" w:eastAsia="en-GB"/>
        </w:rPr>
        <w:t xml:space="preserve"> even if they feel different </w:t>
      </w:r>
      <w:r>
        <w:rPr>
          <w:lang w:val="en-US" w:eastAsia="en-GB"/>
        </w:rPr>
        <w:t>from</w:t>
      </w:r>
      <w:r w:rsidRPr="005C7DC9">
        <w:rPr>
          <w:lang w:val="en-US" w:eastAsia="en-GB"/>
        </w:rPr>
        <w:t xml:space="preserve"> their colleagues. </w:t>
      </w:r>
      <w:r w:rsidR="00484D1A">
        <w:rPr>
          <w:lang w:val="en-US" w:eastAsia="en-GB"/>
        </w:rPr>
        <w:t>SI</w:t>
      </w:r>
      <w:r w:rsidRPr="0048338A">
        <w:rPr>
          <w:lang w:val="en-US" w:eastAsia="en-GB"/>
        </w:rPr>
        <w:t xml:space="preserve"> </w:t>
      </w:r>
      <w:r>
        <w:rPr>
          <w:lang w:val="en-US" w:eastAsia="en-GB"/>
        </w:rPr>
        <w:t>ensures</w:t>
      </w:r>
      <w:r w:rsidRPr="0048338A">
        <w:rPr>
          <w:lang w:val="en-US" w:eastAsia="en-GB"/>
        </w:rPr>
        <w:t xml:space="preserve"> that people feel part of the </w:t>
      </w:r>
      <w:r>
        <w:rPr>
          <w:lang w:val="en-US" w:eastAsia="en-GB"/>
        </w:rPr>
        <w:t xml:space="preserve">whole </w:t>
      </w:r>
      <w:r w:rsidRPr="0048338A">
        <w:rPr>
          <w:lang w:val="en-US" w:eastAsia="en-GB"/>
        </w:rPr>
        <w:t>organization</w:t>
      </w:r>
      <w:r>
        <w:rPr>
          <w:lang w:val="en-US" w:eastAsia="en-GB"/>
        </w:rPr>
        <w:t xml:space="preserve"> and not only of their identity group </w:t>
      </w:r>
      <w:r w:rsidRPr="0048338A">
        <w:rPr>
          <w:lang w:val="en-US" w:eastAsia="en-GB"/>
        </w:rPr>
        <w:t>(</w:t>
      </w:r>
      <w:r w:rsidRPr="00AA037D">
        <w:rPr>
          <w:lang w:val="en-US" w:eastAsia="en-GB"/>
        </w:rPr>
        <w:t>Bauer and Green, 1998</w:t>
      </w:r>
      <w:r w:rsidRPr="0048338A">
        <w:rPr>
          <w:lang w:val="en-US" w:eastAsia="en-GB"/>
        </w:rPr>
        <w:t>).</w:t>
      </w:r>
      <w:r>
        <w:rPr>
          <w:lang w:val="en-US" w:eastAsia="en-GB"/>
        </w:rPr>
        <w:t xml:space="preserve"> Therefore, we expect that a positive</w:t>
      </w:r>
      <w:r w:rsidRPr="0036295E">
        <w:rPr>
          <w:lang w:val="en-US" w:eastAsia="en-GB"/>
        </w:rPr>
        <w:t xml:space="preserve"> </w:t>
      </w:r>
      <w:r>
        <w:rPr>
          <w:lang w:val="en-US" w:eastAsia="en-GB"/>
        </w:rPr>
        <w:t>DC</w:t>
      </w:r>
      <w:r w:rsidRPr="0036295E">
        <w:rPr>
          <w:lang w:val="en-US" w:eastAsia="en-GB"/>
        </w:rPr>
        <w:t xml:space="preserve"> perception</w:t>
      </w:r>
      <w:r>
        <w:rPr>
          <w:lang w:val="en-US" w:eastAsia="en-GB"/>
        </w:rPr>
        <w:t xml:space="preserve"> at the unit level will foster stronger perceptions of </w:t>
      </w:r>
      <w:r w:rsidR="00484D1A">
        <w:rPr>
          <w:lang w:val="en-US" w:eastAsia="en-GB"/>
        </w:rPr>
        <w:t>SI</w:t>
      </w:r>
      <w:r w:rsidRPr="0036295E">
        <w:rPr>
          <w:lang w:val="en-US" w:eastAsia="en-GB"/>
        </w:rPr>
        <w:t xml:space="preserve">. </w:t>
      </w:r>
    </w:p>
    <w:p w14:paraId="2601EECC" w14:textId="0EBC996C" w:rsidR="0006370D" w:rsidRDefault="0006370D" w:rsidP="0006370D">
      <w:pPr>
        <w:spacing w:line="480" w:lineRule="auto"/>
        <w:jc w:val="both"/>
        <w:rPr>
          <w:lang w:val="en-US" w:eastAsia="en-GB"/>
        </w:rPr>
      </w:pPr>
      <w:r>
        <w:rPr>
          <w:lang w:val="en-US" w:eastAsia="en-GB"/>
        </w:rPr>
        <w:t xml:space="preserve">As a consequence, </w:t>
      </w:r>
      <w:r w:rsidRPr="0006692E">
        <w:rPr>
          <w:lang w:val="en-US" w:eastAsia="en-GB"/>
        </w:rPr>
        <w:t>we conducted a</w:t>
      </w:r>
      <w:r w:rsidR="0032528D">
        <w:rPr>
          <w:lang w:val="en-US" w:eastAsia="en-GB"/>
        </w:rPr>
        <w:t xml:space="preserve"> unit</w:t>
      </w:r>
      <w:r w:rsidRPr="0006692E">
        <w:rPr>
          <w:lang w:val="en-US" w:eastAsia="en-GB"/>
        </w:rPr>
        <w:t xml:space="preserve">-level analysis </w:t>
      </w:r>
      <w:r>
        <w:rPr>
          <w:lang w:val="en-US" w:eastAsia="en-GB"/>
        </w:rPr>
        <w:t>of the DC</w:t>
      </w:r>
      <w:r w:rsidR="006B0265">
        <w:rPr>
          <w:lang w:val="en-US" w:eastAsia="en-GB"/>
        </w:rPr>
        <w:t>-</w:t>
      </w:r>
      <w:r>
        <w:rPr>
          <w:lang w:val="en-US" w:eastAsia="en-GB"/>
        </w:rPr>
        <w:t>S</w:t>
      </w:r>
      <w:r w:rsidR="006B0265">
        <w:rPr>
          <w:lang w:val="en-US" w:eastAsia="en-GB"/>
        </w:rPr>
        <w:t xml:space="preserve">I </w:t>
      </w:r>
      <w:r>
        <w:rPr>
          <w:lang w:val="en-US" w:eastAsia="en-GB"/>
        </w:rPr>
        <w:t xml:space="preserve">relationship. In this study, </w:t>
      </w:r>
      <w:r w:rsidR="00484D1A">
        <w:rPr>
          <w:lang w:val="en-US"/>
        </w:rPr>
        <w:t>SI</w:t>
      </w:r>
      <w:r w:rsidRPr="00EA5597">
        <w:rPr>
          <w:lang w:val="en-US"/>
        </w:rPr>
        <w:t xml:space="preserve"> was assessed </w:t>
      </w:r>
      <w:r>
        <w:rPr>
          <w:lang w:val="en-US"/>
        </w:rPr>
        <w:t>using</w:t>
      </w:r>
      <w:r w:rsidRPr="00EA5597">
        <w:rPr>
          <w:lang w:val="en-US"/>
        </w:rPr>
        <w:t xml:space="preserve"> </w:t>
      </w:r>
      <w:r w:rsidR="00F372CF">
        <w:rPr>
          <w:lang w:val="en-US"/>
        </w:rPr>
        <w:t xml:space="preserve">the </w:t>
      </w:r>
      <w:r>
        <w:rPr>
          <w:lang w:val="en-US"/>
        </w:rPr>
        <w:t>4-</w:t>
      </w:r>
      <w:r w:rsidRPr="00482327">
        <w:rPr>
          <w:lang w:val="en-US"/>
        </w:rPr>
        <w:t xml:space="preserve">item scale </w:t>
      </w:r>
      <w:r>
        <w:rPr>
          <w:lang w:val="en-US"/>
        </w:rPr>
        <w:t>of</w:t>
      </w:r>
      <w:r w:rsidRPr="00482327">
        <w:rPr>
          <w:lang w:val="en-US"/>
        </w:rPr>
        <w:t xml:space="preserve"> </w:t>
      </w:r>
      <w:r w:rsidRPr="00AA037D">
        <w:rPr>
          <w:lang w:val="en-US"/>
        </w:rPr>
        <w:t>Wanberg and Kammeyer-Mueller (2000)</w:t>
      </w:r>
      <w:r w:rsidR="00C97C45">
        <w:rPr>
          <w:lang w:val="en-US"/>
        </w:rPr>
        <w:t>.</w:t>
      </w:r>
      <w:r w:rsidRPr="004B5A00">
        <w:rPr>
          <w:lang w:val="en-US"/>
        </w:rPr>
        <w:t xml:space="preserve"> </w:t>
      </w:r>
      <w:r>
        <w:rPr>
          <w:lang w:val="en-US" w:eastAsia="en-GB"/>
        </w:rPr>
        <w:t>All</w:t>
      </w:r>
      <w:r w:rsidRPr="00AF25E7">
        <w:rPr>
          <w:lang w:val="en-US" w:eastAsia="en-GB"/>
        </w:rPr>
        <w:t xml:space="preserve"> item</w:t>
      </w:r>
      <w:r>
        <w:rPr>
          <w:lang w:val="en-US" w:eastAsia="en-GB"/>
        </w:rPr>
        <w:t>s were rated</w:t>
      </w:r>
      <w:r w:rsidRPr="00AF25E7">
        <w:rPr>
          <w:lang w:val="en-US" w:eastAsia="en-GB"/>
        </w:rPr>
        <w:t xml:space="preserve"> on a 5-point Likert scale from 1 “Strongly disagree” to 5 “Strongly agree”.</w:t>
      </w:r>
      <w:r>
        <w:rPr>
          <w:lang w:val="en-US" w:eastAsia="en-GB"/>
        </w:rPr>
        <w:t xml:space="preserve"> As expected, the scale demonstrated appropriate psychometric properties with a Cronbach’α of </w:t>
      </w:r>
      <w:r>
        <w:rPr>
          <w:lang w:val="en-US" w:eastAsia="en-GB"/>
        </w:rPr>
        <w:lastRenderedPageBreak/>
        <w:t>0.85 and inter-item correlations being all above 0.5. Gender and Managerial Position were also captured in the survey as control variables. Descriptive</w:t>
      </w:r>
      <w:r w:rsidR="00F372CF">
        <w:rPr>
          <w:lang w:val="en-US" w:eastAsia="en-GB"/>
        </w:rPr>
        <w:t xml:space="preserve"> statistics as well as </w:t>
      </w:r>
      <w:r>
        <w:rPr>
          <w:lang w:val="en-US" w:eastAsia="en-GB"/>
        </w:rPr>
        <w:t xml:space="preserve">correlation coefficients are summarized in </w:t>
      </w:r>
      <w:r w:rsidRPr="00D535CF">
        <w:rPr>
          <w:lang w:val="en-US" w:eastAsia="en-GB"/>
        </w:rPr>
        <w:t xml:space="preserve">Table </w:t>
      </w:r>
      <w:r w:rsidR="00D535CF" w:rsidRPr="00D535CF">
        <w:rPr>
          <w:lang w:val="en-US" w:eastAsia="en-GB"/>
        </w:rPr>
        <w:t>X</w:t>
      </w:r>
      <w:r w:rsidRPr="00D535CF">
        <w:rPr>
          <w:lang w:val="en-US" w:eastAsia="en-GB"/>
        </w:rPr>
        <w:t>II.</w:t>
      </w:r>
    </w:p>
    <w:p w14:paraId="3C5958F8" w14:textId="77777777" w:rsidR="00EB71F8" w:rsidRPr="00A643FC" w:rsidRDefault="00EB71F8" w:rsidP="00EB71F8">
      <w:pPr>
        <w:spacing w:line="480" w:lineRule="auto"/>
        <w:jc w:val="center"/>
        <w:rPr>
          <w:lang w:val="en-US"/>
        </w:rPr>
      </w:pPr>
      <w:r w:rsidRPr="00A643FC">
        <w:rPr>
          <w:lang w:val="en-US"/>
        </w:rPr>
        <w:t>-------------------------------------------</w:t>
      </w:r>
    </w:p>
    <w:p w14:paraId="4AB6E3F5" w14:textId="61CC7183" w:rsidR="00EB71F8" w:rsidRPr="00A643FC" w:rsidRDefault="00EB71F8" w:rsidP="00EB71F8">
      <w:pPr>
        <w:spacing w:line="480" w:lineRule="auto"/>
        <w:jc w:val="center"/>
        <w:rPr>
          <w:lang w:val="en-US"/>
        </w:rPr>
      </w:pPr>
      <w:r w:rsidRPr="00A643FC">
        <w:rPr>
          <w:lang w:val="en-US"/>
        </w:rPr>
        <w:t xml:space="preserve">INSERT TABLE </w:t>
      </w:r>
      <w:r>
        <w:rPr>
          <w:lang w:val="en-US"/>
        </w:rPr>
        <w:t>XII</w:t>
      </w:r>
      <w:r w:rsidRPr="00A643FC">
        <w:rPr>
          <w:lang w:val="en-US"/>
        </w:rPr>
        <w:t xml:space="preserve"> ABOUT HERE</w:t>
      </w:r>
    </w:p>
    <w:p w14:paraId="6553FAE1" w14:textId="77777777" w:rsidR="00EB71F8" w:rsidRDefault="00EB71F8" w:rsidP="00EB71F8">
      <w:pPr>
        <w:spacing w:line="480" w:lineRule="auto"/>
        <w:jc w:val="center"/>
        <w:rPr>
          <w:lang w:val="en-US"/>
        </w:rPr>
      </w:pPr>
      <w:r w:rsidRPr="00A643FC">
        <w:rPr>
          <w:lang w:val="en-US"/>
        </w:rPr>
        <w:t>-------------------------------------------</w:t>
      </w:r>
    </w:p>
    <w:p w14:paraId="2F9D42CF" w14:textId="6530233A" w:rsidR="0006370D" w:rsidRPr="005A1039" w:rsidRDefault="0006370D" w:rsidP="0006370D">
      <w:pPr>
        <w:spacing w:line="480" w:lineRule="auto"/>
        <w:jc w:val="both"/>
        <w:rPr>
          <w:lang w:val="en-US"/>
        </w:rPr>
      </w:pPr>
      <w:r w:rsidRPr="008C0370">
        <w:rPr>
          <w:lang w:val="en-US"/>
        </w:rPr>
        <w:t>To test the nomological validity of the scale, we performed a hierarchical linear modeling (HLM) analysis</w:t>
      </w:r>
      <w:r>
        <w:rPr>
          <w:lang w:val="en-US"/>
        </w:rPr>
        <w:t xml:space="preserve"> (</w:t>
      </w:r>
      <w:r w:rsidRPr="00D535CF">
        <w:rPr>
          <w:lang w:val="en-US"/>
        </w:rPr>
        <w:t>see Table X</w:t>
      </w:r>
      <w:r w:rsidR="00D535CF" w:rsidRPr="00D535CF">
        <w:rPr>
          <w:lang w:val="en-US"/>
        </w:rPr>
        <w:t>III</w:t>
      </w:r>
      <w:r>
        <w:rPr>
          <w:lang w:val="en-US"/>
        </w:rPr>
        <w:t>)</w:t>
      </w:r>
      <w:r w:rsidRPr="008C0370">
        <w:rPr>
          <w:lang w:val="en-US"/>
        </w:rPr>
        <w:t xml:space="preserve">, considering the hierarchical nested structure of our data within units and the induced correlation of errors terms (Klein </w:t>
      </w:r>
      <w:r>
        <w:rPr>
          <w:lang w:val="en-US"/>
        </w:rPr>
        <w:t>and</w:t>
      </w:r>
      <w:r w:rsidRPr="008C0370">
        <w:rPr>
          <w:lang w:val="en-US"/>
        </w:rPr>
        <w:t xml:space="preserve"> Kozlowski, 2000) and because HLM </w:t>
      </w:r>
      <w:r w:rsidRPr="005A1039">
        <w:rPr>
          <w:lang w:val="en-US"/>
        </w:rPr>
        <w:t>allows to assess multi-level relationships (Hox, 2010).</w:t>
      </w:r>
    </w:p>
    <w:p w14:paraId="3F18C34F" w14:textId="4537337F" w:rsidR="0006370D" w:rsidRDefault="0006370D" w:rsidP="0006370D">
      <w:pPr>
        <w:spacing w:line="480" w:lineRule="auto"/>
        <w:jc w:val="both"/>
        <w:rPr>
          <w:lang w:val="en-US"/>
        </w:rPr>
      </w:pPr>
      <w:r w:rsidRPr="005A1039">
        <w:rPr>
          <w:lang w:val="en-US"/>
        </w:rPr>
        <w:t xml:space="preserve">We first tested a null model with no predictors but considering </w:t>
      </w:r>
      <w:r w:rsidR="00484D1A">
        <w:rPr>
          <w:lang w:val="en-US"/>
        </w:rPr>
        <w:t>SI</w:t>
      </w:r>
      <w:r w:rsidRPr="005A1039">
        <w:rPr>
          <w:lang w:val="en-US"/>
        </w:rPr>
        <w:t xml:space="preserve"> as the dependent variable (</w:t>
      </w:r>
      <w:r w:rsidR="00E276FD">
        <w:rPr>
          <w:lang w:val="en-US"/>
        </w:rPr>
        <w:t xml:space="preserve">model 1, or </w:t>
      </w:r>
      <w:r w:rsidRPr="005A1039">
        <w:rPr>
          <w:lang w:val="en-US"/>
        </w:rPr>
        <w:t xml:space="preserve">null </w:t>
      </w:r>
      <w:r>
        <w:rPr>
          <w:lang w:val="en-US"/>
        </w:rPr>
        <w:t>model</w:t>
      </w:r>
      <w:r w:rsidRPr="005A1039">
        <w:rPr>
          <w:lang w:val="en-US"/>
        </w:rPr>
        <w:t xml:space="preserve">). The results indicated that </w:t>
      </w:r>
      <w:r w:rsidR="00484D1A">
        <w:rPr>
          <w:lang w:val="en-US"/>
        </w:rPr>
        <w:t>SI</w:t>
      </w:r>
      <w:r w:rsidRPr="005A1039">
        <w:rPr>
          <w:lang w:val="en-US"/>
        </w:rPr>
        <w:t xml:space="preserve"> varies significantly across units, since the proportion of variance between units is approximatively 6 % (ICC = 0.06). Then, we</w:t>
      </w:r>
      <w:r>
        <w:rPr>
          <w:lang w:val="en-US"/>
        </w:rPr>
        <w:t xml:space="preserve"> assessed a second model with unit-DC as the independent variable at level 2 (m</w:t>
      </w:r>
      <w:r w:rsidR="00E276FD">
        <w:rPr>
          <w:lang w:val="en-US"/>
        </w:rPr>
        <w:t>odel 2). DC unit score was mean-</w:t>
      </w:r>
      <w:r>
        <w:rPr>
          <w:lang w:val="en-US"/>
        </w:rPr>
        <w:t xml:space="preserve">centered to avoid </w:t>
      </w:r>
      <w:r w:rsidRPr="005A1039">
        <w:rPr>
          <w:lang w:val="en-US"/>
        </w:rPr>
        <w:t xml:space="preserve">multicollinearity. The deviance statistics difference between the null model (model 1) and the model 2 (∆Dev = -38.2) demonstrated the significance of the incremental variance added by unit-level DC as a predictive variable in Model 2. Furthermore, Model 2 was found to explain an additional 23% of the variance in </w:t>
      </w:r>
      <w:r w:rsidR="00484D1A">
        <w:rPr>
          <w:lang w:val="en-US"/>
        </w:rPr>
        <w:t>SI</w:t>
      </w:r>
      <w:r w:rsidRPr="005A1039">
        <w:rPr>
          <w:lang w:val="en-US"/>
        </w:rPr>
        <w:t xml:space="preserve"> (</w:t>
      </w:r>
      <w:r w:rsidRPr="005A1039">
        <w:rPr>
          <w:rFonts w:ascii="Arial" w:hAnsi="Arial" w:cs="Arial"/>
          <w:sz w:val="28"/>
          <w:szCs w:val="28"/>
          <w:lang w:val="en-US"/>
        </w:rPr>
        <w:t>Δ</w:t>
      </w:r>
      <w:r w:rsidRPr="005A1039">
        <w:rPr>
          <w:lang w:val="en-US"/>
        </w:rPr>
        <w:t xml:space="preserve"> R²=0.232) providing extra support regarding the effect of unit-level DC. Finally, unit-level DC was found to be positively related to individuals’ </w:t>
      </w:r>
      <w:r w:rsidR="00484D1A">
        <w:rPr>
          <w:lang w:val="en-US"/>
        </w:rPr>
        <w:t>SI</w:t>
      </w:r>
      <w:r w:rsidRPr="005A1039">
        <w:rPr>
          <w:lang w:val="en-US"/>
        </w:rPr>
        <w:t xml:space="preserve"> </w:t>
      </w:r>
      <w:r w:rsidR="00E276FD">
        <w:rPr>
          <w:lang w:val="en-US"/>
        </w:rPr>
        <w:t xml:space="preserve">perceptions </w:t>
      </w:r>
      <w:r w:rsidRPr="005A1039">
        <w:rPr>
          <w:lang w:val="en-US"/>
        </w:rPr>
        <w:t>(b = 0.570, p &lt; 0.000), supporting our hypothesis.</w:t>
      </w:r>
      <w:r>
        <w:rPr>
          <w:lang w:val="en-US"/>
        </w:rPr>
        <w:t xml:space="preserve"> </w:t>
      </w:r>
    </w:p>
    <w:p w14:paraId="454C7D06" w14:textId="77777777" w:rsidR="00EB71F8" w:rsidRPr="00A643FC" w:rsidRDefault="00EB71F8" w:rsidP="00EB71F8">
      <w:pPr>
        <w:spacing w:line="480" w:lineRule="auto"/>
        <w:jc w:val="center"/>
        <w:rPr>
          <w:lang w:val="en-US"/>
        </w:rPr>
      </w:pPr>
      <w:r w:rsidRPr="00A643FC">
        <w:rPr>
          <w:lang w:val="en-US"/>
        </w:rPr>
        <w:t>-------------------------------------------</w:t>
      </w:r>
    </w:p>
    <w:p w14:paraId="226539BB" w14:textId="499BB06B" w:rsidR="00EB71F8" w:rsidRPr="00A643FC" w:rsidRDefault="00EB71F8" w:rsidP="00EB71F8">
      <w:pPr>
        <w:spacing w:line="480" w:lineRule="auto"/>
        <w:jc w:val="center"/>
        <w:rPr>
          <w:lang w:val="en-US"/>
        </w:rPr>
      </w:pPr>
      <w:r w:rsidRPr="00A643FC">
        <w:rPr>
          <w:lang w:val="en-US"/>
        </w:rPr>
        <w:t xml:space="preserve">INSERT TABLE </w:t>
      </w:r>
      <w:r>
        <w:rPr>
          <w:lang w:val="en-US"/>
        </w:rPr>
        <w:t>XIII</w:t>
      </w:r>
      <w:r w:rsidRPr="00A643FC">
        <w:rPr>
          <w:lang w:val="en-US"/>
        </w:rPr>
        <w:t xml:space="preserve"> ABOUT HERE</w:t>
      </w:r>
    </w:p>
    <w:p w14:paraId="206479A7" w14:textId="77777777" w:rsidR="00EB71F8" w:rsidRDefault="00EB71F8" w:rsidP="00EB71F8">
      <w:pPr>
        <w:spacing w:line="480" w:lineRule="auto"/>
        <w:jc w:val="center"/>
        <w:rPr>
          <w:lang w:val="en-US"/>
        </w:rPr>
      </w:pPr>
      <w:r w:rsidRPr="00A643FC">
        <w:rPr>
          <w:lang w:val="en-US"/>
        </w:rPr>
        <w:t>-------------------------------------------</w:t>
      </w:r>
    </w:p>
    <w:p w14:paraId="1A676418" w14:textId="59CBB23B" w:rsidR="0006370D" w:rsidRDefault="0006370D" w:rsidP="0006370D">
      <w:pPr>
        <w:spacing w:line="480" w:lineRule="auto"/>
        <w:jc w:val="both"/>
        <w:rPr>
          <w:lang w:val="en-GB" w:eastAsia="en-GB"/>
        </w:rPr>
      </w:pPr>
      <w:r w:rsidRPr="00714946">
        <w:rPr>
          <w:lang w:val="en-GB" w:eastAsia="en-GB"/>
        </w:rPr>
        <w:lastRenderedPageBreak/>
        <w:t>We also ran HLM analys</w:t>
      </w:r>
      <w:r>
        <w:rPr>
          <w:lang w:val="en-GB" w:eastAsia="en-GB"/>
        </w:rPr>
        <w:t>e</w:t>
      </w:r>
      <w:r w:rsidRPr="00714946">
        <w:rPr>
          <w:lang w:val="en-GB" w:eastAsia="en-GB"/>
        </w:rPr>
        <w:t xml:space="preserve">s including the control variables as independent variables. Management position showed no significant relationship with </w:t>
      </w:r>
      <w:r w:rsidR="00484D1A">
        <w:rPr>
          <w:lang w:val="en-GB" w:eastAsia="en-GB"/>
        </w:rPr>
        <w:t>SI</w:t>
      </w:r>
      <w:r w:rsidRPr="00714946">
        <w:rPr>
          <w:lang w:val="en-GB" w:eastAsia="en-GB"/>
        </w:rPr>
        <w:t xml:space="preserve">, whereas Gender was found to have a positive effect on </w:t>
      </w:r>
      <w:r w:rsidR="00484D1A">
        <w:rPr>
          <w:lang w:val="en-GB" w:eastAsia="en-GB"/>
        </w:rPr>
        <w:t>SI</w:t>
      </w:r>
      <w:r w:rsidRPr="00714946">
        <w:rPr>
          <w:lang w:val="en-GB" w:eastAsia="en-GB"/>
        </w:rPr>
        <w:t>.</w:t>
      </w:r>
      <w:r>
        <w:rPr>
          <w:lang w:val="en-GB" w:eastAsia="en-GB"/>
        </w:rPr>
        <w:t xml:space="preserve"> </w:t>
      </w:r>
    </w:p>
    <w:p w14:paraId="0B77AE49" w14:textId="77777777" w:rsidR="0006370D" w:rsidRDefault="0006370D" w:rsidP="0006370D">
      <w:pPr>
        <w:pStyle w:val="Titre3"/>
        <w:spacing w:line="480" w:lineRule="auto"/>
        <w:rPr>
          <w:rFonts w:cs="Times New Roman"/>
          <w:szCs w:val="24"/>
        </w:rPr>
      </w:pPr>
      <w:r w:rsidRPr="00714946">
        <w:rPr>
          <w:rFonts w:cs="Times New Roman"/>
          <w:szCs w:val="24"/>
        </w:rPr>
        <w:t xml:space="preserve"> Unit-level model fit</w:t>
      </w:r>
      <w:r>
        <w:rPr>
          <w:rFonts w:cs="Times New Roman"/>
          <w:szCs w:val="24"/>
        </w:rPr>
        <w:t xml:space="preserve"> assessment</w:t>
      </w:r>
    </w:p>
    <w:p w14:paraId="0965D787" w14:textId="1977CF69" w:rsidR="0006370D" w:rsidRPr="00AF7231" w:rsidRDefault="0006370D">
      <w:pPr>
        <w:spacing w:line="480" w:lineRule="auto"/>
        <w:jc w:val="both"/>
        <w:rPr>
          <w:lang w:val="en-GB" w:eastAsia="en-GB"/>
        </w:rPr>
      </w:pPr>
      <w:r>
        <w:rPr>
          <w:lang w:val="en-GB" w:eastAsia="en-GB"/>
        </w:rPr>
        <w:t>Complementary analyses were conducted in order to perform a DC</w:t>
      </w:r>
      <w:r w:rsidR="0032528D">
        <w:rPr>
          <w:lang w:val="en-GB" w:eastAsia="en-GB"/>
        </w:rPr>
        <w:t>-</w:t>
      </w:r>
      <w:r w:rsidRPr="00E71B6B">
        <w:rPr>
          <w:lang w:val="en-GB" w:eastAsia="en-GB"/>
        </w:rPr>
        <w:t>S</w:t>
      </w:r>
      <w:r w:rsidR="003954B8">
        <w:rPr>
          <w:lang w:val="en-GB" w:eastAsia="en-GB"/>
        </w:rPr>
        <w:t>I</w:t>
      </w:r>
      <w:r w:rsidRPr="00E71B6B">
        <w:rPr>
          <w:lang w:val="en-GB" w:eastAsia="en-GB"/>
        </w:rPr>
        <w:t xml:space="preserve"> </w:t>
      </w:r>
      <w:r>
        <w:rPr>
          <w:lang w:val="en-GB" w:eastAsia="en-GB"/>
        </w:rPr>
        <w:t>model fit assessment at the unit-level by comparing the model fit statistics provided for Model A</w:t>
      </w:r>
      <w:r w:rsidR="00FA2B6E">
        <w:rPr>
          <w:lang w:val="en-GB" w:eastAsia="en-GB"/>
        </w:rPr>
        <w:t xml:space="preserve"> and</w:t>
      </w:r>
      <w:r>
        <w:rPr>
          <w:lang w:val="en-GB" w:eastAsia="en-GB"/>
        </w:rPr>
        <w:t xml:space="preserve"> Model B (see Figure 1 for the model specification and </w:t>
      </w:r>
      <w:r w:rsidRPr="00D535CF">
        <w:rPr>
          <w:lang w:val="en-GB" w:eastAsia="en-GB"/>
        </w:rPr>
        <w:t>Table X</w:t>
      </w:r>
      <w:r w:rsidR="00D535CF" w:rsidRPr="00D535CF">
        <w:rPr>
          <w:lang w:val="en-GB" w:eastAsia="en-GB"/>
        </w:rPr>
        <w:t>IV</w:t>
      </w:r>
      <w:r>
        <w:rPr>
          <w:lang w:val="en-GB" w:eastAsia="en-GB"/>
        </w:rPr>
        <w:t xml:space="preserve"> for the results).</w:t>
      </w:r>
      <w:r w:rsidR="00F23F48">
        <w:rPr>
          <w:lang w:val="en-GB" w:eastAsia="en-GB"/>
        </w:rPr>
        <w:t xml:space="preserve"> T</w:t>
      </w:r>
      <w:r>
        <w:rPr>
          <w:lang w:val="en-GB" w:eastAsia="en-GB"/>
        </w:rPr>
        <w:t>he confirmatory factor analyses confirmed the satisfactory fit level of Model A that had be</w:t>
      </w:r>
      <w:r w:rsidR="00F23F48">
        <w:rPr>
          <w:lang w:val="en-GB" w:eastAsia="en-GB"/>
        </w:rPr>
        <w:t>en</w:t>
      </w:r>
      <w:r>
        <w:rPr>
          <w:lang w:val="en-GB" w:eastAsia="en-GB"/>
        </w:rPr>
        <w:t xml:space="preserve"> previously found at the indiv</w:t>
      </w:r>
      <w:r w:rsidR="00F23F48">
        <w:rPr>
          <w:lang w:val="en-GB" w:eastAsia="en-GB"/>
        </w:rPr>
        <w:t xml:space="preserve">idual level. </w:t>
      </w:r>
    </w:p>
    <w:p w14:paraId="230A0194" w14:textId="77777777" w:rsidR="0006370D" w:rsidRPr="005A1039" w:rsidRDefault="0006370D" w:rsidP="0006370D">
      <w:pPr>
        <w:rPr>
          <w:lang w:val="en-GB" w:eastAsia="en-GB"/>
        </w:rPr>
      </w:pPr>
    </w:p>
    <w:p w14:paraId="0BE8CADB" w14:textId="77777777" w:rsidR="00EB71F8" w:rsidRPr="00A643FC" w:rsidRDefault="00EB71F8" w:rsidP="00EB71F8">
      <w:pPr>
        <w:spacing w:line="480" w:lineRule="auto"/>
        <w:jc w:val="center"/>
        <w:rPr>
          <w:lang w:val="en-US"/>
        </w:rPr>
      </w:pPr>
      <w:r w:rsidRPr="00A643FC">
        <w:rPr>
          <w:lang w:val="en-US"/>
        </w:rPr>
        <w:t>-------------------------------------------</w:t>
      </w:r>
    </w:p>
    <w:p w14:paraId="7CBAF664" w14:textId="22926C95" w:rsidR="00EB71F8" w:rsidRPr="00A643FC" w:rsidRDefault="00EB71F8" w:rsidP="00EB71F8">
      <w:pPr>
        <w:spacing w:line="480" w:lineRule="auto"/>
        <w:jc w:val="center"/>
        <w:rPr>
          <w:lang w:val="en-US"/>
        </w:rPr>
      </w:pPr>
      <w:r w:rsidRPr="00A643FC">
        <w:rPr>
          <w:lang w:val="en-US"/>
        </w:rPr>
        <w:t xml:space="preserve">INSERT TABLE </w:t>
      </w:r>
      <w:r>
        <w:rPr>
          <w:lang w:val="en-US"/>
        </w:rPr>
        <w:t>XIV</w:t>
      </w:r>
      <w:r w:rsidRPr="00A643FC">
        <w:rPr>
          <w:lang w:val="en-US"/>
        </w:rPr>
        <w:t xml:space="preserve"> ABOUT HERE</w:t>
      </w:r>
    </w:p>
    <w:p w14:paraId="2B8B5B6E" w14:textId="77777777" w:rsidR="00EB71F8" w:rsidRDefault="00EB71F8" w:rsidP="00EB71F8">
      <w:pPr>
        <w:spacing w:line="480" w:lineRule="auto"/>
        <w:jc w:val="center"/>
        <w:rPr>
          <w:lang w:val="en-US"/>
        </w:rPr>
      </w:pPr>
      <w:r w:rsidRPr="00A643FC">
        <w:rPr>
          <w:lang w:val="en-US"/>
        </w:rPr>
        <w:t>-------------------------------------------</w:t>
      </w:r>
    </w:p>
    <w:p w14:paraId="0687C65C" w14:textId="77777777" w:rsidR="0006370D" w:rsidRDefault="0006370D" w:rsidP="0006370D">
      <w:pPr>
        <w:pStyle w:val="Titre3"/>
        <w:spacing w:line="480" w:lineRule="auto"/>
        <w:rPr>
          <w:rFonts w:cs="Times New Roman"/>
          <w:szCs w:val="24"/>
        </w:rPr>
      </w:pPr>
      <w:r w:rsidRPr="00714946">
        <w:rPr>
          <w:rFonts w:cs="Times New Roman"/>
          <w:szCs w:val="24"/>
        </w:rPr>
        <w:t>Predictive validity</w:t>
      </w:r>
    </w:p>
    <w:p w14:paraId="77F682A2" w14:textId="16AF61AD" w:rsidR="0006370D" w:rsidRPr="001E6AFD" w:rsidRDefault="0006370D" w:rsidP="0006370D">
      <w:pPr>
        <w:spacing w:line="480" w:lineRule="auto"/>
        <w:jc w:val="both"/>
        <w:rPr>
          <w:lang w:val="en-US"/>
        </w:rPr>
      </w:pPr>
      <w:r w:rsidRPr="001E6AFD">
        <w:rPr>
          <w:lang w:val="en-US"/>
        </w:rPr>
        <w:t>In order to assess the predictive validity of the newly designed scale, it was decided to compare our results with the well-established DC measure from McKay et al. (2008). We used a sub-sample of Study 3 corresponding to the 120 responses gathered from the hotel</w:t>
      </w:r>
      <w:r w:rsidR="0032528D">
        <w:rPr>
          <w:lang w:val="en-US"/>
        </w:rPr>
        <w:t>s</w:t>
      </w:r>
      <w:r w:rsidRPr="001E6AFD">
        <w:rPr>
          <w:lang w:val="en-US"/>
        </w:rPr>
        <w:t xml:space="preserve"> group. In Table X</w:t>
      </w:r>
      <w:r w:rsidR="003954B8">
        <w:rPr>
          <w:lang w:val="en-US"/>
        </w:rPr>
        <w:t>III</w:t>
      </w:r>
      <w:r w:rsidRPr="001E6AFD">
        <w:rPr>
          <w:lang w:val="en-US"/>
        </w:rPr>
        <w:t>, Model 3 corresponds to the DC</w:t>
      </w:r>
      <w:r w:rsidR="00C83878">
        <w:rPr>
          <w:lang w:val="en-US"/>
        </w:rPr>
        <w:t>-SI</w:t>
      </w:r>
      <w:r w:rsidRPr="001E6AFD">
        <w:rPr>
          <w:lang w:val="en-US"/>
        </w:rPr>
        <w:t xml:space="preserve"> relationship using the unit-level DC measure derived from McKay </w:t>
      </w:r>
      <w:r w:rsidR="00C6245C">
        <w:rPr>
          <w:lang w:val="en-US"/>
        </w:rPr>
        <w:t xml:space="preserve">et al. </w:t>
      </w:r>
      <w:r w:rsidRPr="001E6AFD">
        <w:rPr>
          <w:lang w:val="en-US"/>
        </w:rPr>
        <w:t xml:space="preserve">(2008)’s scale. The HLM analysis revealed that </w:t>
      </w:r>
      <w:r w:rsidR="00F23F48">
        <w:rPr>
          <w:lang w:val="en-US"/>
        </w:rPr>
        <w:t>the alternative measure was</w:t>
      </w:r>
      <w:r w:rsidRPr="001E6AFD">
        <w:rPr>
          <w:lang w:val="en-US"/>
        </w:rPr>
        <w:t xml:space="preserve"> positively related to </w:t>
      </w:r>
      <w:r w:rsidR="00484D1A">
        <w:rPr>
          <w:lang w:val="en-US"/>
        </w:rPr>
        <w:t>SI</w:t>
      </w:r>
      <w:r w:rsidRPr="001E6AFD">
        <w:rPr>
          <w:lang w:val="en-US"/>
        </w:rPr>
        <w:t xml:space="preserve"> with high significance but </w:t>
      </w:r>
      <w:r w:rsidR="00F23F48">
        <w:rPr>
          <w:lang w:val="en-US"/>
        </w:rPr>
        <w:t>had</w:t>
      </w:r>
      <w:r w:rsidRPr="001E6AFD">
        <w:rPr>
          <w:lang w:val="en-US"/>
        </w:rPr>
        <w:t xml:space="preserve"> a lower predictiv</w:t>
      </w:r>
      <w:r w:rsidR="00F23F48">
        <w:rPr>
          <w:lang w:val="en-US"/>
        </w:rPr>
        <w:t>e power than our</w:t>
      </w:r>
      <w:r w:rsidRPr="001E6AFD">
        <w:rPr>
          <w:lang w:val="en-US"/>
        </w:rPr>
        <w:t xml:space="preserve"> newly-designed </w:t>
      </w:r>
      <w:r w:rsidR="0032528D">
        <w:rPr>
          <w:lang w:val="en-US"/>
        </w:rPr>
        <w:t>one</w:t>
      </w:r>
      <w:r w:rsidRPr="001E6AFD">
        <w:rPr>
          <w:lang w:val="en-US"/>
        </w:rPr>
        <w:t xml:space="preserve"> (b = 0.428**</w:t>
      </w:r>
      <w:r w:rsidR="00F23F48">
        <w:rPr>
          <w:lang w:val="en-US"/>
        </w:rPr>
        <w:t xml:space="preserve">*). These results testify to the predictive validity of our new </w:t>
      </w:r>
      <w:r w:rsidR="00FB452E">
        <w:rPr>
          <w:lang w:val="en-US"/>
        </w:rPr>
        <w:t xml:space="preserve">three-dimensional </w:t>
      </w:r>
      <w:r w:rsidR="00F23F48">
        <w:rPr>
          <w:lang w:val="en-US"/>
        </w:rPr>
        <w:t>DC measure</w:t>
      </w:r>
      <w:r w:rsidRPr="001E6AFD">
        <w:rPr>
          <w:lang w:val="en-US"/>
        </w:rPr>
        <w:t xml:space="preserve">.  </w:t>
      </w:r>
    </w:p>
    <w:p w14:paraId="46FE6B40" w14:textId="173F07D5" w:rsidR="0006370D" w:rsidRPr="00714946" w:rsidRDefault="0006370D" w:rsidP="0006370D">
      <w:pPr>
        <w:spacing w:line="480" w:lineRule="auto"/>
        <w:jc w:val="both"/>
        <w:rPr>
          <w:lang w:val="en-GB" w:eastAsia="en-GB"/>
        </w:rPr>
      </w:pPr>
      <w:r>
        <w:rPr>
          <w:lang w:val="en-GB" w:eastAsia="en-GB"/>
        </w:rPr>
        <w:lastRenderedPageBreak/>
        <w:t>In concl</w:t>
      </w:r>
      <w:r w:rsidR="00F23F48">
        <w:rPr>
          <w:lang w:val="en-GB" w:eastAsia="en-GB"/>
        </w:rPr>
        <w:t>usion, our rigorous three-stage</w:t>
      </w:r>
      <w:r>
        <w:rPr>
          <w:lang w:val="en-GB" w:eastAsia="en-GB"/>
        </w:rPr>
        <w:t xml:space="preserve"> methodology led to the development of a highly</w:t>
      </w:r>
      <w:r w:rsidR="00F23F48">
        <w:rPr>
          <w:lang w:val="en-GB" w:eastAsia="en-GB"/>
        </w:rPr>
        <w:t xml:space="preserve"> valid and robust DC measure that displays</w:t>
      </w:r>
      <w:r>
        <w:rPr>
          <w:lang w:val="en-GB" w:eastAsia="en-GB"/>
        </w:rPr>
        <w:t xml:space="preserve"> strong psychometric properties both at the individual and at the aggregate levels.</w:t>
      </w:r>
    </w:p>
    <w:p w14:paraId="319DCBB1" w14:textId="77777777" w:rsidR="00710C27" w:rsidRPr="0006370D" w:rsidRDefault="00710C27" w:rsidP="00E70846">
      <w:pPr>
        <w:spacing w:line="480" w:lineRule="auto"/>
        <w:jc w:val="both"/>
        <w:rPr>
          <w:lang w:val="en-GB" w:eastAsia="en-GB"/>
        </w:rPr>
      </w:pPr>
    </w:p>
    <w:p w14:paraId="45488F7A" w14:textId="0D9C200B" w:rsidR="00917811" w:rsidRDefault="00710C27" w:rsidP="00EC25CF">
      <w:pPr>
        <w:pBdr>
          <w:top w:val="nil"/>
          <w:left w:val="nil"/>
          <w:bottom w:val="nil"/>
          <w:right w:val="nil"/>
          <w:between w:val="nil"/>
        </w:pBdr>
        <w:spacing w:line="480" w:lineRule="auto"/>
        <w:jc w:val="center"/>
        <w:rPr>
          <w:color w:val="000000"/>
          <w:u w:val="single"/>
          <w:lang w:val="en-US"/>
        </w:rPr>
      </w:pPr>
      <w:r w:rsidRPr="00896C7A">
        <w:rPr>
          <w:color w:val="000000"/>
          <w:u w:val="single"/>
          <w:lang w:val="en-US"/>
        </w:rPr>
        <w:t>DISCUSSION AND IMPLICATION</w:t>
      </w:r>
      <w:bookmarkEnd w:id="4"/>
      <w:r w:rsidRPr="00F7768B">
        <w:rPr>
          <w:color w:val="000000"/>
          <w:u w:val="single"/>
          <w:lang w:val="en-US"/>
        </w:rPr>
        <w:t>S</w:t>
      </w:r>
    </w:p>
    <w:p w14:paraId="7F132D7C" w14:textId="65E1E5B9" w:rsidR="00A40EB9" w:rsidRPr="00AF06A2" w:rsidRDefault="00A40EB9" w:rsidP="00A40EB9">
      <w:pPr>
        <w:pStyle w:val="Titre1"/>
        <w:spacing w:line="480" w:lineRule="auto"/>
        <w:jc w:val="both"/>
        <w:rPr>
          <w:lang w:val="en-US"/>
        </w:rPr>
      </w:pPr>
      <w:r>
        <w:rPr>
          <w:lang w:val="en-US"/>
        </w:rPr>
        <w:t>Contributions to research and practice</w:t>
      </w:r>
    </w:p>
    <w:p w14:paraId="054C5712" w14:textId="4A747275" w:rsidR="004439CA" w:rsidRDefault="00245B05">
      <w:pPr>
        <w:spacing w:line="480" w:lineRule="auto"/>
        <w:jc w:val="both"/>
        <w:rPr>
          <w:lang w:val="en-US"/>
        </w:rPr>
      </w:pPr>
      <w:r w:rsidRPr="00710C27">
        <w:rPr>
          <w:lang w:val="en-GB" w:eastAsia="en-GB"/>
        </w:rPr>
        <w:t xml:space="preserve">This </w:t>
      </w:r>
      <w:r w:rsidR="0072059C" w:rsidRPr="00710C27">
        <w:rPr>
          <w:lang w:val="en-GB" w:eastAsia="en-GB"/>
        </w:rPr>
        <w:t>research</w:t>
      </w:r>
      <w:r w:rsidRPr="00710C27">
        <w:rPr>
          <w:lang w:val="en-GB" w:eastAsia="en-GB"/>
        </w:rPr>
        <w:t xml:space="preserve"> has significant implications</w:t>
      </w:r>
      <w:r w:rsidR="00710C27">
        <w:rPr>
          <w:lang w:val="en-GB" w:eastAsia="en-GB"/>
        </w:rPr>
        <w:t xml:space="preserve"> for both research and practice.</w:t>
      </w:r>
      <w:r w:rsidR="00197305" w:rsidRPr="00710C27">
        <w:rPr>
          <w:lang w:val="en-GB" w:eastAsia="en-GB"/>
        </w:rPr>
        <w:t xml:space="preserve"> </w:t>
      </w:r>
      <w:r w:rsidR="00E55177" w:rsidRPr="00710C27">
        <w:rPr>
          <w:lang w:val="en-GB" w:eastAsia="en-GB"/>
        </w:rPr>
        <w:t xml:space="preserve">First, our measure addresses </w:t>
      </w:r>
      <w:r w:rsidR="007E30DF" w:rsidRPr="00EC25CF">
        <w:rPr>
          <w:lang w:val="en-GB" w:eastAsia="en-GB"/>
        </w:rPr>
        <w:t xml:space="preserve">the </w:t>
      </w:r>
      <w:r w:rsidR="00E55177" w:rsidRPr="00710C27">
        <w:rPr>
          <w:lang w:val="en-GB" w:eastAsia="en-GB"/>
        </w:rPr>
        <w:t>requisites that we</w:t>
      </w:r>
      <w:r w:rsidR="00710C27">
        <w:rPr>
          <w:lang w:val="en-GB" w:eastAsia="en-GB"/>
        </w:rPr>
        <w:t>re</w:t>
      </w:r>
      <w:r w:rsidR="00E55177" w:rsidRPr="00710C27">
        <w:rPr>
          <w:lang w:val="en-GB" w:eastAsia="en-GB"/>
        </w:rPr>
        <w:t xml:space="preserve"> identified </w:t>
      </w:r>
      <w:r w:rsidR="00710C27">
        <w:rPr>
          <w:lang w:val="en-GB" w:eastAsia="en-GB"/>
        </w:rPr>
        <w:t xml:space="preserve">from </w:t>
      </w:r>
      <w:r w:rsidR="001E652A">
        <w:rPr>
          <w:lang w:val="en-GB" w:eastAsia="en-GB"/>
        </w:rPr>
        <w:t xml:space="preserve">the scales limitations </w:t>
      </w:r>
      <w:r w:rsidR="00710C27">
        <w:rPr>
          <w:lang w:val="en-GB" w:eastAsia="en-GB"/>
        </w:rPr>
        <w:t>analysis of the DC literature.</w:t>
      </w:r>
      <w:r w:rsidR="00E55177" w:rsidRPr="00710C27">
        <w:rPr>
          <w:lang w:val="en-GB" w:eastAsia="en-GB"/>
        </w:rPr>
        <w:t xml:space="preserve"> It is aligned with the definition and dimensionality proposed by Cachat-Rosset et al. (2017) concept</w:t>
      </w:r>
      <w:r w:rsidR="008F6E56" w:rsidRPr="00EC25CF">
        <w:rPr>
          <w:lang w:val="en-GB" w:eastAsia="en-GB"/>
        </w:rPr>
        <w:t>.</w:t>
      </w:r>
      <w:r w:rsidR="00E55177" w:rsidRPr="00710C27">
        <w:rPr>
          <w:lang w:val="en-GB" w:eastAsia="en-GB"/>
        </w:rPr>
        <w:t xml:space="preserve"> It is not focused on the respondent him- or herself</w:t>
      </w:r>
      <w:r w:rsidR="008F6E56" w:rsidRPr="00EC25CF">
        <w:rPr>
          <w:lang w:val="en-GB" w:eastAsia="en-GB"/>
        </w:rPr>
        <w:t xml:space="preserve"> but on external (to him or her) targets</w:t>
      </w:r>
      <w:r w:rsidR="00E55177" w:rsidRPr="00710C27">
        <w:rPr>
          <w:lang w:val="en-GB" w:eastAsia="en-GB"/>
        </w:rPr>
        <w:t>. It does not focus on identity groups that are specific t</w:t>
      </w:r>
      <w:r w:rsidR="008F6E56" w:rsidRPr="00710C27">
        <w:rPr>
          <w:lang w:val="en-GB" w:eastAsia="en-GB"/>
        </w:rPr>
        <w:t xml:space="preserve">o one country </w:t>
      </w:r>
      <w:r w:rsidR="008F6E56" w:rsidRPr="00EC25CF">
        <w:rPr>
          <w:lang w:val="en-GB" w:eastAsia="en-GB"/>
        </w:rPr>
        <w:t>and can therefore be used in cross-national research</w:t>
      </w:r>
      <w:r w:rsidR="008F6E56" w:rsidRPr="00710C27">
        <w:rPr>
          <w:lang w:val="en-GB" w:eastAsia="en-GB"/>
        </w:rPr>
        <w:t>.</w:t>
      </w:r>
      <w:r w:rsidR="00E55177" w:rsidRPr="00710C27">
        <w:rPr>
          <w:lang w:val="en-GB" w:eastAsia="en-GB"/>
        </w:rPr>
        <w:t xml:space="preserve"> </w:t>
      </w:r>
      <w:r w:rsidR="008F6E56" w:rsidRPr="00710C27">
        <w:rPr>
          <w:lang w:val="en-GB" w:eastAsia="en-GB"/>
        </w:rPr>
        <w:t>It</w:t>
      </w:r>
      <w:r w:rsidR="00E55177" w:rsidRPr="00710C27">
        <w:rPr>
          <w:lang w:val="en-GB" w:eastAsia="en-GB"/>
        </w:rPr>
        <w:t xml:space="preserve"> address</w:t>
      </w:r>
      <w:r w:rsidR="008F6E56" w:rsidRPr="00710C27">
        <w:rPr>
          <w:lang w:val="en-GB" w:eastAsia="en-GB"/>
        </w:rPr>
        <w:t>es</w:t>
      </w:r>
      <w:r w:rsidR="00E55177" w:rsidRPr="00710C27">
        <w:rPr>
          <w:lang w:val="en-GB" w:eastAsia="en-GB"/>
        </w:rPr>
        <w:t xml:space="preserve"> the </w:t>
      </w:r>
      <w:r w:rsidR="009140B4">
        <w:rPr>
          <w:lang w:val="en-GB" w:eastAsia="en-GB"/>
        </w:rPr>
        <w:t>higher-</w:t>
      </w:r>
      <w:r w:rsidR="008F6E56" w:rsidRPr="00710C27">
        <w:rPr>
          <w:lang w:val="en-GB" w:eastAsia="en-GB"/>
        </w:rPr>
        <w:t>level</w:t>
      </w:r>
      <w:r w:rsidR="00E55177" w:rsidRPr="00710C27">
        <w:rPr>
          <w:lang w:val="en-GB" w:eastAsia="en-GB"/>
        </w:rPr>
        <w:t xml:space="preserve"> </w:t>
      </w:r>
      <w:r w:rsidR="00A52A26">
        <w:rPr>
          <w:lang w:val="en-GB" w:eastAsia="en-GB"/>
        </w:rPr>
        <w:t xml:space="preserve">of analysis </w:t>
      </w:r>
      <w:r w:rsidR="008F6E56" w:rsidRPr="00710C27">
        <w:rPr>
          <w:lang w:val="en-GB" w:eastAsia="en-GB"/>
        </w:rPr>
        <w:t xml:space="preserve">in the sense that it </w:t>
      </w:r>
      <w:r w:rsidR="00710C27">
        <w:rPr>
          <w:lang w:val="en-GB" w:eastAsia="en-GB"/>
        </w:rPr>
        <w:t xml:space="preserve">is designed to be used </w:t>
      </w:r>
      <w:r w:rsidR="008F6E56" w:rsidRPr="00710C27">
        <w:rPr>
          <w:lang w:val="en-GB" w:eastAsia="en-GB"/>
        </w:rPr>
        <w:t xml:space="preserve">as an aggregate measure. </w:t>
      </w:r>
      <w:r w:rsidR="00710C27">
        <w:rPr>
          <w:lang w:val="en-GB" w:eastAsia="en-GB"/>
        </w:rPr>
        <w:t>I</w:t>
      </w:r>
      <w:r w:rsidR="008F6E56" w:rsidRPr="00710C27">
        <w:rPr>
          <w:lang w:val="en-GB" w:eastAsia="en-GB"/>
        </w:rPr>
        <w:t>t</w:t>
      </w:r>
      <w:r w:rsidR="00710C27">
        <w:rPr>
          <w:lang w:val="en-GB" w:eastAsia="en-GB"/>
        </w:rPr>
        <w:t xml:space="preserve"> also</w:t>
      </w:r>
      <w:r w:rsidR="00E55177" w:rsidRPr="00710C27">
        <w:rPr>
          <w:lang w:val="en-GB" w:eastAsia="en-GB"/>
        </w:rPr>
        <w:t xml:space="preserve"> target</w:t>
      </w:r>
      <w:r w:rsidR="008F6E56" w:rsidRPr="00710C27">
        <w:rPr>
          <w:lang w:val="en-GB" w:eastAsia="en-GB"/>
        </w:rPr>
        <w:t>s</w:t>
      </w:r>
      <w:r w:rsidR="00E55177" w:rsidRPr="00710C27">
        <w:rPr>
          <w:lang w:val="en-GB" w:eastAsia="en-GB"/>
        </w:rPr>
        <w:t xml:space="preserve"> organizational level foci: top management commitment/stated intentions, organizational policies, attitudes and </w:t>
      </w:r>
      <w:r w:rsidR="00746013" w:rsidRPr="00710C27">
        <w:rPr>
          <w:lang w:val="en-GB" w:eastAsia="en-GB"/>
        </w:rPr>
        <w:t>b</w:t>
      </w:r>
      <w:r w:rsidR="00746013">
        <w:rPr>
          <w:lang w:val="en-GB" w:eastAsia="en-GB"/>
        </w:rPr>
        <w:t>ehaviours</w:t>
      </w:r>
      <w:r w:rsidR="00FB452E">
        <w:rPr>
          <w:lang w:val="en-GB" w:eastAsia="en-GB"/>
        </w:rPr>
        <w:t xml:space="preserve"> manifested in the </w:t>
      </w:r>
      <w:r w:rsidR="00E55177" w:rsidRPr="00710C27">
        <w:rPr>
          <w:lang w:val="en-GB" w:eastAsia="en-GB"/>
        </w:rPr>
        <w:t xml:space="preserve">unit environment, </w:t>
      </w:r>
      <w:r w:rsidR="008F6E56" w:rsidRPr="00710C27">
        <w:rPr>
          <w:lang w:val="en-GB" w:eastAsia="en-GB"/>
        </w:rPr>
        <w:t>and</w:t>
      </w:r>
      <w:r w:rsidR="008F6E56" w:rsidRPr="00EC25CF">
        <w:rPr>
          <w:lang w:val="en-GB" w:eastAsia="en-GB"/>
        </w:rPr>
        <w:t xml:space="preserve"> so</w:t>
      </w:r>
      <w:r w:rsidR="008F6E56" w:rsidRPr="00710C27">
        <w:rPr>
          <w:lang w:val="en-GB" w:eastAsia="en-GB"/>
        </w:rPr>
        <w:t xml:space="preserve"> avoids</w:t>
      </w:r>
      <w:r w:rsidR="00E55177" w:rsidRPr="00710C27">
        <w:rPr>
          <w:lang w:val="en-GB" w:eastAsia="en-GB"/>
        </w:rPr>
        <w:t xml:space="preserve"> personal va</w:t>
      </w:r>
      <w:r w:rsidR="00747663" w:rsidRPr="00EC25CF">
        <w:rPr>
          <w:lang w:val="en-GB" w:eastAsia="en-GB"/>
        </w:rPr>
        <w:t>lues or personal comfort</w:t>
      </w:r>
      <w:r w:rsidR="008F6E56" w:rsidRPr="00710C27">
        <w:rPr>
          <w:lang w:val="en-GB" w:eastAsia="en-GB"/>
        </w:rPr>
        <w:t xml:space="preserve"> perceptions</w:t>
      </w:r>
      <w:r w:rsidR="00E55177" w:rsidRPr="00710C27">
        <w:rPr>
          <w:lang w:val="en-GB" w:eastAsia="en-GB"/>
        </w:rPr>
        <w:t>.</w:t>
      </w:r>
      <w:r w:rsidR="00E55177" w:rsidRPr="00E55177">
        <w:rPr>
          <w:lang w:val="en-GB" w:eastAsia="en-GB"/>
        </w:rPr>
        <w:t xml:space="preserve"> </w:t>
      </w:r>
      <w:r w:rsidR="004439CA">
        <w:rPr>
          <w:lang w:val="en-GB"/>
        </w:rPr>
        <w:t>From a methodological standpoint, our findings support</w:t>
      </w:r>
      <w:r w:rsidR="004439CA">
        <w:rPr>
          <w:lang w:val="en-US"/>
        </w:rPr>
        <w:t xml:space="preserve"> the nomological validity of our proposed measure, providing empirical support to the positive influence of unit-level DC on employees’ perception of </w:t>
      </w:r>
      <w:r w:rsidR="00484D1A">
        <w:rPr>
          <w:lang w:val="en-US"/>
        </w:rPr>
        <w:t>SI</w:t>
      </w:r>
      <w:r w:rsidR="004439CA">
        <w:rPr>
          <w:lang w:val="en-US"/>
        </w:rPr>
        <w:t>,</w:t>
      </w:r>
      <w:r w:rsidR="0032528D">
        <w:rPr>
          <w:lang w:val="en-US"/>
        </w:rPr>
        <w:t xml:space="preserve"> so</w:t>
      </w:r>
      <w:r w:rsidR="004439CA">
        <w:rPr>
          <w:lang w:val="en-US"/>
        </w:rPr>
        <w:t xml:space="preserve"> calling for further research on </w:t>
      </w:r>
      <w:r w:rsidR="00710C27">
        <w:rPr>
          <w:lang w:val="en-US"/>
        </w:rPr>
        <w:t>other</w:t>
      </w:r>
      <w:r w:rsidR="004439CA">
        <w:rPr>
          <w:lang w:val="en-US"/>
        </w:rPr>
        <w:t xml:space="preserve"> DC’s proximal and distal outcomes. </w:t>
      </w:r>
    </w:p>
    <w:p w14:paraId="0B4A2499" w14:textId="1FD89E81" w:rsidR="008F6E56" w:rsidRDefault="008F6E56">
      <w:pPr>
        <w:spacing w:line="480" w:lineRule="auto"/>
        <w:jc w:val="both"/>
        <w:rPr>
          <w:lang w:val="en-GB" w:eastAsia="en-GB"/>
        </w:rPr>
      </w:pPr>
      <w:r>
        <w:rPr>
          <w:lang w:val="en-GB" w:eastAsia="en-GB"/>
        </w:rPr>
        <w:t>O</w:t>
      </w:r>
      <w:r w:rsidR="00245B05" w:rsidRPr="00245B05">
        <w:rPr>
          <w:lang w:val="en-GB" w:eastAsia="en-GB"/>
        </w:rPr>
        <w:t xml:space="preserve">ur </w:t>
      </w:r>
      <w:r w:rsidR="00C007D8">
        <w:rPr>
          <w:lang w:val="en-GB" w:eastAsia="en-GB"/>
        </w:rPr>
        <w:t>measurement</w:t>
      </w:r>
      <w:r>
        <w:rPr>
          <w:lang w:val="en-GB" w:eastAsia="en-GB"/>
        </w:rPr>
        <w:t xml:space="preserve"> development</w:t>
      </w:r>
      <w:r w:rsidRPr="00245B05">
        <w:rPr>
          <w:lang w:val="en-GB" w:eastAsia="en-GB"/>
        </w:rPr>
        <w:t xml:space="preserve"> </w:t>
      </w:r>
      <w:r w:rsidR="00840B6B">
        <w:rPr>
          <w:lang w:val="en-GB" w:eastAsia="en-GB"/>
        </w:rPr>
        <w:t>contributes</w:t>
      </w:r>
      <w:r w:rsidR="00245B05" w:rsidRPr="00245B05">
        <w:rPr>
          <w:lang w:val="en-GB" w:eastAsia="en-GB"/>
        </w:rPr>
        <w:t xml:space="preserve"> </w:t>
      </w:r>
      <w:r w:rsidR="00C007D8">
        <w:rPr>
          <w:lang w:val="en-GB" w:eastAsia="en-GB"/>
        </w:rPr>
        <w:t xml:space="preserve">to </w:t>
      </w:r>
      <w:r w:rsidR="00245B05" w:rsidRPr="00245B05">
        <w:rPr>
          <w:lang w:val="en-GB" w:eastAsia="en-GB"/>
        </w:rPr>
        <w:t xml:space="preserve">the debate opened by </w:t>
      </w:r>
      <w:r w:rsidR="00983DCD" w:rsidRPr="00245B05">
        <w:rPr>
          <w:lang w:val="en-GB" w:eastAsia="en-GB"/>
        </w:rPr>
        <w:t>Dwertmann</w:t>
      </w:r>
      <w:r w:rsidR="00983DCD">
        <w:rPr>
          <w:lang w:val="en-GB" w:eastAsia="en-GB"/>
        </w:rPr>
        <w:t xml:space="preserve"> et al.</w:t>
      </w:r>
      <w:r w:rsidR="00983DCD" w:rsidRPr="00245B05">
        <w:rPr>
          <w:lang w:val="en-GB" w:eastAsia="en-GB"/>
        </w:rPr>
        <w:t xml:space="preserve"> </w:t>
      </w:r>
      <w:r w:rsidR="00245B05" w:rsidRPr="00245B05">
        <w:rPr>
          <w:lang w:val="en-GB" w:eastAsia="en-GB"/>
        </w:rPr>
        <w:t xml:space="preserve">(2016), who claimed that </w:t>
      </w:r>
      <w:r w:rsidR="004254E4">
        <w:rPr>
          <w:lang w:val="en-GB" w:eastAsia="en-GB"/>
        </w:rPr>
        <w:t>DC</w:t>
      </w:r>
      <w:r w:rsidR="00245B05" w:rsidRPr="00245B05">
        <w:rPr>
          <w:lang w:val="en-GB" w:eastAsia="en-GB"/>
        </w:rPr>
        <w:t xml:space="preserve"> </w:t>
      </w:r>
      <w:r w:rsidR="000B16F7">
        <w:rPr>
          <w:lang w:val="en-GB" w:eastAsia="en-GB"/>
        </w:rPr>
        <w:t>measure</w:t>
      </w:r>
      <w:r w:rsidR="00716776">
        <w:rPr>
          <w:lang w:val="en-GB" w:eastAsia="en-GB"/>
        </w:rPr>
        <w:t>s</w:t>
      </w:r>
      <w:r w:rsidR="000B16F7">
        <w:rPr>
          <w:lang w:val="en-GB" w:eastAsia="en-GB"/>
        </w:rPr>
        <w:t xml:space="preserve"> </w:t>
      </w:r>
      <w:r w:rsidR="00F6136A">
        <w:rPr>
          <w:lang w:val="en-GB" w:eastAsia="en-GB"/>
        </w:rPr>
        <w:t>most often failed to</w:t>
      </w:r>
      <w:r w:rsidR="000B16F7">
        <w:rPr>
          <w:lang w:val="en-GB" w:eastAsia="en-GB"/>
        </w:rPr>
        <w:t xml:space="preserve"> </w:t>
      </w:r>
      <w:r w:rsidR="00245B05" w:rsidRPr="00245B05">
        <w:rPr>
          <w:lang w:val="en-GB" w:eastAsia="en-GB"/>
        </w:rPr>
        <w:t xml:space="preserve">cover </w:t>
      </w:r>
      <w:r w:rsidR="000B16F7">
        <w:rPr>
          <w:lang w:val="en-GB" w:eastAsia="en-GB"/>
        </w:rPr>
        <w:t xml:space="preserve">the </w:t>
      </w:r>
      <w:r w:rsidR="00245B05" w:rsidRPr="00245B05">
        <w:rPr>
          <w:lang w:val="en-GB" w:eastAsia="en-GB"/>
        </w:rPr>
        <w:t>distinct paradigms</w:t>
      </w:r>
      <w:r w:rsidR="000B16F7">
        <w:rPr>
          <w:lang w:val="en-GB" w:eastAsia="en-GB"/>
        </w:rPr>
        <w:t xml:space="preserve"> of fairness/discrimination </w:t>
      </w:r>
      <w:r w:rsidR="006D2C8D">
        <w:rPr>
          <w:lang w:val="en-GB" w:eastAsia="en-GB"/>
        </w:rPr>
        <w:t>and</w:t>
      </w:r>
      <w:r w:rsidR="000B16F7">
        <w:rPr>
          <w:lang w:val="en-GB" w:eastAsia="en-GB"/>
        </w:rPr>
        <w:t xml:space="preserve"> synergy</w:t>
      </w:r>
      <w:r w:rsidR="00C007D8">
        <w:rPr>
          <w:lang w:val="en-GB" w:eastAsia="en-GB"/>
        </w:rPr>
        <w:t>. Indeed, the</w:t>
      </w:r>
      <w:r w:rsidR="00FB452E">
        <w:rPr>
          <w:lang w:val="en-GB" w:eastAsia="en-GB"/>
        </w:rPr>
        <w:t>se</w:t>
      </w:r>
      <w:r w:rsidR="00C007D8">
        <w:rPr>
          <w:lang w:val="en-GB" w:eastAsia="en-GB"/>
        </w:rPr>
        <w:t xml:space="preserve"> authors have raised serious concern about how</w:t>
      </w:r>
      <w:r w:rsidR="000B16F7">
        <w:rPr>
          <w:lang w:val="en-GB" w:eastAsia="en-GB"/>
        </w:rPr>
        <w:t xml:space="preserve"> the </w:t>
      </w:r>
      <w:r w:rsidR="0032528D">
        <w:rPr>
          <w:lang w:val="en-GB" w:eastAsia="en-GB"/>
        </w:rPr>
        <w:t xml:space="preserve">synergy </w:t>
      </w:r>
      <w:r w:rsidR="000B16F7">
        <w:rPr>
          <w:lang w:val="en-GB" w:eastAsia="en-GB"/>
        </w:rPr>
        <w:t xml:space="preserve">paradigm is at present neglected in existing </w:t>
      </w:r>
      <w:r w:rsidR="00C007D8">
        <w:rPr>
          <w:lang w:val="en-GB" w:eastAsia="en-GB"/>
        </w:rPr>
        <w:t xml:space="preserve">DC </w:t>
      </w:r>
      <w:r w:rsidR="000B16F7">
        <w:rPr>
          <w:lang w:val="en-GB" w:eastAsia="en-GB"/>
        </w:rPr>
        <w:t>measures</w:t>
      </w:r>
      <w:r w:rsidR="00245B05" w:rsidRPr="00245B05">
        <w:rPr>
          <w:lang w:val="en-GB" w:eastAsia="en-GB"/>
        </w:rPr>
        <w:t xml:space="preserve">. </w:t>
      </w:r>
      <w:r w:rsidR="00DA5B6E">
        <w:rPr>
          <w:lang w:val="en-GB" w:eastAsia="en-GB"/>
        </w:rPr>
        <w:t>Our</w:t>
      </w:r>
      <w:r w:rsidR="00E853AE" w:rsidRPr="00245B05">
        <w:rPr>
          <w:lang w:val="en-GB" w:eastAsia="en-GB"/>
        </w:rPr>
        <w:t xml:space="preserve"> </w:t>
      </w:r>
      <w:r w:rsidR="000B16F7">
        <w:rPr>
          <w:lang w:val="en-GB" w:eastAsia="en-GB"/>
        </w:rPr>
        <w:t xml:space="preserve">new measure </w:t>
      </w:r>
      <w:r w:rsidR="00F6136A">
        <w:rPr>
          <w:lang w:val="en-GB" w:eastAsia="en-GB"/>
        </w:rPr>
        <w:t xml:space="preserve">both </w:t>
      </w:r>
      <w:r w:rsidR="000B16F7">
        <w:rPr>
          <w:lang w:val="en-US"/>
        </w:rPr>
        <w:t xml:space="preserve">taps </w:t>
      </w:r>
      <w:r w:rsidR="00E32419">
        <w:rPr>
          <w:lang w:val="en-US"/>
        </w:rPr>
        <w:t xml:space="preserve">the two </w:t>
      </w:r>
      <w:r w:rsidR="000B16F7">
        <w:rPr>
          <w:lang w:val="en-US"/>
        </w:rPr>
        <w:t>paradigms</w:t>
      </w:r>
      <w:r w:rsidR="00F6136A">
        <w:rPr>
          <w:lang w:val="en-US"/>
        </w:rPr>
        <w:t xml:space="preserve"> but </w:t>
      </w:r>
      <w:r w:rsidR="0072059C">
        <w:rPr>
          <w:lang w:val="en-US"/>
        </w:rPr>
        <w:t>also</w:t>
      </w:r>
      <w:r w:rsidR="000B16F7">
        <w:rPr>
          <w:lang w:val="en-US"/>
        </w:rPr>
        <w:t xml:space="preserve"> </w:t>
      </w:r>
      <w:r w:rsidR="000B16F7">
        <w:rPr>
          <w:lang w:val="en-GB" w:eastAsia="en-GB"/>
        </w:rPr>
        <w:t>questions the assumed dimensionality of these paradigms</w:t>
      </w:r>
      <w:r w:rsidR="00E32419">
        <w:rPr>
          <w:lang w:val="en-GB" w:eastAsia="en-GB"/>
        </w:rPr>
        <w:t xml:space="preserve"> for DC study</w:t>
      </w:r>
      <w:r w:rsidR="00245B05" w:rsidRPr="00245B05">
        <w:rPr>
          <w:lang w:val="en-GB" w:eastAsia="en-GB"/>
        </w:rPr>
        <w:t xml:space="preserve">. </w:t>
      </w:r>
      <w:r w:rsidR="0072059C">
        <w:rPr>
          <w:lang w:val="en-GB" w:eastAsia="en-GB"/>
        </w:rPr>
        <w:t>Indeed, we found that t</w:t>
      </w:r>
      <w:r w:rsidR="00245B05" w:rsidRPr="00245B05">
        <w:rPr>
          <w:lang w:val="en-GB" w:eastAsia="en-GB"/>
        </w:rPr>
        <w:t xml:space="preserve">he three </w:t>
      </w:r>
      <w:r w:rsidR="004254E4">
        <w:rPr>
          <w:lang w:val="en-GB" w:eastAsia="en-GB"/>
        </w:rPr>
        <w:t>DC</w:t>
      </w:r>
      <w:r w:rsidR="00245B05" w:rsidRPr="00245B05">
        <w:rPr>
          <w:lang w:val="en-GB" w:eastAsia="en-GB"/>
        </w:rPr>
        <w:t xml:space="preserve"> facets </w:t>
      </w:r>
      <w:r w:rsidR="002F3C09">
        <w:rPr>
          <w:lang w:val="en-GB" w:eastAsia="en-GB"/>
        </w:rPr>
        <w:t>combine</w:t>
      </w:r>
      <w:r w:rsidR="00245B05" w:rsidRPr="00245B05">
        <w:rPr>
          <w:lang w:val="en-GB" w:eastAsia="en-GB"/>
        </w:rPr>
        <w:t xml:space="preserve"> </w:t>
      </w:r>
      <w:r w:rsidR="0072059C">
        <w:rPr>
          <w:lang w:val="en-GB" w:eastAsia="en-GB"/>
        </w:rPr>
        <w:t>both</w:t>
      </w:r>
      <w:r w:rsidR="00245B05" w:rsidRPr="00245B05">
        <w:rPr>
          <w:lang w:val="en-GB" w:eastAsia="en-GB"/>
        </w:rPr>
        <w:t xml:space="preserve"> </w:t>
      </w:r>
      <w:r w:rsidR="0072059C">
        <w:rPr>
          <w:lang w:val="en-GB" w:eastAsia="en-GB"/>
        </w:rPr>
        <w:t>perspectives</w:t>
      </w:r>
      <w:r w:rsidR="0072059C" w:rsidRPr="00245B05">
        <w:rPr>
          <w:lang w:val="en-GB" w:eastAsia="en-GB"/>
        </w:rPr>
        <w:t xml:space="preserve"> </w:t>
      </w:r>
      <w:r w:rsidR="0072059C">
        <w:rPr>
          <w:lang w:val="en-GB" w:eastAsia="en-GB"/>
        </w:rPr>
        <w:t xml:space="preserve">identified </w:t>
      </w:r>
      <w:r w:rsidR="0072059C">
        <w:rPr>
          <w:lang w:val="en-GB" w:eastAsia="en-GB"/>
        </w:rPr>
        <w:lastRenderedPageBreak/>
        <w:t>by Dwertmann et al.</w:t>
      </w:r>
      <w:r w:rsidR="00FB452E">
        <w:rPr>
          <w:lang w:val="en-GB" w:eastAsia="en-GB"/>
        </w:rPr>
        <w:t xml:space="preserve"> (2016), </w:t>
      </w:r>
      <w:r w:rsidR="00C007D8">
        <w:rPr>
          <w:lang w:val="en-GB" w:eastAsia="en-GB"/>
        </w:rPr>
        <w:t xml:space="preserve">while </w:t>
      </w:r>
      <w:r w:rsidR="00FB452E">
        <w:rPr>
          <w:lang w:val="en-GB" w:eastAsia="en-GB"/>
        </w:rPr>
        <w:t xml:space="preserve">most </w:t>
      </w:r>
      <w:r w:rsidR="002F3C09">
        <w:rPr>
          <w:lang w:val="en-GB" w:eastAsia="en-GB"/>
        </w:rPr>
        <w:t xml:space="preserve">previous measures </w:t>
      </w:r>
      <w:r w:rsidR="00FB452E">
        <w:rPr>
          <w:lang w:val="en-GB" w:eastAsia="en-GB"/>
        </w:rPr>
        <w:t>have failed to do so</w:t>
      </w:r>
      <w:r w:rsidR="00245B05" w:rsidRPr="00245B05">
        <w:rPr>
          <w:lang w:val="en-GB" w:eastAsia="en-GB"/>
        </w:rPr>
        <w:t xml:space="preserve">. The praxis dimension </w:t>
      </w:r>
      <w:r w:rsidR="000B16F7">
        <w:rPr>
          <w:lang w:val="en-GB" w:eastAsia="en-GB"/>
        </w:rPr>
        <w:t>for instance</w:t>
      </w:r>
      <w:r w:rsidR="00FB452E">
        <w:rPr>
          <w:lang w:val="en-GB" w:eastAsia="en-GB"/>
        </w:rPr>
        <w:t xml:space="preserve"> combines both the ‘fairness &amp;</w:t>
      </w:r>
      <w:r w:rsidR="00245B05" w:rsidRPr="00245B05">
        <w:rPr>
          <w:lang w:val="en-GB" w:eastAsia="en-GB"/>
        </w:rPr>
        <w:t xml:space="preserve"> discrimination perspective’ (PRAX1 and PRAX2) and the synerg</w:t>
      </w:r>
      <w:r w:rsidR="0072059C">
        <w:rPr>
          <w:lang w:val="en-GB" w:eastAsia="en-GB"/>
        </w:rPr>
        <w:t>y</w:t>
      </w:r>
      <w:r w:rsidR="00245B05" w:rsidRPr="00245B05">
        <w:rPr>
          <w:lang w:val="en-GB" w:eastAsia="en-GB"/>
        </w:rPr>
        <w:t xml:space="preserve"> perspective (PRAX3 and PRAX4), while the programmatic dimension </w:t>
      </w:r>
      <w:r w:rsidR="002F3C09">
        <w:rPr>
          <w:lang w:val="en-GB" w:eastAsia="en-GB"/>
        </w:rPr>
        <w:t>includes an item</w:t>
      </w:r>
      <w:r w:rsidR="000B16F7">
        <w:rPr>
          <w:lang w:val="en-GB" w:eastAsia="en-GB"/>
        </w:rPr>
        <w:t xml:space="preserve"> that</w:t>
      </w:r>
      <w:r w:rsidR="002F3C09">
        <w:rPr>
          <w:lang w:val="en-GB" w:eastAsia="en-GB"/>
        </w:rPr>
        <w:t xml:space="preserve"> clearly </w:t>
      </w:r>
      <w:r w:rsidR="00245B05" w:rsidRPr="00245B05">
        <w:rPr>
          <w:lang w:val="en-GB" w:eastAsia="en-GB"/>
        </w:rPr>
        <w:t>match</w:t>
      </w:r>
      <w:r w:rsidR="002F3C09">
        <w:rPr>
          <w:lang w:val="en-GB" w:eastAsia="en-GB"/>
        </w:rPr>
        <w:t>es</w:t>
      </w:r>
      <w:r w:rsidR="00FB452E">
        <w:rPr>
          <w:lang w:val="en-GB" w:eastAsia="en-GB"/>
        </w:rPr>
        <w:t xml:space="preserve"> the ‘fairness &amp;</w:t>
      </w:r>
      <w:r w:rsidR="00245B05" w:rsidRPr="00245B05">
        <w:rPr>
          <w:lang w:val="en-GB" w:eastAsia="en-GB"/>
        </w:rPr>
        <w:t xml:space="preserve"> discrimination perspective’</w:t>
      </w:r>
      <w:r w:rsidR="002F3C09">
        <w:rPr>
          <w:lang w:val="en-GB" w:eastAsia="en-GB"/>
        </w:rPr>
        <w:t xml:space="preserve"> (PROG3)</w:t>
      </w:r>
      <w:r w:rsidR="0072059C">
        <w:rPr>
          <w:lang w:val="en-GB" w:eastAsia="en-GB"/>
        </w:rPr>
        <w:t>. Therefore</w:t>
      </w:r>
      <w:r w:rsidR="00B65FC5">
        <w:rPr>
          <w:lang w:val="en-GB" w:eastAsia="en-GB"/>
        </w:rPr>
        <w:t>,</w:t>
      </w:r>
      <w:r w:rsidR="0072059C">
        <w:rPr>
          <w:lang w:val="en-GB" w:eastAsia="en-GB"/>
        </w:rPr>
        <w:t xml:space="preserve"> we</w:t>
      </w:r>
      <w:r w:rsidR="00FB452E">
        <w:rPr>
          <w:lang w:val="en-GB" w:eastAsia="en-GB"/>
        </w:rPr>
        <w:t xml:space="preserve"> note that the ‘fairness &amp;</w:t>
      </w:r>
      <w:r w:rsidR="00245B05" w:rsidRPr="00245B05">
        <w:rPr>
          <w:lang w:val="en-GB" w:eastAsia="en-GB"/>
        </w:rPr>
        <w:t xml:space="preserve"> discrimination perspective’ is empirically present in two separate dimensions of </w:t>
      </w:r>
      <w:r w:rsidR="000B16F7">
        <w:rPr>
          <w:lang w:val="en-GB" w:eastAsia="en-GB"/>
        </w:rPr>
        <w:t xml:space="preserve">the </w:t>
      </w:r>
      <w:r w:rsidR="00E853AE">
        <w:rPr>
          <w:lang w:val="en-GB" w:eastAsia="en-GB"/>
        </w:rPr>
        <w:t xml:space="preserve">newly-designed </w:t>
      </w:r>
      <w:r w:rsidR="004254E4">
        <w:rPr>
          <w:lang w:val="en-GB" w:eastAsia="en-GB"/>
        </w:rPr>
        <w:t>DC</w:t>
      </w:r>
      <w:r w:rsidR="000B16F7">
        <w:rPr>
          <w:lang w:val="en-GB" w:eastAsia="en-GB"/>
        </w:rPr>
        <w:t xml:space="preserve"> scale</w:t>
      </w:r>
      <w:r w:rsidR="00E853AE">
        <w:rPr>
          <w:lang w:val="en-GB" w:eastAsia="en-GB"/>
        </w:rPr>
        <w:t xml:space="preserve"> </w:t>
      </w:r>
      <w:r w:rsidR="00245B05" w:rsidRPr="00245B05">
        <w:rPr>
          <w:lang w:val="en-GB" w:eastAsia="en-GB"/>
        </w:rPr>
        <w:t xml:space="preserve">(via PROG3 and PRAX1 and PRAX2). </w:t>
      </w:r>
      <w:r w:rsidR="004F280D">
        <w:rPr>
          <w:lang w:val="en-GB" w:eastAsia="en-GB"/>
        </w:rPr>
        <w:t xml:space="preserve"> </w:t>
      </w:r>
    </w:p>
    <w:p w14:paraId="1D622C8D" w14:textId="567DB716" w:rsidR="00E32419" w:rsidRDefault="00245B05">
      <w:pPr>
        <w:spacing w:line="480" w:lineRule="auto"/>
        <w:jc w:val="both"/>
        <w:rPr>
          <w:lang w:val="en-GB" w:eastAsia="en-GB"/>
        </w:rPr>
      </w:pPr>
      <w:r w:rsidRPr="00245B05">
        <w:rPr>
          <w:lang w:val="en-GB" w:eastAsia="en-GB"/>
        </w:rPr>
        <w:t xml:space="preserve">In short, our study raises </w:t>
      </w:r>
      <w:r w:rsidR="0072059C">
        <w:rPr>
          <w:lang w:val="en-GB" w:eastAsia="en-GB"/>
        </w:rPr>
        <w:t>questions</w:t>
      </w:r>
      <w:r w:rsidR="0072059C" w:rsidRPr="00245B05">
        <w:rPr>
          <w:lang w:val="en-GB" w:eastAsia="en-GB"/>
        </w:rPr>
        <w:t xml:space="preserve"> </w:t>
      </w:r>
      <w:r w:rsidRPr="00245B05">
        <w:rPr>
          <w:lang w:val="en-GB" w:eastAsia="en-GB"/>
        </w:rPr>
        <w:t xml:space="preserve">about the empirical robustness of </w:t>
      </w:r>
      <w:r w:rsidR="000B16F7">
        <w:rPr>
          <w:lang w:val="en-GB" w:eastAsia="en-GB"/>
        </w:rPr>
        <w:t xml:space="preserve">established diversity </w:t>
      </w:r>
      <w:bookmarkStart w:id="16" w:name="_Hlk6097232"/>
      <w:r w:rsidR="00EE7208">
        <w:rPr>
          <w:lang w:val="en-GB" w:eastAsia="en-GB"/>
        </w:rPr>
        <w:t>management paradigms for assessing DC</w:t>
      </w:r>
      <w:r w:rsidRPr="00245B05">
        <w:rPr>
          <w:lang w:val="en-GB" w:eastAsia="en-GB"/>
        </w:rPr>
        <w:t xml:space="preserve">. </w:t>
      </w:r>
      <w:bookmarkEnd w:id="16"/>
      <w:r w:rsidR="004B1685" w:rsidRPr="00EC25CF">
        <w:rPr>
          <w:lang w:val="en-GB" w:eastAsia="en-GB"/>
        </w:rPr>
        <w:t>We contend that t</w:t>
      </w:r>
      <w:r w:rsidR="00F11B3D" w:rsidRPr="00EC25CF">
        <w:rPr>
          <w:lang w:val="en-GB" w:eastAsia="en-GB"/>
        </w:rPr>
        <w:t xml:space="preserve">hese dichotomies might be </w:t>
      </w:r>
      <w:r w:rsidR="00C007D8" w:rsidRPr="00EC25CF">
        <w:rPr>
          <w:lang w:val="en-GB" w:eastAsia="en-GB"/>
        </w:rPr>
        <w:t xml:space="preserve">inherently </w:t>
      </w:r>
      <w:r w:rsidR="00F11B3D" w:rsidRPr="00EC25CF">
        <w:rPr>
          <w:lang w:val="en-GB" w:eastAsia="en-GB"/>
        </w:rPr>
        <w:t>problematic</w:t>
      </w:r>
      <w:r w:rsidR="00C007D8">
        <w:rPr>
          <w:lang w:val="en-GB" w:eastAsia="en-GB"/>
        </w:rPr>
        <w:t xml:space="preserve"> as they may prove to be </w:t>
      </w:r>
      <w:r w:rsidR="00DB4E9C">
        <w:rPr>
          <w:lang w:val="en-GB" w:eastAsia="en-GB"/>
        </w:rPr>
        <w:t xml:space="preserve">somehow </w:t>
      </w:r>
      <w:r w:rsidR="00C007D8">
        <w:rPr>
          <w:lang w:val="en-GB" w:eastAsia="en-GB"/>
        </w:rPr>
        <w:t>inapplicable in real organizational settings</w:t>
      </w:r>
      <w:r w:rsidR="00FB2CEB">
        <w:rPr>
          <w:lang w:val="en-GB" w:eastAsia="en-GB"/>
        </w:rPr>
        <w:t xml:space="preserve">. The fairness &amp; </w:t>
      </w:r>
      <w:r w:rsidR="00F11B3D" w:rsidRPr="00EC25CF">
        <w:rPr>
          <w:lang w:val="en-GB" w:eastAsia="en-GB"/>
        </w:rPr>
        <w:t>discrimination v</w:t>
      </w:r>
      <w:r w:rsidR="00C007D8">
        <w:rPr>
          <w:lang w:val="en-GB" w:eastAsia="en-GB"/>
        </w:rPr>
        <w:t>er</w:t>
      </w:r>
      <w:r w:rsidR="00F11B3D" w:rsidRPr="00EC25CF">
        <w:rPr>
          <w:lang w:val="en-GB" w:eastAsia="en-GB"/>
        </w:rPr>
        <w:t>s</w:t>
      </w:r>
      <w:r w:rsidR="00C007D8">
        <w:rPr>
          <w:lang w:val="en-GB" w:eastAsia="en-GB"/>
        </w:rPr>
        <w:t>us</w:t>
      </w:r>
      <w:r w:rsidR="00F11B3D" w:rsidRPr="00EC25CF">
        <w:rPr>
          <w:lang w:val="en-GB" w:eastAsia="en-GB"/>
        </w:rPr>
        <w:t xml:space="preserve"> synergy dichotomy for instance assumes that </w:t>
      </w:r>
      <w:r w:rsidR="00DB4E9C">
        <w:rPr>
          <w:lang w:val="en-GB" w:eastAsia="en-GB"/>
        </w:rPr>
        <w:t xml:space="preserve">on the one hand, </w:t>
      </w:r>
      <w:r w:rsidR="00F11B3D" w:rsidRPr="00EC25CF">
        <w:rPr>
          <w:lang w:val="en-GB" w:eastAsia="en-GB"/>
        </w:rPr>
        <w:t xml:space="preserve">an organization may be perceived by its members as providing equal treatment and being fair, while </w:t>
      </w:r>
      <w:r w:rsidR="00DB4E9C">
        <w:rPr>
          <w:lang w:val="en-GB" w:eastAsia="en-GB"/>
        </w:rPr>
        <w:t>on the other hand, it may</w:t>
      </w:r>
      <w:r w:rsidR="00F11B3D" w:rsidRPr="00EC25CF">
        <w:rPr>
          <w:lang w:val="en-GB" w:eastAsia="en-GB"/>
        </w:rPr>
        <w:t xml:space="preserve"> be perceived as not valuing each and every worker’s specific contribution to organizational performance</w:t>
      </w:r>
      <w:r w:rsidR="008F6E56" w:rsidRPr="00EC25CF">
        <w:rPr>
          <w:lang w:val="en-GB" w:eastAsia="en-GB"/>
        </w:rPr>
        <w:t xml:space="preserve"> and learning</w:t>
      </w:r>
      <w:r w:rsidR="00F11B3D" w:rsidRPr="00EC25CF">
        <w:rPr>
          <w:lang w:val="en-GB" w:eastAsia="en-GB"/>
        </w:rPr>
        <w:t xml:space="preserve"> on account of their group identity. But if employees</w:t>
      </w:r>
      <w:r w:rsidR="00B65FC5" w:rsidRPr="00EC25CF">
        <w:rPr>
          <w:lang w:val="en-GB" w:eastAsia="en-GB"/>
        </w:rPr>
        <w:t xml:space="preserve"> perceive</w:t>
      </w:r>
      <w:r w:rsidR="00F11B3D" w:rsidRPr="00EC25CF">
        <w:rPr>
          <w:lang w:val="en-GB" w:eastAsia="en-GB"/>
        </w:rPr>
        <w:t xml:space="preserve"> that some among them are undervalued</w:t>
      </w:r>
      <w:r w:rsidR="008F6E56" w:rsidRPr="00EC25CF">
        <w:rPr>
          <w:lang w:val="en-GB" w:eastAsia="en-GB"/>
        </w:rPr>
        <w:t>, under-listened to and under-considered</w:t>
      </w:r>
      <w:r w:rsidR="00F11B3D" w:rsidRPr="00EC25CF">
        <w:rPr>
          <w:lang w:val="en-GB" w:eastAsia="en-GB"/>
        </w:rPr>
        <w:t xml:space="preserve"> due to attitudes and </w:t>
      </w:r>
      <w:r w:rsidR="00746013" w:rsidRPr="00EC25CF">
        <w:rPr>
          <w:lang w:val="en-GB" w:eastAsia="en-GB"/>
        </w:rPr>
        <w:t>behaviours</w:t>
      </w:r>
      <w:r w:rsidR="00F11B3D" w:rsidRPr="00EC25CF">
        <w:rPr>
          <w:lang w:val="en-GB" w:eastAsia="en-GB"/>
        </w:rPr>
        <w:t xml:space="preserve"> manifested by their managers and/or colleagues on account of their group identity</w:t>
      </w:r>
      <w:r w:rsidR="008F6E56" w:rsidRPr="00EC25CF">
        <w:rPr>
          <w:lang w:val="en-GB" w:eastAsia="en-GB"/>
        </w:rPr>
        <w:t>,</w:t>
      </w:r>
      <w:r w:rsidR="00F11B3D" w:rsidRPr="00EC25CF">
        <w:rPr>
          <w:lang w:val="en-GB" w:eastAsia="en-GB"/>
        </w:rPr>
        <w:t xml:space="preserve"> then we contend that </w:t>
      </w:r>
      <w:r w:rsidR="00B65FC5" w:rsidRPr="00EC25CF">
        <w:rPr>
          <w:lang w:val="en-GB" w:eastAsia="en-GB"/>
        </w:rPr>
        <w:t>they may perceive this as</w:t>
      </w:r>
      <w:r w:rsidR="00F11B3D" w:rsidRPr="00EC25CF">
        <w:rPr>
          <w:lang w:val="en-GB" w:eastAsia="en-GB"/>
        </w:rPr>
        <w:t xml:space="preserve"> discrimination, be it indirect o</w:t>
      </w:r>
      <w:r w:rsidR="00B65FC5" w:rsidRPr="00EC25CF">
        <w:rPr>
          <w:lang w:val="en-GB" w:eastAsia="en-GB"/>
        </w:rPr>
        <w:t xml:space="preserve">r systemic (Agocs, 2002), </w:t>
      </w:r>
      <w:r w:rsidR="00DB4E9C">
        <w:rPr>
          <w:lang w:val="en-GB" w:eastAsia="en-GB"/>
        </w:rPr>
        <w:t xml:space="preserve">and </w:t>
      </w:r>
      <w:r w:rsidR="00B65FC5" w:rsidRPr="00EC25CF">
        <w:rPr>
          <w:lang w:val="en-GB" w:eastAsia="en-GB"/>
        </w:rPr>
        <w:t>not as</w:t>
      </w:r>
      <w:r w:rsidR="00F11B3D" w:rsidRPr="00EC25CF">
        <w:rPr>
          <w:lang w:val="en-GB" w:eastAsia="en-GB"/>
        </w:rPr>
        <w:t xml:space="preserve"> equal treatment and fairness. </w:t>
      </w:r>
      <w:r w:rsidR="00834760" w:rsidRPr="00EC25CF">
        <w:rPr>
          <w:lang w:val="en-GB" w:eastAsia="en-GB"/>
        </w:rPr>
        <w:t xml:space="preserve">This </w:t>
      </w:r>
      <w:r w:rsidR="00DB4E9C">
        <w:rPr>
          <w:lang w:val="en-GB" w:eastAsia="en-GB"/>
        </w:rPr>
        <w:t xml:space="preserve">also </w:t>
      </w:r>
      <w:r w:rsidR="00834760" w:rsidRPr="00EC25CF">
        <w:rPr>
          <w:lang w:val="en-GB" w:eastAsia="en-GB"/>
        </w:rPr>
        <w:t>suggests that e</w:t>
      </w:r>
      <w:r w:rsidR="00F11B3D" w:rsidRPr="00EC25CF">
        <w:rPr>
          <w:lang w:val="en-GB" w:eastAsia="en-GB"/>
        </w:rPr>
        <w:t>mpirically d</w:t>
      </w:r>
      <w:r w:rsidR="008F6E56" w:rsidRPr="00EC25CF">
        <w:rPr>
          <w:lang w:val="en-GB" w:eastAsia="en-GB"/>
        </w:rPr>
        <w:t>isentangling the fairness</w:t>
      </w:r>
      <w:r w:rsidR="00FB2CEB">
        <w:rPr>
          <w:lang w:val="en-GB" w:eastAsia="en-GB"/>
        </w:rPr>
        <w:t xml:space="preserve"> &amp; discrimination</w:t>
      </w:r>
      <w:r w:rsidR="008F6E56" w:rsidRPr="00EC25CF">
        <w:rPr>
          <w:lang w:val="en-GB" w:eastAsia="en-GB"/>
        </w:rPr>
        <w:t xml:space="preserve"> </w:t>
      </w:r>
      <w:r w:rsidR="00FB2CEB">
        <w:rPr>
          <w:lang w:val="en-GB" w:eastAsia="en-GB"/>
        </w:rPr>
        <w:t>and the</w:t>
      </w:r>
      <w:r w:rsidR="008F6E56" w:rsidRPr="00EC25CF">
        <w:rPr>
          <w:lang w:val="en-GB" w:eastAsia="en-GB"/>
        </w:rPr>
        <w:t xml:space="preserve"> synergy</w:t>
      </w:r>
      <w:r w:rsidR="00F11B3D" w:rsidRPr="00EC25CF">
        <w:rPr>
          <w:lang w:val="en-GB" w:eastAsia="en-GB"/>
        </w:rPr>
        <w:t xml:space="preserve"> perspectives in DC measures may </w:t>
      </w:r>
      <w:r w:rsidR="004439CA" w:rsidRPr="00EC25CF">
        <w:rPr>
          <w:lang w:val="en-GB" w:eastAsia="en-GB"/>
        </w:rPr>
        <w:t>be</w:t>
      </w:r>
      <w:r w:rsidR="004B1685" w:rsidRPr="00EC25CF">
        <w:rPr>
          <w:lang w:val="en-GB" w:eastAsia="en-GB"/>
        </w:rPr>
        <w:t xml:space="preserve"> a</w:t>
      </w:r>
      <w:r w:rsidR="004439CA" w:rsidRPr="00EC25CF">
        <w:rPr>
          <w:lang w:val="en-GB" w:eastAsia="en-GB"/>
        </w:rPr>
        <w:t xml:space="preserve"> </w:t>
      </w:r>
      <w:r w:rsidR="00FB452E">
        <w:rPr>
          <w:lang w:val="en-GB" w:eastAsia="en-GB"/>
        </w:rPr>
        <w:t>dead-end</w:t>
      </w:r>
      <w:r w:rsidR="00F11B3D" w:rsidRPr="00EC25CF">
        <w:rPr>
          <w:lang w:val="en-GB" w:eastAsia="en-GB"/>
        </w:rPr>
        <w:t>.</w:t>
      </w:r>
      <w:r w:rsidR="00F11B3D" w:rsidRPr="00C007D8">
        <w:rPr>
          <w:lang w:val="en-GB" w:eastAsia="en-GB"/>
        </w:rPr>
        <w:t xml:space="preserve"> </w:t>
      </w:r>
      <w:r w:rsidR="00716776">
        <w:rPr>
          <w:lang w:val="en-GB" w:eastAsia="en-GB"/>
        </w:rPr>
        <w:t>I</w:t>
      </w:r>
      <w:r w:rsidR="00E10A0E">
        <w:rPr>
          <w:lang w:val="en-GB" w:eastAsia="en-GB"/>
        </w:rPr>
        <w:t>nducing</w:t>
      </w:r>
      <w:r w:rsidR="004F280D">
        <w:rPr>
          <w:lang w:val="en-GB" w:eastAsia="en-GB"/>
        </w:rPr>
        <w:t xml:space="preserve"> top executives </w:t>
      </w:r>
      <w:r w:rsidR="00E10A0E">
        <w:rPr>
          <w:lang w:val="en-GB" w:eastAsia="en-GB"/>
        </w:rPr>
        <w:t>in believing</w:t>
      </w:r>
      <w:r w:rsidR="004F280D">
        <w:rPr>
          <w:lang w:val="en-GB" w:eastAsia="en-GB"/>
        </w:rPr>
        <w:t xml:space="preserve"> that valuing diversity i</w:t>
      </w:r>
      <w:r w:rsidR="00E10A0E">
        <w:rPr>
          <w:lang w:val="en-GB" w:eastAsia="en-GB"/>
        </w:rPr>
        <w:t xml:space="preserve">s different from treating diverse </w:t>
      </w:r>
      <w:r w:rsidR="004F280D">
        <w:rPr>
          <w:lang w:val="en-GB" w:eastAsia="en-GB"/>
        </w:rPr>
        <w:t>employees f</w:t>
      </w:r>
      <w:r w:rsidR="00E10A0E">
        <w:rPr>
          <w:lang w:val="en-GB" w:eastAsia="en-GB"/>
        </w:rPr>
        <w:t xml:space="preserve">airly </w:t>
      </w:r>
      <w:r w:rsidR="004F280D">
        <w:rPr>
          <w:lang w:val="en-GB" w:eastAsia="en-GB"/>
        </w:rPr>
        <w:t>may actually be detrimental</w:t>
      </w:r>
      <w:r w:rsidR="00E10A0E">
        <w:rPr>
          <w:lang w:val="en-GB" w:eastAsia="en-GB"/>
        </w:rPr>
        <w:t xml:space="preserve">, as they may lose sight of one the fundamentals of diversity management: the systemic nature of discriminatory and exclusionary processes. “Not valuing” ideas and learning opportunities emanating from </w:t>
      </w:r>
      <w:r w:rsidR="00FB2CEB">
        <w:rPr>
          <w:lang w:val="en-GB" w:eastAsia="en-GB"/>
        </w:rPr>
        <w:t>entire identity groups</w:t>
      </w:r>
      <w:r w:rsidR="00E10A0E">
        <w:rPr>
          <w:lang w:val="en-GB" w:eastAsia="en-GB"/>
        </w:rPr>
        <w:t xml:space="preserve"> amou</w:t>
      </w:r>
      <w:r w:rsidR="00FB2CEB">
        <w:rPr>
          <w:lang w:val="en-GB" w:eastAsia="en-GB"/>
        </w:rPr>
        <w:t>nts to treating these groups</w:t>
      </w:r>
      <w:r w:rsidR="00E10A0E">
        <w:rPr>
          <w:lang w:val="en-GB" w:eastAsia="en-GB"/>
        </w:rPr>
        <w:t xml:space="preserve"> unfairly. </w:t>
      </w:r>
    </w:p>
    <w:p w14:paraId="74A36289" w14:textId="61DA1FBA" w:rsidR="00F11B3D" w:rsidRDefault="009C1DBE">
      <w:pPr>
        <w:spacing w:line="480" w:lineRule="auto"/>
        <w:jc w:val="both"/>
        <w:rPr>
          <w:lang w:val="en-GB" w:eastAsia="en-GB"/>
        </w:rPr>
      </w:pPr>
      <w:r>
        <w:rPr>
          <w:lang w:val="en-GB" w:eastAsia="en-GB"/>
        </w:rPr>
        <w:lastRenderedPageBreak/>
        <w:t>In this study, we a</w:t>
      </w:r>
      <w:r w:rsidR="00E32419">
        <w:rPr>
          <w:lang w:val="en-GB" w:eastAsia="en-GB"/>
        </w:rPr>
        <w:t>dopt</w:t>
      </w:r>
      <w:r>
        <w:rPr>
          <w:lang w:val="en-GB" w:eastAsia="en-GB"/>
        </w:rPr>
        <w:t>ed</w:t>
      </w:r>
      <w:r w:rsidR="00E32419">
        <w:rPr>
          <w:lang w:val="en-GB" w:eastAsia="en-GB"/>
        </w:rPr>
        <w:t xml:space="preserve"> a system structure approach for DC, </w:t>
      </w:r>
      <w:r w:rsidR="00716776">
        <w:rPr>
          <w:lang w:val="en-GB" w:eastAsia="en-GB"/>
        </w:rPr>
        <w:t xml:space="preserve">by extending </w:t>
      </w:r>
      <w:r w:rsidR="00E32419">
        <w:rPr>
          <w:lang w:val="en-GB" w:eastAsia="en-GB"/>
        </w:rPr>
        <w:t xml:space="preserve">the HR system structure approach from </w:t>
      </w:r>
      <w:r w:rsidR="00E32419">
        <w:rPr>
          <w:lang w:val="en-US"/>
        </w:rPr>
        <w:t>Arthur and Boyles (2007)</w:t>
      </w:r>
      <w:r w:rsidR="00D77646">
        <w:rPr>
          <w:lang w:val="en-US"/>
        </w:rPr>
        <w:t xml:space="preserve"> to the diversity field</w:t>
      </w:r>
      <w:r>
        <w:rPr>
          <w:lang w:val="en-US"/>
        </w:rPr>
        <w:t xml:space="preserve"> and the diversity management system from Kulik (2014) to operationalize the DC concept. </w:t>
      </w:r>
      <w:r w:rsidR="00510898">
        <w:rPr>
          <w:lang w:val="en-US"/>
        </w:rPr>
        <w:t>O</w:t>
      </w:r>
      <w:r w:rsidR="00D77646">
        <w:rPr>
          <w:lang w:val="en-US"/>
        </w:rPr>
        <w:t>ur proposed operationalization allow</w:t>
      </w:r>
      <w:r w:rsidR="00510898">
        <w:rPr>
          <w:lang w:val="en-US"/>
        </w:rPr>
        <w:t xml:space="preserve">s a view different from the </w:t>
      </w:r>
      <w:r w:rsidR="00357C29">
        <w:rPr>
          <w:lang w:val="en-US"/>
        </w:rPr>
        <w:t>above</w:t>
      </w:r>
      <w:r w:rsidR="00D475A5">
        <w:rPr>
          <w:lang w:val="en-US"/>
        </w:rPr>
        <w:t>-</w:t>
      </w:r>
      <w:r w:rsidR="00357C29">
        <w:rPr>
          <w:lang w:val="en-US"/>
        </w:rPr>
        <w:t xml:space="preserve">mentioned </w:t>
      </w:r>
      <w:r w:rsidR="00D77646">
        <w:rPr>
          <w:lang w:val="en-US"/>
        </w:rPr>
        <w:t>paradigms consider</w:t>
      </w:r>
      <w:r w:rsidR="002D5B22">
        <w:rPr>
          <w:lang w:val="en-US"/>
        </w:rPr>
        <w:t>ing</w:t>
      </w:r>
      <w:r w:rsidR="00D77646">
        <w:rPr>
          <w:lang w:val="en-US"/>
        </w:rPr>
        <w:t xml:space="preserve"> </w:t>
      </w:r>
      <w:r w:rsidR="00995D3E">
        <w:rPr>
          <w:lang w:val="en-US"/>
        </w:rPr>
        <w:t xml:space="preserve">that </w:t>
      </w:r>
      <w:r w:rsidR="00D77646">
        <w:rPr>
          <w:lang w:val="en-US"/>
        </w:rPr>
        <w:t>DC may be captured in a structur</w:t>
      </w:r>
      <w:r w:rsidR="00F365B2">
        <w:rPr>
          <w:lang w:val="en-US"/>
        </w:rPr>
        <w:t>al</w:t>
      </w:r>
      <w:r w:rsidR="00D77646">
        <w:rPr>
          <w:lang w:val="en-US"/>
        </w:rPr>
        <w:t xml:space="preserve"> approach</w:t>
      </w:r>
      <w:r w:rsidR="00E6580F">
        <w:rPr>
          <w:lang w:val="en-US"/>
        </w:rPr>
        <w:t>,</w:t>
      </w:r>
      <w:r w:rsidR="00D77646" w:rsidRPr="00D77646">
        <w:rPr>
          <w:lang w:val="en-US"/>
        </w:rPr>
        <w:t xml:space="preserve"> </w:t>
      </w:r>
      <w:r w:rsidR="00995D3E">
        <w:rPr>
          <w:lang w:val="en-US"/>
        </w:rPr>
        <w:t>while reflecting both</w:t>
      </w:r>
      <w:r w:rsidR="00D77646">
        <w:rPr>
          <w:lang w:val="en-US"/>
        </w:rPr>
        <w:t xml:space="preserve"> paradigms</w:t>
      </w:r>
      <w:r w:rsidR="00F365B2">
        <w:rPr>
          <w:lang w:val="en-US"/>
        </w:rPr>
        <w:t xml:space="preserve"> but not being ‘structured’ by them</w:t>
      </w:r>
      <w:r w:rsidR="00D77646">
        <w:rPr>
          <w:lang w:val="en-US"/>
        </w:rPr>
        <w:t xml:space="preserve">. </w:t>
      </w:r>
    </w:p>
    <w:p w14:paraId="5A707F5C" w14:textId="1D72D2FF" w:rsidR="00B32F59" w:rsidRDefault="00245B05">
      <w:pPr>
        <w:spacing w:line="480" w:lineRule="auto"/>
        <w:jc w:val="both"/>
        <w:rPr>
          <w:lang w:val="en-US"/>
        </w:rPr>
      </w:pPr>
      <w:r w:rsidRPr="00EA5597">
        <w:rPr>
          <w:lang w:val="en-US"/>
        </w:rPr>
        <w:t xml:space="preserve">This study </w:t>
      </w:r>
      <w:r w:rsidR="00C84C41">
        <w:rPr>
          <w:lang w:val="en-US"/>
        </w:rPr>
        <w:t>also</w:t>
      </w:r>
      <w:r w:rsidR="00834760">
        <w:rPr>
          <w:lang w:val="en-US"/>
        </w:rPr>
        <w:t xml:space="preserve"> has</w:t>
      </w:r>
      <w:r>
        <w:rPr>
          <w:lang w:val="en-US"/>
        </w:rPr>
        <w:t xml:space="preserve"> </w:t>
      </w:r>
      <w:r w:rsidRPr="00EA5597">
        <w:rPr>
          <w:lang w:val="en-US"/>
        </w:rPr>
        <w:t xml:space="preserve">implications for </w:t>
      </w:r>
      <w:r>
        <w:rPr>
          <w:lang w:val="en-US"/>
        </w:rPr>
        <w:t>practitioners</w:t>
      </w:r>
      <w:r w:rsidRPr="00EA5597">
        <w:rPr>
          <w:lang w:val="en-US"/>
        </w:rPr>
        <w:t xml:space="preserve">. </w:t>
      </w:r>
      <w:r w:rsidR="00B465CB">
        <w:rPr>
          <w:lang w:val="en-US"/>
        </w:rPr>
        <w:t>Our proposed measurement</w:t>
      </w:r>
      <w:r w:rsidR="00B465CB" w:rsidRPr="00B32F59">
        <w:rPr>
          <w:lang w:val="en-US"/>
        </w:rPr>
        <w:t xml:space="preserve"> may become a tool for </w:t>
      </w:r>
      <w:r w:rsidR="00B465CB">
        <w:rPr>
          <w:lang w:val="en-US"/>
        </w:rPr>
        <w:t xml:space="preserve">cross-national research and </w:t>
      </w:r>
      <w:r w:rsidR="00B465CB" w:rsidRPr="00B32F59">
        <w:rPr>
          <w:lang w:val="en-US"/>
        </w:rPr>
        <w:t>practi</w:t>
      </w:r>
      <w:r w:rsidR="00B465CB">
        <w:rPr>
          <w:lang w:val="en-US"/>
        </w:rPr>
        <w:t>ce as it is free from country-specific categories that hamper utilization of many existing scales across borders. Most of all</w:t>
      </w:r>
      <w:r w:rsidR="007E12B8">
        <w:rPr>
          <w:lang w:val="en-US"/>
        </w:rPr>
        <w:t>, t</w:t>
      </w:r>
      <w:r w:rsidR="00B32F59" w:rsidRPr="00B32F59">
        <w:rPr>
          <w:lang w:val="en-US"/>
        </w:rPr>
        <w:t xml:space="preserve">he new </w:t>
      </w:r>
      <w:r w:rsidR="00DB4E9C">
        <w:rPr>
          <w:lang w:val="en-US"/>
        </w:rPr>
        <w:t>measurement</w:t>
      </w:r>
      <w:r w:rsidR="00DB4E9C" w:rsidRPr="00B32F59">
        <w:rPr>
          <w:lang w:val="en-US"/>
        </w:rPr>
        <w:t xml:space="preserve"> </w:t>
      </w:r>
      <w:r w:rsidR="00B32F59" w:rsidRPr="00B32F59">
        <w:rPr>
          <w:lang w:val="en-US"/>
        </w:rPr>
        <w:t xml:space="preserve">represents a concrete tool for practitioners to assess </w:t>
      </w:r>
      <w:r w:rsidR="00B465CB">
        <w:rPr>
          <w:lang w:val="en-US"/>
        </w:rPr>
        <w:t xml:space="preserve">overall </w:t>
      </w:r>
      <w:r w:rsidR="004254E4">
        <w:rPr>
          <w:lang w:val="en-US"/>
        </w:rPr>
        <w:t>DC</w:t>
      </w:r>
      <w:r w:rsidR="00B32F59" w:rsidRPr="00B32F59">
        <w:rPr>
          <w:lang w:val="en-US"/>
        </w:rPr>
        <w:t xml:space="preserve"> </w:t>
      </w:r>
      <w:r w:rsidR="00B465CB">
        <w:rPr>
          <w:lang w:val="en-US"/>
        </w:rPr>
        <w:t>and its composition.</w:t>
      </w:r>
      <w:r w:rsidR="00B10931">
        <w:rPr>
          <w:lang w:val="en-US"/>
        </w:rPr>
        <w:t xml:space="preserve"> </w:t>
      </w:r>
      <w:r w:rsidR="00B465CB">
        <w:rPr>
          <w:lang w:val="en-US"/>
        </w:rPr>
        <w:t>T</w:t>
      </w:r>
      <w:r w:rsidR="00F365B2">
        <w:rPr>
          <w:lang w:val="en-US"/>
        </w:rPr>
        <w:t xml:space="preserve">he structural approach adopted </w:t>
      </w:r>
      <w:r w:rsidR="00630C1B">
        <w:rPr>
          <w:lang w:val="en-US"/>
        </w:rPr>
        <w:t xml:space="preserve">will </w:t>
      </w:r>
      <w:r w:rsidR="00F365B2">
        <w:rPr>
          <w:lang w:val="en-US"/>
        </w:rPr>
        <w:t xml:space="preserve">allow practitioners to better </w:t>
      </w:r>
      <w:r w:rsidR="00630C1B">
        <w:rPr>
          <w:lang w:val="en-US"/>
        </w:rPr>
        <w:t>answer</w:t>
      </w:r>
      <w:r w:rsidR="00F365B2">
        <w:rPr>
          <w:lang w:val="en-US"/>
        </w:rPr>
        <w:t xml:space="preserve"> to th</w:t>
      </w:r>
      <w:r w:rsidR="00F256AB">
        <w:rPr>
          <w:lang w:val="en-US"/>
        </w:rPr>
        <w:t>is</w:t>
      </w:r>
      <w:r w:rsidR="00F365B2">
        <w:rPr>
          <w:lang w:val="en-US"/>
        </w:rPr>
        <w:t xml:space="preserve"> crucial question: ‘How to develop and maintain a positive DC?’</w:t>
      </w:r>
      <w:r w:rsidR="00630C1B">
        <w:rPr>
          <w:lang w:val="en-US"/>
        </w:rPr>
        <w:t>. Assessing which of the three dimension</w:t>
      </w:r>
      <w:r w:rsidR="009E2ED0">
        <w:rPr>
          <w:lang w:val="en-US"/>
        </w:rPr>
        <w:t>s</w:t>
      </w:r>
      <w:r w:rsidR="00630C1B">
        <w:rPr>
          <w:lang w:val="en-US"/>
        </w:rPr>
        <w:t xml:space="preserve"> are the most</w:t>
      </w:r>
      <w:r w:rsidR="00F256AB">
        <w:rPr>
          <w:lang w:val="en-US"/>
        </w:rPr>
        <w:t xml:space="preserve"> contributive</w:t>
      </w:r>
      <w:r w:rsidR="00630C1B">
        <w:rPr>
          <w:lang w:val="en-US"/>
        </w:rPr>
        <w:t xml:space="preserve"> in the</w:t>
      </w:r>
      <w:r w:rsidR="005D7F2B">
        <w:rPr>
          <w:lang w:val="en-US"/>
        </w:rPr>
        <w:t>ir</w:t>
      </w:r>
      <w:r w:rsidR="00630C1B">
        <w:rPr>
          <w:lang w:val="en-US"/>
        </w:rPr>
        <w:t xml:space="preserve"> DC will provide them </w:t>
      </w:r>
      <w:r w:rsidR="00F256AB">
        <w:rPr>
          <w:lang w:val="en-US"/>
        </w:rPr>
        <w:t xml:space="preserve">with </w:t>
      </w:r>
      <w:r w:rsidR="00630C1B">
        <w:rPr>
          <w:lang w:val="en-US"/>
        </w:rPr>
        <w:t>strong guidelines</w:t>
      </w:r>
      <w:r w:rsidR="00F256AB">
        <w:rPr>
          <w:lang w:val="en-US"/>
        </w:rPr>
        <w:t xml:space="preserve"> on how </w:t>
      </w:r>
      <w:r w:rsidR="00630C1B">
        <w:rPr>
          <w:lang w:val="en-US"/>
        </w:rPr>
        <w:t xml:space="preserve">to act regarding their diversity management system. </w:t>
      </w:r>
      <w:r w:rsidR="00B32F59" w:rsidRPr="00B32F59">
        <w:rPr>
          <w:lang w:val="en-US"/>
        </w:rPr>
        <w:t xml:space="preserve">Our results suggest that employees may perceive a range of </w:t>
      </w:r>
      <w:r w:rsidR="007E12B8" w:rsidRPr="00B32F59">
        <w:rPr>
          <w:lang w:val="en-US"/>
        </w:rPr>
        <w:t>formal</w:t>
      </w:r>
      <w:r w:rsidR="00B32F59" w:rsidRPr="00B32F59">
        <w:rPr>
          <w:lang w:val="en-US"/>
        </w:rPr>
        <w:t xml:space="preserve"> and informal signals </w:t>
      </w:r>
      <w:r w:rsidR="00F21B07">
        <w:rPr>
          <w:lang w:val="en-US"/>
        </w:rPr>
        <w:t>about</w:t>
      </w:r>
      <w:r w:rsidR="00B32F59" w:rsidRPr="00B32F59">
        <w:rPr>
          <w:lang w:val="en-US"/>
        </w:rPr>
        <w:t xml:space="preserve"> diversity management, regarding the in</w:t>
      </w:r>
      <w:r w:rsidR="00C84C41">
        <w:rPr>
          <w:lang w:val="en-US"/>
        </w:rPr>
        <w:t>tent</w:t>
      </w:r>
      <w:r w:rsidR="00B32F59" w:rsidRPr="00B32F59">
        <w:rPr>
          <w:lang w:val="en-US"/>
        </w:rPr>
        <w:t xml:space="preserve"> of their organization </w:t>
      </w:r>
      <w:r w:rsidR="00C84C41">
        <w:rPr>
          <w:lang w:val="en-US"/>
        </w:rPr>
        <w:t>to</w:t>
      </w:r>
      <w:r w:rsidR="00B32F59" w:rsidRPr="00B32F59">
        <w:rPr>
          <w:lang w:val="en-US"/>
        </w:rPr>
        <w:t xml:space="preserve"> </w:t>
      </w:r>
      <w:r w:rsidR="00891F59">
        <w:rPr>
          <w:lang w:val="en-US"/>
        </w:rPr>
        <w:t>support</w:t>
      </w:r>
      <w:r w:rsidR="00B32F59" w:rsidRPr="00B32F59">
        <w:rPr>
          <w:lang w:val="en-US"/>
        </w:rPr>
        <w:t xml:space="preserve"> of diversity, </w:t>
      </w:r>
      <w:r w:rsidR="00C84C41">
        <w:rPr>
          <w:lang w:val="en-US"/>
        </w:rPr>
        <w:t xml:space="preserve">regarding </w:t>
      </w:r>
      <w:r w:rsidR="00B32F59" w:rsidRPr="00B32F59">
        <w:rPr>
          <w:lang w:val="en-US"/>
        </w:rPr>
        <w:t xml:space="preserve">formal policies or procedures </w:t>
      </w:r>
      <w:r w:rsidR="00C84C41">
        <w:rPr>
          <w:lang w:val="en-US"/>
        </w:rPr>
        <w:t>to</w:t>
      </w:r>
      <w:r w:rsidR="00B32F59" w:rsidRPr="00B32F59">
        <w:rPr>
          <w:lang w:val="en-US"/>
        </w:rPr>
        <w:t xml:space="preserve"> promote diverse people, or </w:t>
      </w:r>
      <w:r w:rsidR="00C84C41">
        <w:rPr>
          <w:lang w:val="en-US"/>
        </w:rPr>
        <w:t xml:space="preserve">regarding </w:t>
      </w:r>
      <w:r w:rsidR="00B32F59" w:rsidRPr="00B32F59">
        <w:rPr>
          <w:lang w:val="en-US"/>
        </w:rPr>
        <w:t xml:space="preserve">attitudes and behaviors of </w:t>
      </w:r>
      <w:r w:rsidR="00F21B07">
        <w:rPr>
          <w:lang w:val="en-US"/>
        </w:rPr>
        <w:t>managers</w:t>
      </w:r>
      <w:r w:rsidR="00B32F59" w:rsidRPr="00B32F59">
        <w:rPr>
          <w:lang w:val="en-US"/>
        </w:rPr>
        <w:t xml:space="preserve"> or colleagues towards rejecting discrimination and valuing people who are different. While the three </w:t>
      </w:r>
      <w:r w:rsidR="004254E4">
        <w:rPr>
          <w:lang w:val="en-US"/>
        </w:rPr>
        <w:t>DC</w:t>
      </w:r>
      <w:r w:rsidR="00B32F59" w:rsidRPr="00B32F59">
        <w:rPr>
          <w:lang w:val="en-US"/>
        </w:rPr>
        <w:t xml:space="preserve"> components taken together form </w:t>
      </w:r>
      <w:r w:rsidR="004254E4">
        <w:rPr>
          <w:lang w:val="en-US"/>
        </w:rPr>
        <w:t>DC</w:t>
      </w:r>
      <w:r w:rsidR="00F21B07">
        <w:rPr>
          <w:lang w:val="en-US"/>
        </w:rPr>
        <w:t xml:space="preserve"> perception</w:t>
      </w:r>
      <w:r w:rsidR="00B344A2">
        <w:rPr>
          <w:lang w:val="en-US"/>
        </w:rPr>
        <w:t>s</w:t>
      </w:r>
      <w:r w:rsidR="00B32F59" w:rsidRPr="00B32F59">
        <w:rPr>
          <w:lang w:val="en-US"/>
        </w:rPr>
        <w:t xml:space="preserve">, each </w:t>
      </w:r>
      <w:r w:rsidR="00F21B07">
        <w:rPr>
          <w:lang w:val="en-US"/>
        </w:rPr>
        <w:t xml:space="preserve">one </w:t>
      </w:r>
      <w:r w:rsidR="00B32F59" w:rsidRPr="00B32F59">
        <w:rPr>
          <w:lang w:val="en-US"/>
        </w:rPr>
        <w:t>can be more or less prevalent</w:t>
      </w:r>
      <w:r w:rsidR="00C84C41">
        <w:rPr>
          <w:lang w:val="en-US"/>
        </w:rPr>
        <w:t xml:space="preserve"> in specific organizations</w:t>
      </w:r>
      <w:r w:rsidR="00D835C5">
        <w:rPr>
          <w:lang w:val="en-US"/>
        </w:rPr>
        <w:t xml:space="preserve"> and have separate outcomes</w:t>
      </w:r>
      <w:r w:rsidR="00B32F59" w:rsidRPr="00B32F59">
        <w:rPr>
          <w:lang w:val="en-US"/>
        </w:rPr>
        <w:t xml:space="preserve">. In other words, organizations can be characterized by different </w:t>
      </w:r>
      <w:r w:rsidR="004254E4">
        <w:rPr>
          <w:lang w:val="en-US"/>
        </w:rPr>
        <w:t>DC</w:t>
      </w:r>
      <w:r w:rsidR="00B32F59" w:rsidRPr="00B32F59">
        <w:rPr>
          <w:lang w:val="en-US"/>
        </w:rPr>
        <w:t xml:space="preserve"> configurations (see Table </w:t>
      </w:r>
      <w:r w:rsidR="00F50AB5">
        <w:rPr>
          <w:lang w:val="en-US"/>
        </w:rPr>
        <w:t>X</w:t>
      </w:r>
      <w:r w:rsidR="001E652A">
        <w:rPr>
          <w:lang w:val="en-US"/>
        </w:rPr>
        <w:t>V</w:t>
      </w:r>
      <w:r w:rsidR="00B32F59" w:rsidRPr="00B32F59">
        <w:rPr>
          <w:lang w:val="en-US"/>
        </w:rPr>
        <w:t>)</w:t>
      </w:r>
      <w:r w:rsidR="00F256AB">
        <w:rPr>
          <w:lang w:val="en-US"/>
        </w:rPr>
        <w:t xml:space="preserve"> outlined in the next section</w:t>
      </w:r>
      <w:r w:rsidR="00B32F59" w:rsidRPr="00B32F59">
        <w:rPr>
          <w:lang w:val="en-US"/>
        </w:rPr>
        <w:t xml:space="preserve">. </w:t>
      </w:r>
    </w:p>
    <w:p w14:paraId="61597CBD" w14:textId="77777777" w:rsidR="00EB71F8" w:rsidRPr="00A643FC" w:rsidRDefault="00EB71F8" w:rsidP="00EB71F8">
      <w:pPr>
        <w:spacing w:line="480" w:lineRule="auto"/>
        <w:jc w:val="center"/>
        <w:rPr>
          <w:lang w:val="en-US"/>
        </w:rPr>
      </w:pPr>
      <w:r w:rsidRPr="00A643FC">
        <w:rPr>
          <w:lang w:val="en-US"/>
        </w:rPr>
        <w:t>-------------------------------------------</w:t>
      </w:r>
    </w:p>
    <w:p w14:paraId="41133AAC" w14:textId="441C6834" w:rsidR="00EB71F8" w:rsidRPr="00A643FC" w:rsidRDefault="00EB71F8" w:rsidP="00EB71F8">
      <w:pPr>
        <w:spacing w:line="480" w:lineRule="auto"/>
        <w:jc w:val="center"/>
        <w:rPr>
          <w:lang w:val="en-US"/>
        </w:rPr>
      </w:pPr>
      <w:r w:rsidRPr="00A643FC">
        <w:rPr>
          <w:lang w:val="en-US"/>
        </w:rPr>
        <w:t xml:space="preserve">INSERT TABLE </w:t>
      </w:r>
      <w:r>
        <w:rPr>
          <w:lang w:val="en-US"/>
        </w:rPr>
        <w:t>XV</w:t>
      </w:r>
      <w:r w:rsidRPr="00A643FC">
        <w:rPr>
          <w:lang w:val="en-US"/>
        </w:rPr>
        <w:t xml:space="preserve"> ABOUT HERE</w:t>
      </w:r>
    </w:p>
    <w:p w14:paraId="19BEB46D" w14:textId="77777777" w:rsidR="00EB71F8" w:rsidRDefault="00EB71F8" w:rsidP="00EB71F8">
      <w:pPr>
        <w:spacing w:line="480" w:lineRule="auto"/>
        <w:jc w:val="center"/>
        <w:rPr>
          <w:lang w:val="en-US"/>
        </w:rPr>
      </w:pPr>
      <w:r w:rsidRPr="00A643FC">
        <w:rPr>
          <w:lang w:val="en-US"/>
        </w:rPr>
        <w:t>-------------------------------------------</w:t>
      </w:r>
    </w:p>
    <w:p w14:paraId="57EBA388" w14:textId="72C8262A" w:rsidR="00245B05" w:rsidRDefault="00B32F59" w:rsidP="00B32F59">
      <w:pPr>
        <w:spacing w:line="480" w:lineRule="auto"/>
        <w:jc w:val="both"/>
        <w:rPr>
          <w:lang w:val="en-US"/>
        </w:rPr>
      </w:pPr>
      <w:r w:rsidRPr="00B32F59">
        <w:rPr>
          <w:lang w:val="en-US"/>
        </w:rPr>
        <w:lastRenderedPageBreak/>
        <w:t>In Type I</w:t>
      </w:r>
      <w:r w:rsidR="00B10931">
        <w:rPr>
          <w:lang w:val="en-US"/>
        </w:rPr>
        <w:t xml:space="preserve"> configuration</w:t>
      </w:r>
      <w:r w:rsidRPr="00B32F59">
        <w:rPr>
          <w:lang w:val="en-US"/>
        </w:rPr>
        <w:t>, an organization may</w:t>
      </w:r>
      <w:r w:rsidR="00F21B07">
        <w:rPr>
          <w:lang w:val="en-US"/>
        </w:rPr>
        <w:t xml:space="preserve"> not</w:t>
      </w:r>
      <w:r w:rsidRPr="00B32F59">
        <w:rPr>
          <w:lang w:val="en-US"/>
        </w:rPr>
        <w:t xml:space="preserve"> </w:t>
      </w:r>
      <w:r w:rsidR="00D835C5">
        <w:rPr>
          <w:lang w:val="en-US"/>
        </w:rPr>
        <w:t xml:space="preserve">be perceived as </w:t>
      </w:r>
      <w:r w:rsidRPr="00B32F59">
        <w:rPr>
          <w:lang w:val="en-US"/>
        </w:rPr>
        <w:t>hav</w:t>
      </w:r>
      <w:r w:rsidR="00D835C5">
        <w:rPr>
          <w:lang w:val="en-US"/>
        </w:rPr>
        <w:t>ing</w:t>
      </w:r>
      <w:r w:rsidRPr="00B32F59">
        <w:rPr>
          <w:lang w:val="en-US"/>
        </w:rPr>
        <w:t xml:space="preserve"> explicitly communicated its </w:t>
      </w:r>
      <w:r w:rsidR="00C84C41">
        <w:rPr>
          <w:lang w:val="en-US"/>
        </w:rPr>
        <w:t>intention to promote</w:t>
      </w:r>
      <w:r w:rsidRPr="00B32F59">
        <w:rPr>
          <w:lang w:val="en-US"/>
        </w:rPr>
        <w:t xml:space="preserve"> diversit</w:t>
      </w:r>
      <w:r w:rsidR="00BF059A">
        <w:rPr>
          <w:lang w:val="en-US"/>
        </w:rPr>
        <w:t>y</w:t>
      </w:r>
      <w:r w:rsidRPr="00B32F59">
        <w:rPr>
          <w:lang w:val="en-US"/>
        </w:rPr>
        <w:t xml:space="preserve">, </w:t>
      </w:r>
      <w:r w:rsidR="00B84023">
        <w:rPr>
          <w:lang w:val="en-US"/>
        </w:rPr>
        <w:t>nor</w:t>
      </w:r>
      <w:r w:rsidRPr="00B32F59">
        <w:rPr>
          <w:lang w:val="en-US"/>
        </w:rPr>
        <w:t xml:space="preserve"> </w:t>
      </w:r>
      <w:r w:rsidR="00E61F30">
        <w:rPr>
          <w:lang w:val="en-US"/>
        </w:rPr>
        <w:t xml:space="preserve">as </w:t>
      </w:r>
      <w:r w:rsidRPr="00B32F59">
        <w:rPr>
          <w:lang w:val="en-US"/>
        </w:rPr>
        <w:t>put</w:t>
      </w:r>
      <w:r w:rsidR="00E61F30">
        <w:rPr>
          <w:lang w:val="en-US"/>
        </w:rPr>
        <w:t>ting</w:t>
      </w:r>
      <w:r w:rsidRPr="00B32F59">
        <w:rPr>
          <w:lang w:val="en-US"/>
        </w:rPr>
        <w:t xml:space="preserve"> in place programs to </w:t>
      </w:r>
      <w:r w:rsidR="00C84C41">
        <w:rPr>
          <w:lang w:val="en-US"/>
        </w:rPr>
        <w:t>develop it</w:t>
      </w:r>
      <w:r w:rsidR="00F21B07">
        <w:rPr>
          <w:lang w:val="en-US"/>
        </w:rPr>
        <w:t>,</w:t>
      </w:r>
      <w:r w:rsidRPr="00B32F59">
        <w:rPr>
          <w:lang w:val="en-US"/>
        </w:rPr>
        <w:t xml:space="preserve"> </w:t>
      </w:r>
      <w:r w:rsidR="00F560D9">
        <w:rPr>
          <w:lang w:val="en-US"/>
        </w:rPr>
        <w:t xml:space="preserve">or </w:t>
      </w:r>
      <w:r w:rsidR="005B14BE">
        <w:rPr>
          <w:lang w:val="en-US"/>
        </w:rPr>
        <w:t>nor</w:t>
      </w:r>
      <w:r w:rsidR="00C84C41">
        <w:rPr>
          <w:lang w:val="en-US"/>
        </w:rPr>
        <w:t xml:space="preserve"> </w:t>
      </w:r>
      <w:r w:rsidR="00E61F30">
        <w:rPr>
          <w:lang w:val="en-US"/>
        </w:rPr>
        <w:t>as developing</w:t>
      </w:r>
      <w:r w:rsidR="00D835C5">
        <w:rPr>
          <w:lang w:val="en-US"/>
        </w:rPr>
        <w:t xml:space="preserve"> positive</w:t>
      </w:r>
      <w:r w:rsidR="00C84C41">
        <w:rPr>
          <w:lang w:val="en-US"/>
        </w:rPr>
        <w:t xml:space="preserve"> attitudes and behaviors towards diverse people</w:t>
      </w:r>
      <w:r w:rsidRPr="00B32F59">
        <w:rPr>
          <w:lang w:val="en-US"/>
        </w:rPr>
        <w:t xml:space="preserve">. </w:t>
      </w:r>
      <w:r w:rsidR="00F560D9">
        <w:rPr>
          <w:lang w:val="en-US"/>
        </w:rPr>
        <w:t xml:space="preserve">The </w:t>
      </w:r>
      <w:r w:rsidR="00F21B07">
        <w:rPr>
          <w:lang w:val="en-US"/>
        </w:rPr>
        <w:t xml:space="preserve">Type II </w:t>
      </w:r>
      <w:r w:rsidR="00F560D9">
        <w:rPr>
          <w:lang w:val="en-US"/>
        </w:rPr>
        <w:t>refer</w:t>
      </w:r>
      <w:r w:rsidR="005D7F2B">
        <w:rPr>
          <w:lang w:val="en-US"/>
        </w:rPr>
        <w:t>s</w:t>
      </w:r>
      <w:r w:rsidR="00F560D9">
        <w:rPr>
          <w:lang w:val="en-US"/>
        </w:rPr>
        <w:t xml:space="preserve"> to </w:t>
      </w:r>
      <w:r w:rsidR="00F21B07">
        <w:rPr>
          <w:lang w:val="en-US"/>
        </w:rPr>
        <w:t xml:space="preserve">organizations that </w:t>
      </w:r>
      <w:r w:rsidR="00B65FC5">
        <w:rPr>
          <w:lang w:val="en-US"/>
        </w:rPr>
        <w:t>are</w:t>
      </w:r>
      <w:r w:rsidR="00834760">
        <w:rPr>
          <w:lang w:val="en-US"/>
        </w:rPr>
        <w:t xml:space="preserve"> perceived as </w:t>
      </w:r>
      <w:r w:rsidR="00F21B07">
        <w:rPr>
          <w:lang w:val="en-US"/>
        </w:rPr>
        <w:t>display</w:t>
      </w:r>
      <w:r w:rsidR="00834760">
        <w:rPr>
          <w:lang w:val="en-US"/>
        </w:rPr>
        <w:t>ing</w:t>
      </w:r>
      <w:r w:rsidR="00F21B07">
        <w:rPr>
          <w:lang w:val="en-US"/>
        </w:rPr>
        <w:t xml:space="preserve"> their intent</w:t>
      </w:r>
      <w:r w:rsidR="005B14BE">
        <w:rPr>
          <w:lang w:val="en-US"/>
        </w:rPr>
        <w:t xml:space="preserve"> to value diversity (such as</w:t>
      </w:r>
      <w:r w:rsidR="00F21B07">
        <w:rPr>
          <w:lang w:val="en-US"/>
        </w:rPr>
        <w:t xml:space="preserve"> signing a diversity commitment) without </w:t>
      </w:r>
      <w:r w:rsidR="00834760">
        <w:rPr>
          <w:lang w:val="en-US"/>
        </w:rPr>
        <w:t xml:space="preserve">being perceived as </w:t>
      </w:r>
      <w:r w:rsidR="00F560D9">
        <w:rPr>
          <w:lang w:val="en-US"/>
        </w:rPr>
        <w:t>implementing</w:t>
      </w:r>
      <w:r w:rsidR="00F21B07">
        <w:rPr>
          <w:lang w:val="en-US"/>
        </w:rPr>
        <w:t xml:space="preserve"> supporting programs </w:t>
      </w:r>
      <w:r w:rsidR="00C84C41">
        <w:rPr>
          <w:lang w:val="en-US"/>
        </w:rPr>
        <w:t>nor</w:t>
      </w:r>
      <w:r w:rsidR="00F21B07">
        <w:rPr>
          <w:lang w:val="en-US"/>
        </w:rPr>
        <w:t xml:space="preserve"> changing attitudes and behaviors. </w:t>
      </w:r>
      <w:r w:rsidRPr="00B32F59">
        <w:rPr>
          <w:lang w:val="en-US"/>
        </w:rPr>
        <w:t>Type II</w:t>
      </w:r>
      <w:r w:rsidR="00F21B07">
        <w:rPr>
          <w:lang w:val="en-US"/>
        </w:rPr>
        <w:t>I</w:t>
      </w:r>
      <w:r w:rsidRPr="00B32F59">
        <w:rPr>
          <w:lang w:val="en-US"/>
        </w:rPr>
        <w:t xml:space="preserve"> organizations may</w:t>
      </w:r>
      <w:r w:rsidR="00834760">
        <w:rPr>
          <w:lang w:val="en-US"/>
        </w:rPr>
        <w:t xml:space="preserve"> be perceived as</w:t>
      </w:r>
      <w:r w:rsidRPr="00B32F59">
        <w:rPr>
          <w:lang w:val="en-US"/>
        </w:rPr>
        <w:t xml:space="preserve"> hav</w:t>
      </w:r>
      <w:r w:rsidR="00834760">
        <w:rPr>
          <w:lang w:val="en-US"/>
        </w:rPr>
        <w:t>ing</w:t>
      </w:r>
      <w:r w:rsidRPr="00B32F59">
        <w:rPr>
          <w:lang w:val="en-US"/>
        </w:rPr>
        <w:t xml:space="preserve"> set up processes to </w:t>
      </w:r>
      <w:r w:rsidR="0062195E">
        <w:rPr>
          <w:lang w:val="en-US"/>
        </w:rPr>
        <w:t>promote</w:t>
      </w:r>
      <w:r w:rsidRPr="00B32F59">
        <w:rPr>
          <w:lang w:val="en-US"/>
        </w:rPr>
        <w:t xml:space="preserve"> diversity, but these are not perceived as being reflected into </w:t>
      </w:r>
      <w:r w:rsidR="0062195E">
        <w:rPr>
          <w:lang w:val="en-US"/>
        </w:rPr>
        <w:t xml:space="preserve">its employees’ </w:t>
      </w:r>
      <w:r w:rsidRPr="00B32F59">
        <w:rPr>
          <w:lang w:val="en-US"/>
        </w:rPr>
        <w:t>attitudes and behaviors. This may characterize organizations that are concerned about complying with the law</w:t>
      </w:r>
      <w:r w:rsidR="005B14BE">
        <w:rPr>
          <w:lang w:val="en-US"/>
        </w:rPr>
        <w:t xml:space="preserve"> or other standards</w:t>
      </w:r>
      <w:r w:rsidRPr="00B32F59">
        <w:rPr>
          <w:lang w:val="en-US"/>
        </w:rPr>
        <w:t xml:space="preserve">, but with no </w:t>
      </w:r>
      <w:r w:rsidR="00F21B07">
        <w:rPr>
          <w:lang w:val="en-US"/>
        </w:rPr>
        <w:t>perceived success</w:t>
      </w:r>
      <w:r w:rsidR="00834760">
        <w:rPr>
          <w:lang w:val="en-US"/>
        </w:rPr>
        <w:t xml:space="preserve"> in doing so</w:t>
      </w:r>
      <w:r w:rsidRPr="00B32F59">
        <w:rPr>
          <w:lang w:val="en-US"/>
        </w:rPr>
        <w:t xml:space="preserve">. It could also </w:t>
      </w:r>
      <w:r w:rsidR="002E704E" w:rsidRPr="00B32F59">
        <w:rPr>
          <w:lang w:val="en-US"/>
        </w:rPr>
        <w:t>be</w:t>
      </w:r>
      <w:r w:rsidRPr="00B32F59">
        <w:rPr>
          <w:lang w:val="en-US"/>
        </w:rPr>
        <w:t xml:space="preserve"> an intermediary stage towards achieving a </w:t>
      </w:r>
      <w:r w:rsidR="00891F59">
        <w:rPr>
          <w:lang w:val="en-US"/>
        </w:rPr>
        <w:t xml:space="preserve">perceived </w:t>
      </w:r>
      <w:r w:rsidRPr="00B32F59">
        <w:rPr>
          <w:lang w:val="en-US"/>
        </w:rPr>
        <w:t xml:space="preserve">change in behaviors and attitudes at some later stage. Type </w:t>
      </w:r>
      <w:r w:rsidR="00F21B07">
        <w:rPr>
          <w:lang w:val="en-US"/>
        </w:rPr>
        <w:t>IV</w:t>
      </w:r>
      <w:r w:rsidRPr="00B32F59">
        <w:rPr>
          <w:lang w:val="en-US"/>
        </w:rPr>
        <w:t xml:space="preserve"> may characterize </w:t>
      </w:r>
      <w:r w:rsidR="00F21B07">
        <w:rPr>
          <w:lang w:val="en-US"/>
        </w:rPr>
        <w:t xml:space="preserve">organizations that </w:t>
      </w:r>
      <w:r w:rsidR="00891F59">
        <w:rPr>
          <w:lang w:val="en-US"/>
        </w:rPr>
        <w:t>are perceived to ‘do</w:t>
      </w:r>
      <w:r w:rsidRPr="00B32F59">
        <w:rPr>
          <w:lang w:val="en-US"/>
        </w:rPr>
        <w:t xml:space="preserve"> </w:t>
      </w:r>
      <w:r w:rsidR="00F21B07">
        <w:rPr>
          <w:lang w:val="en-US"/>
        </w:rPr>
        <w:t>diversity</w:t>
      </w:r>
      <w:r w:rsidR="00891F59">
        <w:rPr>
          <w:lang w:val="en-US"/>
        </w:rPr>
        <w:t>’</w:t>
      </w:r>
      <w:r w:rsidRPr="00B32F59">
        <w:rPr>
          <w:lang w:val="en-US"/>
        </w:rPr>
        <w:t xml:space="preserve">, </w:t>
      </w:r>
      <w:r w:rsidR="005B14BE">
        <w:rPr>
          <w:lang w:val="en-US"/>
        </w:rPr>
        <w:t xml:space="preserve">even </w:t>
      </w:r>
      <w:r w:rsidRPr="00B32F59">
        <w:rPr>
          <w:lang w:val="en-US"/>
        </w:rPr>
        <w:t>without</w:t>
      </w:r>
      <w:r w:rsidR="00F21B07">
        <w:rPr>
          <w:lang w:val="en-US"/>
        </w:rPr>
        <w:t xml:space="preserve"> </w:t>
      </w:r>
      <w:r w:rsidR="00891F59">
        <w:rPr>
          <w:lang w:val="en-US"/>
        </w:rPr>
        <w:t xml:space="preserve">perceived </w:t>
      </w:r>
      <w:r w:rsidRPr="00B32F59">
        <w:rPr>
          <w:lang w:val="en-US"/>
        </w:rPr>
        <w:t>explicit procedures</w:t>
      </w:r>
      <w:r w:rsidR="00C84C41">
        <w:rPr>
          <w:lang w:val="en-US"/>
        </w:rPr>
        <w:t xml:space="preserve"> </w:t>
      </w:r>
      <w:r w:rsidRPr="00B32F59">
        <w:rPr>
          <w:lang w:val="en-US"/>
        </w:rPr>
        <w:t>or formal expression of intent. This could be considered a</w:t>
      </w:r>
      <w:r w:rsidR="00BF059A">
        <w:rPr>
          <w:lang w:val="en-US"/>
        </w:rPr>
        <w:t>s</w:t>
      </w:r>
      <w:r w:rsidRPr="00B32F59">
        <w:rPr>
          <w:lang w:val="en-US"/>
        </w:rPr>
        <w:t xml:space="preserve"> the final step of integrating diversity in </w:t>
      </w:r>
      <w:r w:rsidR="00F560D9">
        <w:rPr>
          <w:lang w:val="en-US"/>
        </w:rPr>
        <w:t>some</w:t>
      </w:r>
      <w:r w:rsidR="00F560D9" w:rsidRPr="00B32F59">
        <w:rPr>
          <w:lang w:val="en-US"/>
        </w:rPr>
        <w:t xml:space="preserve"> </w:t>
      </w:r>
      <w:r w:rsidRPr="00B32F59">
        <w:rPr>
          <w:lang w:val="en-US"/>
        </w:rPr>
        <w:t>maturity life cycle approach of diversity management</w:t>
      </w:r>
      <w:r w:rsidR="0062195E">
        <w:rPr>
          <w:lang w:val="en-US"/>
        </w:rPr>
        <w:t>, where one, several</w:t>
      </w:r>
      <w:r w:rsidR="00B344A2">
        <w:rPr>
          <w:lang w:val="en-US"/>
        </w:rPr>
        <w:t>,</w:t>
      </w:r>
      <w:r w:rsidR="0062195E">
        <w:rPr>
          <w:lang w:val="en-US"/>
        </w:rPr>
        <w:t xml:space="preserve"> or all of configurations V to VIII may figure as intermediary stages</w:t>
      </w:r>
      <w:r w:rsidRPr="00B32F59">
        <w:rPr>
          <w:lang w:val="en-US"/>
        </w:rPr>
        <w:t>. These</w:t>
      </w:r>
      <w:r w:rsidR="00F21B07">
        <w:rPr>
          <w:lang w:val="en-US"/>
        </w:rPr>
        <w:t xml:space="preserve"> </w:t>
      </w:r>
      <w:r w:rsidRPr="00B32F59">
        <w:rPr>
          <w:lang w:val="en-US"/>
        </w:rPr>
        <w:t xml:space="preserve">organizational </w:t>
      </w:r>
      <w:r w:rsidR="00F21B07">
        <w:rPr>
          <w:lang w:val="en-US"/>
        </w:rPr>
        <w:t>configurations</w:t>
      </w:r>
      <w:r w:rsidRPr="00B32F59">
        <w:rPr>
          <w:lang w:val="en-US"/>
        </w:rPr>
        <w:t xml:space="preserve"> </w:t>
      </w:r>
      <w:r w:rsidR="006B36DB">
        <w:rPr>
          <w:lang w:val="en-US"/>
        </w:rPr>
        <w:t xml:space="preserve">are of course speculative, but they </w:t>
      </w:r>
      <w:r w:rsidRPr="00B32F59">
        <w:rPr>
          <w:lang w:val="en-US"/>
        </w:rPr>
        <w:t xml:space="preserve">highlight the </w:t>
      </w:r>
      <w:r w:rsidR="00F560D9">
        <w:rPr>
          <w:lang w:val="en-US"/>
        </w:rPr>
        <w:t xml:space="preserve">relevance </w:t>
      </w:r>
      <w:r w:rsidRPr="00B32F59">
        <w:rPr>
          <w:lang w:val="en-US"/>
        </w:rPr>
        <w:t xml:space="preserve">of our </w:t>
      </w:r>
      <w:r w:rsidR="00F21B07">
        <w:rPr>
          <w:lang w:val="en-US"/>
        </w:rPr>
        <w:t>study</w:t>
      </w:r>
      <w:r w:rsidRPr="00B32F59">
        <w:rPr>
          <w:lang w:val="en-US"/>
        </w:rPr>
        <w:t xml:space="preserve"> for future </w:t>
      </w:r>
      <w:r w:rsidR="00F560D9">
        <w:rPr>
          <w:lang w:val="en-US"/>
        </w:rPr>
        <w:t xml:space="preserve">DC </w:t>
      </w:r>
      <w:r w:rsidRPr="00B32F59">
        <w:rPr>
          <w:lang w:val="en-US"/>
        </w:rPr>
        <w:t xml:space="preserve">research and </w:t>
      </w:r>
      <w:r w:rsidR="00F21B07">
        <w:rPr>
          <w:lang w:val="en-US"/>
        </w:rPr>
        <w:t>practice</w:t>
      </w:r>
      <w:r w:rsidRPr="00B32F59">
        <w:rPr>
          <w:lang w:val="en-US"/>
        </w:rPr>
        <w:t xml:space="preserve">. </w:t>
      </w:r>
      <w:r w:rsidR="001153EC">
        <w:rPr>
          <w:lang w:val="en-US"/>
        </w:rPr>
        <w:t xml:space="preserve">The three-faceted DC conceptualization and operationalization along with the abovementioned configurations, emphasize the need for considering </w:t>
      </w:r>
      <w:r w:rsidRPr="00B32F59">
        <w:rPr>
          <w:lang w:val="en-US"/>
        </w:rPr>
        <w:t xml:space="preserve">diversity management </w:t>
      </w:r>
      <w:r w:rsidR="001153EC">
        <w:rPr>
          <w:lang w:val="en-US"/>
        </w:rPr>
        <w:t xml:space="preserve">as </w:t>
      </w:r>
      <w:r w:rsidRPr="00B32F59">
        <w:rPr>
          <w:lang w:val="en-US"/>
        </w:rPr>
        <w:t>a process</w:t>
      </w:r>
      <w:r w:rsidR="001153EC">
        <w:rPr>
          <w:lang w:val="en-US"/>
        </w:rPr>
        <w:t xml:space="preserve"> rather than some fixed state</w:t>
      </w:r>
      <w:r w:rsidRPr="00B32F59">
        <w:rPr>
          <w:lang w:val="en-US"/>
        </w:rPr>
        <w:t xml:space="preserve"> (Carstens and De Kock, 2016)</w:t>
      </w:r>
      <w:r w:rsidR="001153EC">
        <w:rPr>
          <w:lang w:val="en-US"/>
        </w:rPr>
        <w:t>. D</w:t>
      </w:r>
      <w:r w:rsidR="001153EC" w:rsidRPr="00B32F59">
        <w:rPr>
          <w:lang w:val="en-US"/>
        </w:rPr>
        <w:t>iversity management</w:t>
      </w:r>
      <w:r w:rsidR="001153EC">
        <w:rPr>
          <w:lang w:val="en-US"/>
        </w:rPr>
        <w:t xml:space="preserve"> sh</w:t>
      </w:r>
      <w:r w:rsidR="00115FC6">
        <w:rPr>
          <w:lang w:val="en-US"/>
        </w:rPr>
        <w:t>ould</w:t>
      </w:r>
      <w:r w:rsidR="001153EC">
        <w:rPr>
          <w:lang w:val="en-US"/>
        </w:rPr>
        <w:t xml:space="preserve"> rather be seen as</w:t>
      </w:r>
      <w:r w:rsidRPr="00B32F59">
        <w:rPr>
          <w:lang w:val="en-US"/>
        </w:rPr>
        <w:t xml:space="preserve"> a </w:t>
      </w:r>
      <w:r w:rsidR="003102C0">
        <w:rPr>
          <w:lang w:val="en-US"/>
        </w:rPr>
        <w:t>succession of</w:t>
      </w:r>
      <w:r w:rsidRPr="00B32F59">
        <w:rPr>
          <w:lang w:val="en-US"/>
        </w:rPr>
        <w:t xml:space="preserve"> sta</w:t>
      </w:r>
      <w:r w:rsidR="003102C0">
        <w:rPr>
          <w:lang w:val="en-US"/>
        </w:rPr>
        <w:t>g</w:t>
      </w:r>
      <w:r w:rsidRPr="00B32F59">
        <w:rPr>
          <w:lang w:val="en-US"/>
        </w:rPr>
        <w:t xml:space="preserve">es. </w:t>
      </w:r>
      <w:r w:rsidR="003102C0">
        <w:rPr>
          <w:lang w:val="en-US"/>
        </w:rPr>
        <w:t>Our work</w:t>
      </w:r>
      <w:r w:rsidRPr="00B32F59">
        <w:rPr>
          <w:lang w:val="en-US"/>
        </w:rPr>
        <w:t xml:space="preserve"> also raises </w:t>
      </w:r>
      <w:r w:rsidR="001D1F97" w:rsidRPr="00B32F59">
        <w:rPr>
          <w:lang w:val="en-US"/>
        </w:rPr>
        <w:t>several</w:t>
      </w:r>
      <w:r w:rsidRPr="00B32F59">
        <w:rPr>
          <w:lang w:val="en-US"/>
        </w:rPr>
        <w:t xml:space="preserve"> </w:t>
      </w:r>
      <w:r w:rsidR="00B10931">
        <w:rPr>
          <w:lang w:val="en-US"/>
        </w:rPr>
        <w:t xml:space="preserve">substantive </w:t>
      </w:r>
      <w:r w:rsidRPr="00B32F59">
        <w:rPr>
          <w:lang w:val="en-US"/>
        </w:rPr>
        <w:t>questions. Are some organizations ‘born’ diversity friendly</w:t>
      </w:r>
      <w:r w:rsidR="006B36DB">
        <w:rPr>
          <w:lang w:val="en-US"/>
        </w:rPr>
        <w:t xml:space="preserve"> with no necessity to even intend to become so or without explicit supportive programs towards that end</w:t>
      </w:r>
      <w:r w:rsidRPr="00B32F59">
        <w:rPr>
          <w:lang w:val="en-US"/>
        </w:rPr>
        <w:t>?</w:t>
      </w:r>
      <w:r w:rsidR="006B36DB">
        <w:rPr>
          <w:lang w:val="en-US"/>
        </w:rPr>
        <w:t xml:space="preserve"> How long can organizations </w:t>
      </w:r>
      <w:r w:rsidR="00891F59">
        <w:rPr>
          <w:lang w:val="en-US"/>
        </w:rPr>
        <w:t xml:space="preserve">durably </w:t>
      </w:r>
      <w:r w:rsidR="006B36DB">
        <w:rPr>
          <w:lang w:val="en-US"/>
        </w:rPr>
        <w:t>remain in configurations II, III and V</w:t>
      </w:r>
      <w:r w:rsidR="00B65FC5">
        <w:rPr>
          <w:lang w:val="en-US"/>
        </w:rPr>
        <w:t xml:space="preserve"> without generating tensions</w:t>
      </w:r>
      <w:r w:rsidR="006B36DB">
        <w:rPr>
          <w:lang w:val="en-US"/>
        </w:rPr>
        <w:t xml:space="preserve">? </w:t>
      </w:r>
    </w:p>
    <w:p w14:paraId="133661C9" w14:textId="337114EE" w:rsidR="000357AC" w:rsidRPr="00AF06A2" w:rsidRDefault="003F39EB" w:rsidP="008E23E5">
      <w:pPr>
        <w:pStyle w:val="Titre1"/>
        <w:spacing w:line="480" w:lineRule="auto"/>
        <w:jc w:val="both"/>
        <w:rPr>
          <w:lang w:val="en-US"/>
        </w:rPr>
      </w:pPr>
      <w:bookmarkStart w:id="17" w:name="_Toc528231610"/>
      <w:r w:rsidRPr="00AF06A2">
        <w:rPr>
          <w:lang w:val="en-US"/>
        </w:rPr>
        <w:lastRenderedPageBreak/>
        <w:t xml:space="preserve">Research limitations and </w:t>
      </w:r>
      <w:r w:rsidR="005A3620" w:rsidRPr="00AF06A2">
        <w:rPr>
          <w:lang w:val="en-US"/>
        </w:rPr>
        <w:t>future research</w:t>
      </w:r>
      <w:bookmarkEnd w:id="17"/>
      <w:r w:rsidR="005A3620" w:rsidRPr="00AF06A2">
        <w:rPr>
          <w:lang w:val="en-US"/>
        </w:rPr>
        <w:t xml:space="preserve"> </w:t>
      </w:r>
    </w:p>
    <w:p w14:paraId="1BD057BF" w14:textId="037E7B1E" w:rsidR="00E03628" w:rsidRPr="00AF06A2" w:rsidRDefault="003102C0" w:rsidP="00E03628">
      <w:pPr>
        <w:spacing w:line="480" w:lineRule="auto"/>
        <w:jc w:val="both"/>
        <w:rPr>
          <w:lang w:val="en-US"/>
        </w:rPr>
      </w:pPr>
      <w:r>
        <w:rPr>
          <w:lang w:val="en-US"/>
        </w:rPr>
        <w:t>Our research</w:t>
      </w:r>
      <w:r w:rsidR="00B3390A" w:rsidRPr="00AF06A2">
        <w:rPr>
          <w:lang w:val="en-US"/>
        </w:rPr>
        <w:t xml:space="preserve"> has </w:t>
      </w:r>
      <w:r w:rsidR="00B54B93" w:rsidRPr="00AF06A2">
        <w:rPr>
          <w:lang w:val="en-US"/>
        </w:rPr>
        <w:t>limitations</w:t>
      </w:r>
      <w:r w:rsidR="00E228DC" w:rsidRPr="00AF06A2">
        <w:rPr>
          <w:lang w:val="en-US"/>
        </w:rPr>
        <w:t xml:space="preserve"> that </w:t>
      </w:r>
      <w:r w:rsidR="00CD4525" w:rsidRPr="00AF06A2">
        <w:rPr>
          <w:lang w:val="en-US"/>
        </w:rPr>
        <w:t>should be acknowledge</w:t>
      </w:r>
      <w:r>
        <w:rPr>
          <w:lang w:val="en-US"/>
        </w:rPr>
        <w:t>d</w:t>
      </w:r>
      <w:r w:rsidR="00B54B93" w:rsidRPr="00AF06A2">
        <w:rPr>
          <w:lang w:val="en-US"/>
        </w:rPr>
        <w:t xml:space="preserve">. </w:t>
      </w:r>
      <w:r w:rsidR="006576C3" w:rsidRPr="00AF06A2">
        <w:rPr>
          <w:lang w:val="en-US"/>
        </w:rPr>
        <w:t>Common method bias is</w:t>
      </w:r>
      <w:r w:rsidR="00FC7D5D" w:rsidRPr="00AF06A2">
        <w:rPr>
          <w:lang w:val="en-US"/>
        </w:rPr>
        <w:t xml:space="preserve"> </w:t>
      </w:r>
      <w:r w:rsidR="00A1217E" w:rsidRPr="00AF06A2">
        <w:rPr>
          <w:lang w:val="en-US"/>
        </w:rPr>
        <w:t xml:space="preserve">a </w:t>
      </w:r>
      <w:r w:rsidR="006576C3" w:rsidRPr="00AF06A2">
        <w:rPr>
          <w:lang w:val="en-US"/>
        </w:rPr>
        <w:t xml:space="preserve">potential issue that may have </w:t>
      </w:r>
      <w:r>
        <w:rPr>
          <w:lang w:val="en-US"/>
        </w:rPr>
        <w:t>affected</w:t>
      </w:r>
      <w:r w:rsidR="006576C3" w:rsidRPr="00AF06A2">
        <w:rPr>
          <w:lang w:val="en-US"/>
        </w:rPr>
        <w:t xml:space="preserve"> our </w:t>
      </w:r>
      <w:r w:rsidR="006B36DB">
        <w:rPr>
          <w:lang w:val="en-US"/>
        </w:rPr>
        <w:t>findings</w:t>
      </w:r>
      <w:r w:rsidR="006576C3" w:rsidRPr="00AF06A2">
        <w:rPr>
          <w:lang w:val="en-US"/>
        </w:rPr>
        <w:t>.</w:t>
      </w:r>
      <w:r w:rsidR="00FC7D5D" w:rsidRPr="00AF06A2">
        <w:rPr>
          <w:lang w:val="en-US"/>
        </w:rPr>
        <w:t xml:space="preserve"> </w:t>
      </w:r>
      <w:r>
        <w:rPr>
          <w:lang w:val="en-US"/>
        </w:rPr>
        <w:t>W</w:t>
      </w:r>
      <w:r w:rsidR="00FC7D5D" w:rsidRPr="00AF06A2">
        <w:rPr>
          <w:lang w:val="en-US"/>
        </w:rPr>
        <w:t xml:space="preserve">e encourage scholars to </w:t>
      </w:r>
      <w:r w:rsidR="009D773E" w:rsidRPr="00AF06A2">
        <w:rPr>
          <w:lang w:val="en-US"/>
        </w:rPr>
        <w:t xml:space="preserve">use multiple data collection methods in </w:t>
      </w:r>
      <w:r w:rsidR="00335BC6">
        <w:rPr>
          <w:lang w:val="en-US"/>
        </w:rPr>
        <w:t xml:space="preserve">the </w:t>
      </w:r>
      <w:r w:rsidR="009D773E" w:rsidRPr="00AF06A2">
        <w:rPr>
          <w:lang w:val="en-US"/>
        </w:rPr>
        <w:t>future</w:t>
      </w:r>
      <w:r w:rsidR="00FC7D5D" w:rsidRPr="00AF06A2">
        <w:rPr>
          <w:lang w:val="en-US"/>
        </w:rPr>
        <w:t>.</w:t>
      </w:r>
      <w:r w:rsidR="0099759A" w:rsidRPr="00AF06A2">
        <w:rPr>
          <w:lang w:val="en-US"/>
        </w:rPr>
        <w:t xml:space="preserve"> </w:t>
      </w:r>
      <w:r w:rsidR="00D475A5">
        <w:rPr>
          <w:lang w:val="en-US"/>
        </w:rPr>
        <w:t>Moreover, s</w:t>
      </w:r>
      <w:r w:rsidR="00E03628" w:rsidRPr="00AF06A2">
        <w:rPr>
          <w:lang w:val="en-US"/>
        </w:rPr>
        <w:t xml:space="preserve">tudies across </w:t>
      </w:r>
      <w:r>
        <w:rPr>
          <w:lang w:val="en-US"/>
        </w:rPr>
        <w:t>more</w:t>
      </w:r>
      <w:r w:rsidR="00E03628" w:rsidRPr="00AF06A2">
        <w:rPr>
          <w:lang w:val="en-US"/>
        </w:rPr>
        <w:t xml:space="preserve"> organizations </w:t>
      </w:r>
      <w:r>
        <w:rPr>
          <w:lang w:val="en-US"/>
        </w:rPr>
        <w:t>would</w:t>
      </w:r>
      <w:r w:rsidR="00E03628" w:rsidRPr="00AF06A2">
        <w:rPr>
          <w:lang w:val="en-US"/>
        </w:rPr>
        <w:t xml:space="preserve"> benefit from greater variability in employee</w:t>
      </w:r>
      <w:r w:rsidR="005B14BE">
        <w:rPr>
          <w:lang w:val="en-US"/>
        </w:rPr>
        <w:t xml:space="preserve"> perceptions</w:t>
      </w:r>
      <w:r w:rsidR="00E03628" w:rsidRPr="00AF06A2">
        <w:rPr>
          <w:lang w:val="en-US"/>
        </w:rPr>
        <w:t xml:space="preserve"> and </w:t>
      </w:r>
      <w:r>
        <w:rPr>
          <w:lang w:val="en-US"/>
        </w:rPr>
        <w:t xml:space="preserve">allow to </w:t>
      </w:r>
      <w:r w:rsidR="00E03628" w:rsidRPr="00AF06A2">
        <w:rPr>
          <w:lang w:val="en-US"/>
        </w:rPr>
        <w:t xml:space="preserve">better understand the role played by each of the </w:t>
      </w:r>
      <w:r>
        <w:rPr>
          <w:lang w:val="en-US"/>
        </w:rPr>
        <w:t>three facets of</w:t>
      </w:r>
      <w:r w:rsidR="00E03628" w:rsidRPr="00AF06A2">
        <w:rPr>
          <w:lang w:val="en-US"/>
        </w:rPr>
        <w:t xml:space="preserve"> </w:t>
      </w:r>
      <w:r w:rsidR="004254E4">
        <w:rPr>
          <w:lang w:val="en-US"/>
        </w:rPr>
        <w:t>DC</w:t>
      </w:r>
      <w:r w:rsidR="00335BC6">
        <w:rPr>
          <w:lang w:val="en-US"/>
        </w:rPr>
        <w:t xml:space="preserve"> on a range of outcomes</w:t>
      </w:r>
      <w:r w:rsidR="00E03628" w:rsidRPr="00AF06A2">
        <w:rPr>
          <w:lang w:val="en-US"/>
        </w:rPr>
        <w:t>.</w:t>
      </w:r>
      <w:r w:rsidR="00827235">
        <w:rPr>
          <w:lang w:val="en-US"/>
        </w:rPr>
        <w:t xml:space="preserve"> We also call for replication of our study within and/or organizations</w:t>
      </w:r>
      <w:r w:rsidR="00E03628" w:rsidRPr="00AF06A2">
        <w:rPr>
          <w:lang w:val="en-US"/>
        </w:rPr>
        <w:t xml:space="preserve"> </w:t>
      </w:r>
      <w:r w:rsidR="00827235">
        <w:rPr>
          <w:lang w:val="en-US"/>
        </w:rPr>
        <w:t>across several national contexts.</w:t>
      </w:r>
    </w:p>
    <w:p w14:paraId="6A896112" w14:textId="32D50026" w:rsidR="00473F90" w:rsidRPr="00AF06A2" w:rsidRDefault="0099759A" w:rsidP="00F85F7B">
      <w:pPr>
        <w:spacing w:line="480" w:lineRule="auto"/>
        <w:jc w:val="both"/>
        <w:rPr>
          <w:lang w:val="en-US"/>
        </w:rPr>
      </w:pPr>
      <w:r w:rsidRPr="00AF06A2">
        <w:rPr>
          <w:lang w:val="en-US"/>
        </w:rPr>
        <w:t>Despite the</w:t>
      </w:r>
      <w:r w:rsidR="00934C5B" w:rsidRPr="00AF06A2">
        <w:rPr>
          <w:lang w:val="en-US"/>
        </w:rPr>
        <w:t>se</w:t>
      </w:r>
      <w:r w:rsidRPr="00AF06A2">
        <w:rPr>
          <w:lang w:val="en-US"/>
        </w:rPr>
        <w:t xml:space="preserve"> limitations, </w:t>
      </w:r>
      <w:r w:rsidR="00934C5B" w:rsidRPr="00AF06A2">
        <w:rPr>
          <w:lang w:val="en-US"/>
        </w:rPr>
        <w:t>our</w:t>
      </w:r>
      <w:r w:rsidRPr="00AF06A2">
        <w:rPr>
          <w:lang w:val="en-US"/>
        </w:rPr>
        <w:t xml:space="preserve"> </w:t>
      </w:r>
      <w:r w:rsidR="00934C5B" w:rsidRPr="00AF06A2">
        <w:rPr>
          <w:lang w:val="en-US"/>
        </w:rPr>
        <w:t>study</w:t>
      </w:r>
      <w:r w:rsidRPr="00AF06A2">
        <w:rPr>
          <w:lang w:val="en-US"/>
        </w:rPr>
        <w:t xml:space="preserve"> </w:t>
      </w:r>
      <w:r w:rsidR="00F34F55">
        <w:rPr>
          <w:lang w:val="en-US"/>
        </w:rPr>
        <w:t>identifies a number of research avenues</w:t>
      </w:r>
      <w:r w:rsidRPr="00AF06A2">
        <w:rPr>
          <w:lang w:val="en-US"/>
        </w:rPr>
        <w:t>.</w:t>
      </w:r>
      <w:r w:rsidR="00E03628">
        <w:rPr>
          <w:lang w:val="en-US"/>
        </w:rPr>
        <w:t xml:space="preserve"> </w:t>
      </w:r>
      <w:r w:rsidR="00F85F7B" w:rsidRPr="00AF06A2">
        <w:rPr>
          <w:lang w:val="en-US"/>
        </w:rPr>
        <w:t xml:space="preserve">We </w:t>
      </w:r>
      <w:r w:rsidR="004F30A7">
        <w:rPr>
          <w:lang w:val="en-US"/>
        </w:rPr>
        <w:t>empirically tested</w:t>
      </w:r>
      <w:r w:rsidR="004F30A7" w:rsidRPr="00AF06A2">
        <w:rPr>
          <w:lang w:val="en-US"/>
        </w:rPr>
        <w:t xml:space="preserve"> </w:t>
      </w:r>
      <w:r w:rsidR="00F85F7B" w:rsidRPr="00AF06A2">
        <w:rPr>
          <w:lang w:val="en-US"/>
        </w:rPr>
        <w:t xml:space="preserve">the reconceptualization of </w:t>
      </w:r>
      <w:r w:rsidR="004254E4">
        <w:rPr>
          <w:lang w:val="en-US"/>
        </w:rPr>
        <w:t>DC</w:t>
      </w:r>
      <w:r w:rsidR="00B23497">
        <w:rPr>
          <w:lang w:val="en-US"/>
        </w:rPr>
        <w:t xml:space="preserve"> </w:t>
      </w:r>
      <w:r w:rsidR="00B65FC5">
        <w:rPr>
          <w:lang w:val="en-US"/>
        </w:rPr>
        <w:t>proposed by</w:t>
      </w:r>
      <w:r w:rsidR="003102C0">
        <w:rPr>
          <w:lang w:val="en-US"/>
        </w:rPr>
        <w:t xml:space="preserve"> Cachat-Rosset et al. (2017)</w:t>
      </w:r>
      <w:r w:rsidR="00F85F7B" w:rsidRPr="00AF06A2">
        <w:rPr>
          <w:lang w:val="en-US"/>
        </w:rPr>
        <w:t xml:space="preserve"> and provide</w:t>
      </w:r>
      <w:r w:rsidR="003102C0">
        <w:rPr>
          <w:lang w:val="en-US"/>
        </w:rPr>
        <w:t>d</w:t>
      </w:r>
      <w:r w:rsidR="00F85F7B" w:rsidRPr="00AF06A2">
        <w:rPr>
          <w:lang w:val="en-US"/>
        </w:rPr>
        <w:t xml:space="preserve"> evidence of its robustness. Most of all, this research calls for further investigation of the concept. </w:t>
      </w:r>
      <w:r w:rsidR="00B23497">
        <w:rPr>
          <w:lang w:val="en-US"/>
        </w:rPr>
        <w:t>W</w:t>
      </w:r>
      <w:r w:rsidR="00F85F7B" w:rsidRPr="00AF06A2">
        <w:rPr>
          <w:lang w:val="en-US"/>
        </w:rPr>
        <w:t>e invite future researche</w:t>
      </w:r>
      <w:r w:rsidR="00B23497">
        <w:rPr>
          <w:lang w:val="en-US"/>
        </w:rPr>
        <w:t>r</w:t>
      </w:r>
      <w:r w:rsidR="00F85F7B" w:rsidRPr="00AF06A2">
        <w:rPr>
          <w:lang w:val="en-US"/>
        </w:rPr>
        <w:t xml:space="preserve">s to </w:t>
      </w:r>
      <w:r w:rsidR="00B23497">
        <w:rPr>
          <w:lang w:val="en-US"/>
        </w:rPr>
        <w:t>conduct further</w:t>
      </w:r>
      <w:r w:rsidR="00F85F7B" w:rsidRPr="00AF06A2">
        <w:rPr>
          <w:lang w:val="en-US"/>
        </w:rPr>
        <w:t xml:space="preserve"> empirical tests of the </w:t>
      </w:r>
      <w:r w:rsidR="00F34F55">
        <w:rPr>
          <w:lang w:val="en-US"/>
        </w:rPr>
        <w:t>newly-</w:t>
      </w:r>
      <w:r w:rsidR="00F85F7B" w:rsidRPr="00AF06A2">
        <w:rPr>
          <w:lang w:val="en-US"/>
        </w:rPr>
        <w:t xml:space="preserve">designed </w:t>
      </w:r>
      <w:r w:rsidR="004254E4">
        <w:rPr>
          <w:lang w:val="en-US"/>
        </w:rPr>
        <w:t>DC</w:t>
      </w:r>
      <w:r w:rsidR="00F34F55">
        <w:rPr>
          <w:lang w:val="en-US"/>
        </w:rPr>
        <w:t xml:space="preserve"> concept</w:t>
      </w:r>
      <w:r w:rsidR="00B23497">
        <w:rPr>
          <w:lang w:val="en-US"/>
        </w:rPr>
        <w:t xml:space="preserve"> and use it in attempts to predict</w:t>
      </w:r>
      <w:r w:rsidR="00F85F7B" w:rsidRPr="00AF06A2">
        <w:rPr>
          <w:lang w:val="en-US"/>
        </w:rPr>
        <w:t xml:space="preserve"> </w:t>
      </w:r>
      <w:r w:rsidR="00F34F55">
        <w:rPr>
          <w:lang w:val="en-US"/>
        </w:rPr>
        <w:t xml:space="preserve">important outcomes such as </w:t>
      </w:r>
      <w:r w:rsidR="00F85F7B" w:rsidRPr="00AF06A2">
        <w:rPr>
          <w:lang w:val="en-US"/>
        </w:rPr>
        <w:t>turnover intentions, application intention</w:t>
      </w:r>
      <w:r w:rsidR="00B23497">
        <w:rPr>
          <w:lang w:val="en-US"/>
        </w:rPr>
        <w:t>s</w:t>
      </w:r>
      <w:r w:rsidR="00F85F7B" w:rsidRPr="00AF06A2">
        <w:rPr>
          <w:lang w:val="en-US"/>
        </w:rPr>
        <w:t>, job satisfaction or innovation</w:t>
      </w:r>
      <w:r w:rsidR="00B23497">
        <w:rPr>
          <w:lang w:val="en-US"/>
        </w:rPr>
        <w:t xml:space="preserve"> as suggested by</w:t>
      </w:r>
      <w:r w:rsidR="00F85F7B" w:rsidRPr="00AF06A2">
        <w:rPr>
          <w:lang w:val="en-US"/>
        </w:rPr>
        <w:t xml:space="preserve"> Cox</w:t>
      </w:r>
      <w:r w:rsidR="00DD7D04">
        <w:rPr>
          <w:lang w:val="en-US"/>
        </w:rPr>
        <w:t xml:space="preserve"> </w:t>
      </w:r>
      <w:r w:rsidR="00F85F7B" w:rsidRPr="00AF06A2">
        <w:rPr>
          <w:lang w:val="en-US"/>
        </w:rPr>
        <w:t xml:space="preserve">(1993). </w:t>
      </w:r>
      <w:r w:rsidR="00F34F55">
        <w:rPr>
          <w:lang w:val="en-US"/>
        </w:rPr>
        <w:t>This would also help to further assess the criterion validity of the measurement instrument. Nomological validity could also be further investigated by looking at other notions that are conceptually related to DC, including other organizational climate</w:t>
      </w:r>
      <w:r w:rsidR="00DB22E3">
        <w:rPr>
          <w:lang w:val="en-US"/>
        </w:rPr>
        <w:t>s</w:t>
      </w:r>
      <w:r w:rsidR="00F34F55">
        <w:rPr>
          <w:lang w:val="en-US"/>
        </w:rPr>
        <w:t xml:space="preserve"> (such as innovation</w:t>
      </w:r>
      <w:r w:rsidR="00B344A2">
        <w:rPr>
          <w:lang w:val="en-US"/>
        </w:rPr>
        <w:t xml:space="preserve"> or ethical</w:t>
      </w:r>
      <w:r w:rsidR="00F34F55">
        <w:rPr>
          <w:lang w:val="en-US"/>
        </w:rPr>
        <w:t xml:space="preserve"> climate</w:t>
      </w:r>
      <w:r w:rsidR="00B344A2">
        <w:rPr>
          <w:lang w:val="en-US"/>
        </w:rPr>
        <w:t>s</w:t>
      </w:r>
      <w:r w:rsidR="00F34F55">
        <w:rPr>
          <w:lang w:val="en-US"/>
        </w:rPr>
        <w:t xml:space="preserve">). </w:t>
      </w:r>
      <w:r w:rsidR="005B14BE">
        <w:rPr>
          <w:lang w:val="en-US"/>
        </w:rPr>
        <w:t>More generally we</w:t>
      </w:r>
      <w:r w:rsidR="00473F90" w:rsidRPr="00AF06A2">
        <w:rPr>
          <w:lang w:val="en-US"/>
        </w:rPr>
        <w:t xml:space="preserve"> encourage scholars</w:t>
      </w:r>
      <w:r w:rsidR="00B23497">
        <w:rPr>
          <w:lang w:val="en-US"/>
        </w:rPr>
        <w:t xml:space="preserve"> </w:t>
      </w:r>
      <w:r w:rsidR="00473F90" w:rsidRPr="00AF06A2">
        <w:rPr>
          <w:lang w:val="en-US"/>
        </w:rPr>
        <w:t>to i</w:t>
      </w:r>
      <w:r w:rsidR="00B23497">
        <w:rPr>
          <w:lang w:val="en-US"/>
        </w:rPr>
        <w:t>nvestigate</w:t>
      </w:r>
      <w:r w:rsidR="00473F90" w:rsidRPr="00AF06A2">
        <w:rPr>
          <w:lang w:val="en-US"/>
        </w:rPr>
        <w:t xml:space="preserve"> the role of each</w:t>
      </w:r>
      <w:r w:rsidR="00B23497">
        <w:rPr>
          <w:lang w:val="en-US"/>
        </w:rPr>
        <w:t xml:space="preserve"> facet of </w:t>
      </w:r>
      <w:r w:rsidR="004254E4">
        <w:rPr>
          <w:lang w:val="en-US"/>
        </w:rPr>
        <w:t>DC</w:t>
      </w:r>
      <w:r w:rsidR="00473F90" w:rsidRPr="00AF06A2">
        <w:rPr>
          <w:lang w:val="en-US"/>
        </w:rPr>
        <w:t xml:space="preserve"> in influencing both individual and organizational outcomes. </w:t>
      </w:r>
      <w:r w:rsidR="00B23497">
        <w:rPr>
          <w:lang w:val="en-US"/>
        </w:rPr>
        <w:t>More practically</w:t>
      </w:r>
      <w:r w:rsidR="00473F90" w:rsidRPr="00AF06A2">
        <w:rPr>
          <w:lang w:val="en-US"/>
        </w:rPr>
        <w:t xml:space="preserve">, </w:t>
      </w:r>
      <w:r w:rsidR="00F36C2D">
        <w:rPr>
          <w:lang w:val="en-US"/>
        </w:rPr>
        <w:t>our</w:t>
      </w:r>
      <w:r w:rsidR="00934C5B" w:rsidRPr="00AF06A2">
        <w:rPr>
          <w:lang w:val="en-US"/>
        </w:rPr>
        <w:t xml:space="preserve"> </w:t>
      </w:r>
      <w:r w:rsidR="00B23497">
        <w:rPr>
          <w:lang w:val="en-US"/>
        </w:rPr>
        <w:t>three</w:t>
      </w:r>
      <w:r w:rsidR="00983DCD">
        <w:rPr>
          <w:lang w:val="en-US"/>
        </w:rPr>
        <w:t>-</w:t>
      </w:r>
      <w:r w:rsidR="00473F90" w:rsidRPr="00AF06A2">
        <w:rPr>
          <w:lang w:val="en-US"/>
        </w:rPr>
        <w:t>dimension</w:t>
      </w:r>
      <w:r w:rsidR="00F36C2D">
        <w:rPr>
          <w:lang w:val="en-US"/>
        </w:rPr>
        <w:t>al measure</w:t>
      </w:r>
      <w:r w:rsidR="00473F90" w:rsidRPr="00AF06A2">
        <w:rPr>
          <w:lang w:val="en-US"/>
        </w:rPr>
        <w:t xml:space="preserve"> </w:t>
      </w:r>
      <w:r w:rsidR="00E03628">
        <w:rPr>
          <w:lang w:val="en-US"/>
        </w:rPr>
        <w:t xml:space="preserve">of </w:t>
      </w:r>
      <w:r w:rsidR="004254E4">
        <w:rPr>
          <w:lang w:val="en-US"/>
        </w:rPr>
        <w:t>DC</w:t>
      </w:r>
      <w:r w:rsidR="00E03628" w:rsidRPr="00AF06A2">
        <w:rPr>
          <w:lang w:val="en-US"/>
        </w:rPr>
        <w:t xml:space="preserve"> </w:t>
      </w:r>
      <w:r w:rsidR="00B23497">
        <w:rPr>
          <w:lang w:val="en-US"/>
        </w:rPr>
        <w:t>suggest</w:t>
      </w:r>
      <w:r w:rsidR="00F36C2D">
        <w:rPr>
          <w:lang w:val="en-US"/>
        </w:rPr>
        <w:t>s</w:t>
      </w:r>
      <w:r w:rsidR="00DB1459">
        <w:rPr>
          <w:lang w:val="en-US"/>
        </w:rPr>
        <w:t xml:space="preserve"> that there are</w:t>
      </w:r>
      <w:r w:rsidR="00F36C2D">
        <w:rPr>
          <w:lang w:val="en-US"/>
        </w:rPr>
        <w:t xml:space="preserve"> </w:t>
      </w:r>
      <w:r w:rsidR="00DB1459">
        <w:rPr>
          <w:lang w:val="en-US"/>
        </w:rPr>
        <w:t>eight possible configurations for diversity management</w:t>
      </w:r>
      <w:r w:rsidR="00827235">
        <w:rPr>
          <w:lang w:val="en-US"/>
        </w:rPr>
        <w:t xml:space="preserve">, drawing a preliminary tool-kit for practitioners </w:t>
      </w:r>
      <w:r w:rsidR="002620F8">
        <w:rPr>
          <w:lang w:val="en-US"/>
        </w:rPr>
        <w:t xml:space="preserve">in order </w:t>
      </w:r>
      <w:r w:rsidR="00827235">
        <w:rPr>
          <w:lang w:val="en-US"/>
        </w:rPr>
        <w:t>to set up resistance</w:t>
      </w:r>
      <w:r w:rsidR="002620F8">
        <w:rPr>
          <w:lang w:val="en-US"/>
        </w:rPr>
        <w:t>-</w:t>
      </w:r>
      <w:r w:rsidR="00827235">
        <w:rPr>
          <w:lang w:val="en-US"/>
        </w:rPr>
        <w:t xml:space="preserve">strategies </w:t>
      </w:r>
      <w:r w:rsidR="002620F8">
        <w:rPr>
          <w:lang w:val="en-US"/>
        </w:rPr>
        <w:t>against</w:t>
      </w:r>
      <w:r w:rsidR="00827235">
        <w:rPr>
          <w:lang w:val="en-US"/>
        </w:rPr>
        <w:t xml:space="preserve"> diversity status quo within their organization</w:t>
      </w:r>
      <w:r w:rsidR="00DB1459">
        <w:rPr>
          <w:lang w:val="en-US"/>
        </w:rPr>
        <w:t>. What had previously been identified as distinct paradigms</w:t>
      </w:r>
      <w:r w:rsidR="00DD7D04">
        <w:rPr>
          <w:lang w:val="en-US"/>
        </w:rPr>
        <w:t xml:space="preserve"> or perspectives</w:t>
      </w:r>
      <w:r w:rsidR="00DB1459">
        <w:rPr>
          <w:lang w:val="en-US"/>
        </w:rPr>
        <w:t xml:space="preserve"> </w:t>
      </w:r>
      <w:r w:rsidR="00F36C2D" w:rsidRPr="00AF06A2">
        <w:rPr>
          <w:lang w:val="en-GB" w:eastAsia="en-GB"/>
        </w:rPr>
        <w:t>(</w:t>
      </w:r>
      <w:r w:rsidR="006B0265">
        <w:rPr>
          <w:lang w:val="en-GB" w:eastAsia="en-GB"/>
        </w:rPr>
        <w:t xml:space="preserve">Cox, 1991; </w:t>
      </w:r>
      <w:r w:rsidR="006B0265" w:rsidRPr="00AF06A2">
        <w:rPr>
          <w:lang w:val="en-GB" w:eastAsia="en-GB"/>
        </w:rPr>
        <w:t>Dwertmann</w:t>
      </w:r>
      <w:r w:rsidR="006B0265">
        <w:rPr>
          <w:lang w:val="en-GB" w:eastAsia="en-GB"/>
        </w:rPr>
        <w:t xml:space="preserve"> et al.</w:t>
      </w:r>
      <w:r w:rsidR="006B0265" w:rsidRPr="00AF06A2">
        <w:rPr>
          <w:lang w:val="en-GB" w:eastAsia="en-GB"/>
        </w:rPr>
        <w:t>, 2016</w:t>
      </w:r>
      <w:r w:rsidR="006B0265">
        <w:rPr>
          <w:lang w:val="en-GB" w:eastAsia="en-GB"/>
        </w:rPr>
        <w:t xml:space="preserve">; </w:t>
      </w:r>
      <w:r w:rsidR="00891F59">
        <w:rPr>
          <w:lang w:val="en-GB" w:eastAsia="en-GB"/>
        </w:rPr>
        <w:t xml:space="preserve">Thomas, 1990; </w:t>
      </w:r>
      <w:r w:rsidR="00F36C2D" w:rsidRPr="00AF06A2">
        <w:rPr>
          <w:lang w:val="en-GB" w:eastAsia="en-GB"/>
        </w:rPr>
        <w:t>Thomas and Ely, 1996)</w:t>
      </w:r>
      <w:r w:rsidR="00F36C2D">
        <w:rPr>
          <w:lang w:val="en-GB" w:eastAsia="en-GB"/>
        </w:rPr>
        <w:t xml:space="preserve"> </w:t>
      </w:r>
      <w:r w:rsidR="00DB1459">
        <w:rPr>
          <w:lang w:val="en-US"/>
        </w:rPr>
        <w:t xml:space="preserve">may </w:t>
      </w:r>
      <w:r w:rsidR="00F36C2D">
        <w:rPr>
          <w:lang w:val="en-US"/>
        </w:rPr>
        <w:t xml:space="preserve">to some extent </w:t>
      </w:r>
      <w:r w:rsidR="00DB1459">
        <w:rPr>
          <w:lang w:val="en-US"/>
        </w:rPr>
        <w:t>coin</w:t>
      </w:r>
      <w:r w:rsidR="00F36C2D">
        <w:rPr>
          <w:lang w:val="en-US"/>
        </w:rPr>
        <w:t>cide with</w:t>
      </w:r>
      <w:r w:rsidR="00DB1459">
        <w:rPr>
          <w:lang w:val="en-US"/>
        </w:rPr>
        <w:t xml:space="preserve"> one or several of the</w:t>
      </w:r>
      <w:r w:rsidR="00F36C2D">
        <w:rPr>
          <w:lang w:val="en-US"/>
        </w:rPr>
        <w:t>se</w:t>
      </w:r>
      <w:r w:rsidR="00DB1459">
        <w:rPr>
          <w:lang w:val="en-US"/>
        </w:rPr>
        <w:t xml:space="preserve"> con</w:t>
      </w:r>
      <w:r w:rsidR="00F36C2D">
        <w:rPr>
          <w:lang w:val="en-US"/>
        </w:rPr>
        <w:t>figurations</w:t>
      </w:r>
      <w:r w:rsidR="00DB1459">
        <w:rPr>
          <w:lang w:val="en-US"/>
        </w:rPr>
        <w:t>.</w:t>
      </w:r>
      <w:r w:rsidR="00DD7D04">
        <w:rPr>
          <w:lang w:val="en-US"/>
        </w:rPr>
        <w:t xml:space="preserve"> Yet these configurations, the factors that cause firms to m</w:t>
      </w:r>
      <w:r w:rsidR="00891F59">
        <w:rPr>
          <w:lang w:val="en-US"/>
        </w:rPr>
        <w:t>ove between them</w:t>
      </w:r>
      <w:r w:rsidR="00DD7D04">
        <w:rPr>
          <w:lang w:val="en-US"/>
        </w:rPr>
        <w:t>, and their outcomes, remain to be studied</w:t>
      </w:r>
      <w:r w:rsidR="00E61F30">
        <w:rPr>
          <w:lang w:val="en-US"/>
        </w:rPr>
        <w:t xml:space="preserve"> on </w:t>
      </w:r>
      <w:r w:rsidR="00DD7D04">
        <w:rPr>
          <w:lang w:val="en-US"/>
        </w:rPr>
        <w:t>large sample</w:t>
      </w:r>
      <w:r w:rsidR="00E61F30">
        <w:rPr>
          <w:lang w:val="en-US"/>
        </w:rPr>
        <w:t>s</w:t>
      </w:r>
      <w:r w:rsidR="00DD7D04">
        <w:rPr>
          <w:lang w:val="en-US"/>
        </w:rPr>
        <w:t xml:space="preserve"> of firms. This is without a doubt</w:t>
      </w:r>
      <w:r w:rsidR="00197305">
        <w:rPr>
          <w:lang w:val="en-US"/>
        </w:rPr>
        <w:t xml:space="preserve"> an ambitious</w:t>
      </w:r>
      <w:r w:rsidR="00DD7D04">
        <w:rPr>
          <w:lang w:val="en-US"/>
        </w:rPr>
        <w:t xml:space="preserve"> research agenda. </w:t>
      </w:r>
    </w:p>
    <w:p w14:paraId="5270BCCD" w14:textId="77777777" w:rsidR="005C3CA5" w:rsidRDefault="005C3CA5">
      <w:pPr>
        <w:spacing w:after="200" w:line="276" w:lineRule="auto"/>
        <w:rPr>
          <w:b/>
          <w:bCs/>
          <w:kern w:val="32"/>
          <w:lang w:val="en-GB" w:eastAsia="en-GB"/>
        </w:rPr>
      </w:pPr>
      <w:r w:rsidRPr="00EC25CF">
        <w:rPr>
          <w:lang w:val="en-US"/>
        </w:rPr>
        <w:lastRenderedPageBreak/>
        <w:br w:type="page"/>
      </w:r>
    </w:p>
    <w:p w14:paraId="2C59A9BB" w14:textId="37308A7A" w:rsidR="005C3CA5" w:rsidRDefault="00834FFA" w:rsidP="005C3CA5">
      <w:pPr>
        <w:pStyle w:val="Titre1"/>
      </w:pPr>
      <w:r>
        <w:lastRenderedPageBreak/>
        <w:t>References</w:t>
      </w:r>
    </w:p>
    <w:p w14:paraId="2D843CCC"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Agocs, C. (2002). Systemic discrimination in employment: mapping the issue and policy responses. In K. L. International (Ed.), </w:t>
      </w:r>
      <w:r w:rsidRPr="0047369C">
        <w:rPr>
          <w:i/>
          <w:iCs/>
          <w:lang w:val="en-US"/>
        </w:rPr>
        <w:t>Workplace equality: international perspectives on legislation, policy and practice</w:t>
      </w:r>
      <w:r w:rsidRPr="0047369C">
        <w:rPr>
          <w:lang w:val="en-US"/>
        </w:rPr>
        <w:t>. The Hague.</w:t>
      </w:r>
    </w:p>
    <w:p w14:paraId="451D18B4"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Anderson, J. C., </w:t>
      </w:r>
      <w:r>
        <w:rPr>
          <w:lang w:val="en-US"/>
        </w:rPr>
        <w:t>and</w:t>
      </w:r>
      <w:r w:rsidRPr="0047369C">
        <w:rPr>
          <w:lang w:val="en-US"/>
        </w:rPr>
        <w:t xml:space="preserve"> Gerbing, D. W. (1991). Predicting the performance of measures in a confirmatory factor analysis with a pretest assessment of their substantive validities. </w:t>
      </w:r>
      <w:r w:rsidRPr="0047369C">
        <w:rPr>
          <w:i/>
          <w:iCs/>
          <w:lang w:val="en-US"/>
        </w:rPr>
        <w:t>Journal of Applied Psychology</w:t>
      </w:r>
      <w:r w:rsidRPr="0047369C">
        <w:rPr>
          <w:lang w:val="en-US"/>
        </w:rPr>
        <w:t xml:space="preserve">, </w:t>
      </w:r>
      <w:r w:rsidRPr="0047369C">
        <w:rPr>
          <w:i/>
          <w:iCs/>
          <w:lang w:val="en-US"/>
        </w:rPr>
        <w:t>76</w:t>
      </w:r>
      <w:r w:rsidRPr="0047369C">
        <w:rPr>
          <w:lang w:val="en-US"/>
        </w:rPr>
        <w:t>(5), 732.</w:t>
      </w:r>
    </w:p>
    <w:p w14:paraId="77FC5E73" w14:textId="77777777" w:rsidR="00591938" w:rsidRPr="0053329E" w:rsidRDefault="00591938" w:rsidP="000D4CF2">
      <w:pPr>
        <w:spacing w:before="100" w:beforeAutospacing="1" w:after="100" w:afterAutospacing="1"/>
        <w:ind w:left="480" w:hanging="480"/>
        <w:jc w:val="both"/>
        <w:rPr>
          <w:color w:val="222222"/>
          <w:szCs w:val="20"/>
          <w:lang w:val="en-US"/>
        </w:rPr>
      </w:pPr>
      <w:r w:rsidRPr="00764748">
        <w:rPr>
          <w:color w:val="222222"/>
          <w:szCs w:val="20"/>
          <w:lang w:val="en-US"/>
        </w:rPr>
        <w:t xml:space="preserve">Arthur, J. B., &amp; Boyles, T. (2007). Validating the human resource system structure: A levels-based strategic HRM approach. </w:t>
      </w:r>
      <w:r w:rsidRPr="0053329E">
        <w:rPr>
          <w:i/>
          <w:iCs/>
          <w:color w:val="222222"/>
          <w:szCs w:val="20"/>
          <w:lang w:val="en-US"/>
        </w:rPr>
        <w:t>Human Resource Management Review</w:t>
      </w:r>
      <w:r w:rsidRPr="0053329E">
        <w:rPr>
          <w:color w:val="222222"/>
          <w:szCs w:val="20"/>
          <w:lang w:val="en-US"/>
        </w:rPr>
        <w:t xml:space="preserve">, </w:t>
      </w:r>
      <w:r w:rsidRPr="0053329E">
        <w:rPr>
          <w:i/>
          <w:iCs/>
          <w:color w:val="222222"/>
          <w:szCs w:val="20"/>
          <w:lang w:val="en-US"/>
        </w:rPr>
        <w:t>17</w:t>
      </w:r>
      <w:r w:rsidRPr="0053329E">
        <w:rPr>
          <w:color w:val="222222"/>
          <w:szCs w:val="20"/>
          <w:lang w:val="en-US"/>
        </w:rPr>
        <w:t>(1), 77-92.</w:t>
      </w:r>
    </w:p>
    <w:p w14:paraId="4292F037"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Bauer, T., </w:t>
      </w:r>
      <w:r>
        <w:rPr>
          <w:lang w:val="en-US"/>
        </w:rPr>
        <w:t>and</w:t>
      </w:r>
      <w:r w:rsidRPr="0047369C">
        <w:rPr>
          <w:lang w:val="en-US"/>
        </w:rPr>
        <w:t xml:space="preserve"> Green, S. (1998). Testing the combined effects of newcomer information seeking and manager behavior on socialization. </w:t>
      </w:r>
      <w:r w:rsidRPr="0047369C">
        <w:rPr>
          <w:i/>
          <w:iCs/>
          <w:lang w:val="en-US"/>
        </w:rPr>
        <w:t>Journal of Applied Psychology</w:t>
      </w:r>
      <w:r w:rsidRPr="0047369C">
        <w:rPr>
          <w:lang w:val="en-US"/>
        </w:rPr>
        <w:t xml:space="preserve">, </w:t>
      </w:r>
      <w:r w:rsidRPr="0047369C">
        <w:rPr>
          <w:i/>
          <w:iCs/>
          <w:lang w:val="en-US"/>
        </w:rPr>
        <w:t>83</w:t>
      </w:r>
      <w:r w:rsidRPr="0047369C">
        <w:rPr>
          <w:lang w:val="en-US"/>
        </w:rPr>
        <w:t xml:space="preserve">(1), 72–83. </w:t>
      </w:r>
    </w:p>
    <w:p w14:paraId="1A1638FD" w14:textId="4F205283" w:rsidR="000D4CF2" w:rsidRDefault="000D4CF2" w:rsidP="000D4CF2">
      <w:pPr>
        <w:spacing w:before="100" w:beforeAutospacing="1" w:after="100" w:afterAutospacing="1"/>
        <w:ind w:left="480" w:hanging="480"/>
        <w:jc w:val="both"/>
        <w:rPr>
          <w:lang w:val="en-US"/>
        </w:rPr>
      </w:pPr>
      <w:r w:rsidRPr="0047369C">
        <w:rPr>
          <w:lang w:val="en-US"/>
        </w:rPr>
        <w:t xml:space="preserve">Beus, J. M., Payne, S. C., Arthur, W., </w:t>
      </w:r>
      <w:r>
        <w:rPr>
          <w:lang w:val="en-US"/>
        </w:rPr>
        <w:t>and</w:t>
      </w:r>
      <w:r w:rsidRPr="0047369C">
        <w:rPr>
          <w:lang w:val="en-US"/>
        </w:rPr>
        <w:t xml:space="preserve"> Muñoz, G. J. (2017). The Development and Validation of a Cross-Industry Safety Climate Measure: Resolving Conceptual and Operational Issues. </w:t>
      </w:r>
      <w:r w:rsidRPr="0047369C">
        <w:rPr>
          <w:i/>
          <w:iCs/>
          <w:lang w:val="en-US"/>
        </w:rPr>
        <w:t>Journal of Management</w:t>
      </w:r>
      <w:r w:rsidRPr="0047369C">
        <w:rPr>
          <w:lang w:val="en-US"/>
        </w:rPr>
        <w:t xml:space="preserve">. </w:t>
      </w:r>
    </w:p>
    <w:p w14:paraId="004C626A" w14:textId="77777777" w:rsidR="00764748" w:rsidRDefault="00764748" w:rsidP="00764748">
      <w:pPr>
        <w:spacing w:before="100" w:beforeAutospacing="1" w:after="100" w:afterAutospacing="1"/>
        <w:ind w:left="480" w:hanging="480"/>
        <w:jc w:val="both"/>
        <w:rPr>
          <w:lang w:val="en-US"/>
        </w:rPr>
      </w:pPr>
      <w:r w:rsidRPr="00764748">
        <w:rPr>
          <w:lang w:val="en-US"/>
        </w:rPr>
        <w:t xml:space="preserve">Bowen, D. E., &amp; Ostroff, C. (2004). Understanding the HRM-firm performance linkages: The role of the “strength” of the HRM system. </w:t>
      </w:r>
      <w:r w:rsidRPr="00764748">
        <w:rPr>
          <w:i/>
          <w:lang w:val="en-US"/>
        </w:rPr>
        <w:t>Academy of Management Review</w:t>
      </w:r>
      <w:r w:rsidRPr="00764748">
        <w:rPr>
          <w:lang w:val="en-US"/>
        </w:rPr>
        <w:t>, 29(2), 203−221.</w:t>
      </w:r>
    </w:p>
    <w:p w14:paraId="244A893A" w14:textId="5C470792" w:rsidR="00332375" w:rsidRDefault="00332375" w:rsidP="00332375">
      <w:pPr>
        <w:spacing w:before="100" w:beforeAutospacing="1" w:after="100" w:afterAutospacing="1"/>
        <w:ind w:left="480" w:hanging="480"/>
        <w:jc w:val="both"/>
        <w:rPr>
          <w:lang w:val="en-US"/>
        </w:rPr>
      </w:pPr>
      <w:r w:rsidRPr="00332375">
        <w:rPr>
          <w:lang w:val="en-US"/>
        </w:rPr>
        <w:t xml:space="preserve">Brewer, M. B. (1991). The social self: On being the same and different at the same time. </w:t>
      </w:r>
      <w:r w:rsidRPr="00332375">
        <w:rPr>
          <w:i/>
          <w:lang w:val="en-US"/>
        </w:rPr>
        <w:t>Personality and Social Psychology Bulletin</w:t>
      </w:r>
      <w:r w:rsidRPr="00332375">
        <w:rPr>
          <w:lang w:val="en-US"/>
        </w:rPr>
        <w:t>, 17, 475–482.</w:t>
      </w:r>
    </w:p>
    <w:p w14:paraId="260A4D99" w14:textId="100B806D" w:rsidR="00F2315F" w:rsidRPr="0047369C" w:rsidRDefault="00F2315F" w:rsidP="00332375">
      <w:pPr>
        <w:spacing w:before="100" w:beforeAutospacing="1" w:after="100" w:afterAutospacing="1"/>
        <w:ind w:left="480" w:hanging="480"/>
        <w:jc w:val="both"/>
        <w:rPr>
          <w:lang w:val="en-US"/>
        </w:rPr>
      </w:pPr>
      <w:r w:rsidRPr="00F2315F">
        <w:rPr>
          <w:lang w:val="en-US"/>
        </w:rPr>
        <w:t xml:space="preserve">Buttner, E. H., Lowe, K. B., &amp; Billings-Harris, L. (2012). An Empirical Test of Diversity Climate Dimensionality and Relative Effects on Employee of Color Outcomes. </w:t>
      </w:r>
      <w:r w:rsidRPr="001A082F">
        <w:rPr>
          <w:i/>
          <w:iCs/>
          <w:lang w:val="en-US"/>
        </w:rPr>
        <w:t>Journal of Business Ethics</w:t>
      </w:r>
      <w:r w:rsidRPr="00F2315F">
        <w:rPr>
          <w:lang w:val="en-US"/>
        </w:rPr>
        <w:t>, 110(3), 247–258.</w:t>
      </w:r>
    </w:p>
    <w:p w14:paraId="6194EE91"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Cachat‐Rosset, G., Carillo, K., </w:t>
      </w:r>
      <w:r>
        <w:rPr>
          <w:lang w:val="en-US"/>
        </w:rPr>
        <w:t>and</w:t>
      </w:r>
      <w:r w:rsidRPr="0047369C">
        <w:rPr>
          <w:lang w:val="en-US"/>
        </w:rPr>
        <w:t xml:space="preserve"> Klarsfeld, A. (2017). </w:t>
      </w:r>
      <w:r w:rsidRPr="003040D6">
        <w:rPr>
          <w:iCs/>
          <w:lang w:val="en-US"/>
        </w:rPr>
        <w:t>Reconstructing the Concept of Diversity Climate – A Critical Review of Its Definition, Dimensions, and Operationalization</w:t>
      </w:r>
      <w:r w:rsidRPr="003040D6">
        <w:rPr>
          <w:lang w:val="en-US"/>
        </w:rPr>
        <w:t>.</w:t>
      </w:r>
      <w:r w:rsidRPr="0047369C">
        <w:rPr>
          <w:lang w:val="en-US"/>
        </w:rPr>
        <w:t xml:space="preserve"> </w:t>
      </w:r>
      <w:r w:rsidRPr="0047369C">
        <w:rPr>
          <w:i/>
          <w:iCs/>
          <w:lang w:val="en-US"/>
        </w:rPr>
        <w:t>European Management Review</w:t>
      </w:r>
      <w:r w:rsidRPr="0047369C">
        <w:rPr>
          <w:lang w:val="en-US"/>
        </w:rPr>
        <w:t xml:space="preserve">. </w:t>
      </w:r>
    </w:p>
    <w:p w14:paraId="29911468" w14:textId="77777777" w:rsidR="000D4CF2" w:rsidRPr="0047369C" w:rsidRDefault="000D4CF2" w:rsidP="000D4CF2">
      <w:pPr>
        <w:spacing w:before="100" w:beforeAutospacing="1" w:after="100" w:afterAutospacing="1"/>
        <w:ind w:left="480" w:hanging="480"/>
        <w:jc w:val="both"/>
        <w:rPr>
          <w:lang w:val="en-US"/>
        </w:rPr>
      </w:pPr>
      <w:r w:rsidRPr="005C3CA5">
        <w:rPr>
          <w:lang w:val="en-US"/>
        </w:rPr>
        <w:t xml:space="preserve">Carstens, J. G., </w:t>
      </w:r>
      <w:r>
        <w:rPr>
          <w:lang w:val="en-US"/>
        </w:rPr>
        <w:t>and</w:t>
      </w:r>
      <w:r w:rsidRPr="005C3CA5">
        <w:rPr>
          <w:lang w:val="en-US"/>
        </w:rPr>
        <w:t xml:space="preserve"> De Kock, F. S. (2016). </w:t>
      </w:r>
      <w:r w:rsidRPr="0047369C">
        <w:rPr>
          <w:lang w:val="en-US"/>
        </w:rPr>
        <w:t xml:space="preserve">Firm-level diversity management competencies: development and initial validation of a measure. </w:t>
      </w:r>
      <w:r w:rsidRPr="0047369C">
        <w:rPr>
          <w:i/>
          <w:iCs/>
          <w:lang w:val="en-US"/>
        </w:rPr>
        <w:t>The International Journal of Human Resource Management</w:t>
      </w:r>
      <w:r w:rsidRPr="0047369C">
        <w:rPr>
          <w:lang w:val="en-US"/>
        </w:rPr>
        <w:t>, 1–27.</w:t>
      </w:r>
    </w:p>
    <w:p w14:paraId="3DC8AA8E" w14:textId="5F4857A2" w:rsidR="000D4CF2" w:rsidRDefault="000D4CF2" w:rsidP="000D4CF2">
      <w:pPr>
        <w:spacing w:before="100" w:beforeAutospacing="1" w:after="100" w:afterAutospacing="1"/>
        <w:ind w:left="480" w:hanging="480"/>
        <w:jc w:val="both"/>
        <w:rPr>
          <w:lang w:val="en-US"/>
        </w:rPr>
      </w:pPr>
      <w:r w:rsidRPr="0047369C">
        <w:rPr>
          <w:lang w:val="en-US"/>
        </w:rPr>
        <w:t xml:space="preserve">Chan, D. (1998). Functional relations among constructs in the same content domain at different levels of analysis: A typology of composition models. </w:t>
      </w:r>
      <w:r w:rsidRPr="0047369C">
        <w:rPr>
          <w:i/>
          <w:iCs/>
          <w:lang w:val="en-US"/>
        </w:rPr>
        <w:t>Journal of Applied Psychology</w:t>
      </w:r>
      <w:r w:rsidRPr="0047369C">
        <w:rPr>
          <w:lang w:val="en-US"/>
        </w:rPr>
        <w:t xml:space="preserve">, </w:t>
      </w:r>
      <w:r w:rsidRPr="0047369C">
        <w:rPr>
          <w:i/>
          <w:iCs/>
          <w:lang w:val="en-US"/>
        </w:rPr>
        <w:t>83</w:t>
      </w:r>
      <w:r w:rsidRPr="0047369C">
        <w:rPr>
          <w:lang w:val="en-US"/>
        </w:rPr>
        <w:t xml:space="preserve">(2), 234–246. </w:t>
      </w:r>
    </w:p>
    <w:p w14:paraId="768408EE" w14:textId="4E047F80" w:rsidR="004F280D" w:rsidRPr="0047369C" w:rsidRDefault="004F280D" w:rsidP="001A082F">
      <w:pPr>
        <w:spacing w:before="100" w:beforeAutospacing="1" w:after="100" w:afterAutospacing="1"/>
        <w:ind w:left="480" w:hanging="480"/>
        <w:rPr>
          <w:lang w:val="en-US"/>
        </w:rPr>
      </w:pPr>
      <w:r w:rsidRPr="004F280D">
        <w:rPr>
          <w:lang w:val="en-US"/>
        </w:rPr>
        <w:t xml:space="preserve">Chrobot-Mason, </w:t>
      </w:r>
      <w:r>
        <w:rPr>
          <w:lang w:val="en-US"/>
        </w:rPr>
        <w:t xml:space="preserve">D., </w:t>
      </w:r>
      <w:r w:rsidR="00A96732">
        <w:rPr>
          <w:lang w:val="en-US"/>
        </w:rPr>
        <w:t>(2003).</w:t>
      </w:r>
      <w:r w:rsidR="00E10A0E">
        <w:rPr>
          <w:lang w:val="en-US"/>
        </w:rPr>
        <w:t xml:space="preserve"> Keeping the promise</w:t>
      </w:r>
      <w:r w:rsidR="00A96732">
        <w:rPr>
          <w:lang w:val="en-US"/>
        </w:rPr>
        <w:t>.</w:t>
      </w:r>
      <w:r w:rsidRPr="004F280D">
        <w:rPr>
          <w:lang w:val="en-US"/>
        </w:rPr>
        <w:t xml:space="preserve"> </w:t>
      </w:r>
      <w:r w:rsidRPr="001A082F">
        <w:rPr>
          <w:i/>
          <w:iCs/>
          <w:lang w:val="en-US"/>
        </w:rPr>
        <w:t>Journal of Man</w:t>
      </w:r>
      <w:r w:rsidR="00E10A0E" w:rsidRPr="001A082F">
        <w:rPr>
          <w:i/>
          <w:iCs/>
          <w:lang w:val="en-US"/>
        </w:rPr>
        <w:t>agerial Psychology,</w:t>
      </w:r>
      <w:r>
        <w:rPr>
          <w:lang w:val="en-US"/>
        </w:rPr>
        <w:t xml:space="preserve"> 18 (</w:t>
      </w:r>
      <w:r w:rsidRPr="004F280D">
        <w:rPr>
          <w:lang w:val="en-US"/>
        </w:rPr>
        <w:t>1</w:t>
      </w:r>
      <w:r>
        <w:rPr>
          <w:lang w:val="en-US"/>
        </w:rPr>
        <w:t xml:space="preserve">), </w:t>
      </w:r>
      <w:r w:rsidRPr="004F280D">
        <w:rPr>
          <w:lang w:val="en-US"/>
        </w:rPr>
        <w:t>22 - 45</w:t>
      </w:r>
    </w:p>
    <w:p w14:paraId="045EEAF3"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Chrobot-Mason, D., </w:t>
      </w:r>
      <w:r>
        <w:rPr>
          <w:lang w:val="en-US"/>
        </w:rPr>
        <w:t>and</w:t>
      </w:r>
      <w:r w:rsidRPr="0047369C">
        <w:rPr>
          <w:lang w:val="en-US"/>
        </w:rPr>
        <w:t xml:space="preserve"> Aramovich, N. P. (2013). The Psychological Benefits of Creating an Affirming Climate for Workplace Diversity. </w:t>
      </w:r>
      <w:r w:rsidRPr="0047369C">
        <w:rPr>
          <w:i/>
          <w:iCs/>
          <w:lang w:val="en-US"/>
        </w:rPr>
        <w:t xml:space="preserve">Group </w:t>
      </w:r>
      <w:r>
        <w:rPr>
          <w:i/>
          <w:iCs/>
          <w:lang w:val="en-US"/>
        </w:rPr>
        <w:t>and</w:t>
      </w:r>
      <w:r w:rsidRPr="0047369C">
        <w:rPr>
          <w:i/>
          <w:iCs/>
          <w:lang w:val="en-US"/>
        </w:rPr>
        <w:t xml:space="preserve"> Organization Management</w:t>
      </w:r>
      <w:r w:rsidRPr="0047369C">
        <w:rPr>
          <w:lang w:val="en-US"/>
        </w:rPr>
        <w:t xml:space="preserve">, </w:t>
      </w:r>
      <w:r w:rsidRPr="0047369C">
        <w:rPr>
          <w:i/>
          <w:iCs/>
          <w:lang w:val="en-US"/>
        </w:rPr>
        <w:t>38</w:t>
      </w:r>
      <w:r w:rsidRPr="0047369C">
        <w:rPr>
          <w:lang w:val="en-US"/>
        </w:rPr>
        <w:t xml:space="preserve">(6), 659–689. </w:t>
      </w:r>
    </w:p>
    <w:p w14:paraId="34885E2C" w14:textId="06E27DF9" w:rsidR="00590BA2" w:rsidRDefault="00590BA2" w:rsidP="000D4CF2">
      <w:pPr>
        <w:pStyle w:val="NormalWeb"/>
        <w:ind w:left="480" w:hanging="480"/>
        <w:jc w:val="both"/>
        <w:rPr>
          <w:lang w:val="en-US"/>
        </w:rPr>
      </w:pPr>
      <w:r w:rsidRPr="00590BA2">
        <w:rPr>
          <w:lang w:val="en-US"/>
        </w:rPr>
        <w:lastRenderedPageBreak/>
        <w:t xml:space="preserve">Chung, B. G., Ehrhart, K. H., Shore, L. M., Randel, A. E., Dean, M. A., &amp; Kedharnath, U. (2019). Work Group Inclusion: Test of a Scale and Model. </w:t>
      </w:r>
      <w:r w:rsidRPr="00E733B5">
        <w:rPr>
          <w:i/>
          <w:lang w:val="en-US"/>
        </w:rPr>
        <w:t>Group &amp; Organization Management</w:t>
      </w:r>
      <w:r>
        <w:rPr>
          <w:lang w:val="en-US"/>
        </w:rPr>
        <w:t>.</w:t>
      </w:r>
      <w:r w:rsidR="00B04F95">
        <w:rPr>
          <w:lang w:val="en-US"/>
        </w:rPr>
        <w:t xml:space="preserve"> 1-28</w:t>
      </w:r>
    </w:p>
    <w:p w14:paraId="48680D2C" w14:textId="6C4880F6" w:rsidR="000D4CF2" w:rsidRPr="00D27836" w:rsidRDefault="000D4CF2" w:rsidP="000D4CF2">
      <w:pPr>
        <w:pStyle w:val="NormalWeb"/>
        <w:ind w:left="480" w:hanging="480"/>
        <w:jc w:val="both"/>
        <w:rPr>
          <w:lang w:val="en-US"/>
        </w:rPr>
      </w:pPr>
      <w:r w:rsidRPr="00D27836">
        <w:rPr>
          <w:lang w:val="en-US"/>
        </w:rPr>
        <w:t xml:space="preserve">Chung, Y., Liao, H., Jackson, S. E., Subramony, M., Colakoglu, S., &amp; Jiang, Y. (2015). Cracking but Not Breaking: Joint Effects of Faultline Strength and Diversity Climate on Loyal Behavior. </w:t>
      </w:r>
      <w:r w:rsidRPr="00D27836">
        <w:rPr>
          <w:i/>
          <w:iCs/>
          <w:lang w:val="en-US"/>
        </w:rPr>
        <w:t>Academy of Management Journal</w:t>
      </w:r>
      <w:r w:rsidRPr="00D27836">
        <w:rPr>
          <w:lang w:val="en-US"/>
        </w:rPr>
        <w:t xml:space="preserve">, </w:t>
      </w:r>
      <w:r w:rsidRPr="00D27836">
        <w:rPr>
          <w:i/>
          <w:iCs/>
          <w:lang w:val="en-US"/>
        </w:rPr>
        <w:t>58</w:t>
      </w:r>
      <w:r w:rsidRPr="00D27836">
        <w:rPr>
          <w:lang w:val="en-US"/>
        </w:rPr>
        <w:t xml:space="preserve">(5), 1495–1515. </w:t>
      </w:r>
    </w:p>
    <w:p w14:paraId="5ACE20DB" w14:textId="77777777" w:rsidR="000D4CF2" w:rsidRPr="0047369C" w:rsidRDefault="000D4CF2" w:rsidP="000D4CF2">
      <w:pPr>
        <w:spacing w:before="100" w:beforeAutospacing="1" w:after="100" w:afterAutospacing="1"/>
        <w:ind w:left="480" w:hanging="480"/>
        <w:jc w:val="both"/>
      </w:pPr>
      <w:r w:rsidRPr="0047369C">
        <w:rPr>
          <w:lang w:val="en-US"/>
        </w:rPr>
        <w:t xml:space="preserve">Churchill Jr., G. A. (1979). A Paradigm for Developing Better Measures of Marketing Constructs. </w:t>
      </w:r>
      <w:r w:rsidRPr="0047369C">
        <w:rPr>
          <w:i/>
          <w:iCs/>
        </w:rPr>
        <w:t>Journal of Marketing Research</w:t>
      </w:r>
      <w:r w:rsidRPr="0047369C">
        <w:t xml:space="preserve">, </w:t>
      </w:r>
      <w:r w:rsidRPr="0047369C">
        <w:rPr>
          <w:i/>
          <w:iCs/>
        </w:rPr>
        <w:t>16</w:t>
      </w:r>
      <w:r w:rsidRPr="0047369C">
        <w:t xml:space="preserve">(Feb), 64–73. </w:t>
      </w:r>
    </w:p>
    <w:p w14:paraId="31281890" w14:textId="6A305B5E" w:rsidR="003473EA" w:rsidRDefault="003473EA" w:rsidP="000D4CF2">
      <w:pPr>
        <w:spacing w:before="100" w:beforeAutospacing="1" w:after="100" w:afterAutospacing="1"/>
        <w:ind w:left="480" w:hanging="480"/>
        <w:jc w:val="both"/>
      </w:pPr>
      <w:r w:rsidRPr="003473EA">
        <w:t xml:space="preserve">Commission européenne, et Direction générale de l’emploi, des relations industrielles et des affaires sociales Unité D.3. </w:t>
      </w:r>
      <w:r>
        <w:t>(</w:t>
      </w:r>
      <w:r w:rsidRPr="003473EA">
        <w:t>2003</w:t>
      </w:r>
      <w:r>
        <w:t>)</w:t>
      </w:r>
      <w:r w:rsidRPr="003473EA">
        <w:t xml:space="preserve">. </w:t>
      </w:r>
      <w:r w:rsidRPr="003473EA">
        <w:rPr>
          <w:i/>
        </w:rPr>
        <w:t>Coûts et avantages de la diversité</w:t>
      </w:r>
      <w:r w:rsidRPr="003473EA">
        <w:t xml:space="preserve">. </w:t>
      </w:r>
      <w:r>
        <w:t xml:space="preserve">Luxembourg </w:t>
      </w:r>
      <w:r w:rsidRPr="003473EA">
        <w:t xml:space="preserve">: Office des publications officielles des Communautés européennes. </w:t>
      </w:r>
    </w:p>
    <w:p w14:paraId="1F29F016" w14:textId="77777777" w:rsidR="000D4CF2" w:rsidRPr="0047369C" w:rsidRDefault="000D4CF2" w:rsidP="000D4CF2">
      <w:pPr>
        <w:spacing w:before="100" w:beforeAutospacing="1" w:after="100" w:afterAutospacing="1"/>
        <w:ind w:left="480" w:hanging="480"/>
        <w:jc w:val="both"/>
        <w:rPr>
          <w:lang w:val="en-US"/>
        </w:rPr>
      </w:pPr>
      <w:r w:rsidRPr="00D26FA1">
        <w:rPr>
          <w:lang w:val="en-US"/>
        </w:rPr>
        <w:t xml:space="preserve">Cox, T. (1993). </w:t>
      </w:r>
      <w:r w:rsidRPr="0047369C">
        <w:rPr>
          <w:i/>
          <w:iCs/>
          <w:lang w:val="en-US"/>
        </w:rPr>
        <w:t>Cultural Diversity in Organizations: Theory, Research and Practice</w:t>
      </w:r>
      <w:r w:rsidRPr="0047369C">
        <w:rPr>
          <w:lang w:val="en-US"/>
        </w:rPr>
        <w:t xml:space="preserve"> (New editio</w:t>
      </w:r>
      <w:r>
        <w:rPr>
          <w:lang w:val="en-US"/>
        </w:rPr>
        <w:t>n</w:t>
      </w:r>
      <w:r w:rsidRPr="0047369C">
        <w:rPr>
          <w:lang w:val="en-US"/>
        </w:rPr>
        <w:t xml:space="preserve">). San Francisco, Calif.: Berrett-Koehler.  </w:t>
      </w:r>
    </w:p>
    <w:p w14:paraId="26EC3EC1"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Cox, T. H., </w:t>
      </w:r>
      <w:r>
        <w:rPr>
          <w:lang w:val="en-US"/>
        </w:rPr>
        <w:t>and</w:t>
      </w:r>
      <w:r w:rsidRPr="0047369C">
        <w:rPr>
          <w:lang w:val="en-US"/>
        </w:rPr>
        <w:t xml:space="preserve"> Blake, S. (1991). Managing Cultural Diversity: Implications for Organizational Competitiveness. </w:t>
      </w:r>
      <w:r w:rsidRPr="0047369C">
        <w:rPr>
          <w:i/>
          <w:iCs/>
          <w:lang w:val="en-US"/>
        </w:rPr>
        <w:t>The Executive</w:t>
      </w:r>
      <w:r w:rsidRPr="0047369C">
        <w:rPr>
          <w:lang w:val="en-US"/>
        </w:rPr>
        <w:t xml:space="preserve">, </w:t>
      </w:r>
      <w:r w:rsidRPr="0047369C">
        <w:rPr>
          <w:i/>
          <w:iCs/>
          <w:lang w:val="en-US"/>
        </w:rPr>
        <w:t>5</w:t>
      </w:r>
      <w:r w:rsidRPr="0047369C">
        <w:rPr>
          <w:lang w:val="en-US"/>
        </w:rPr>
        <w:t xml:space="preserve">(3), 45–56. </w:t>
      </w:r>
    </w:p>
    <w:p w14:paraId="503045E2" w14:textId="77777777" w:rsidR="000D4CF2" w:rsidRPr="007D3E62" w:rsidRDefault="000D4CF2" w:rsidP="000D4CF2">
      <w:pPr>
        <w:pStyle w:val="NormalWeb"/>
        <w:ind w:left="480" w:hanging="480"/>
        <w:jc w:val="both"/>
        <w:rPr>
          <w:lang w:val="en-US"/>
        </w:rPr>
      </w:pPr>
      <w:r w:rsidRPr="007D3E62">
        <w:rPr>
          <w:lang w:val="en-US"/>
        </w:rPr>
        <w:t xml:space="preserve">Cox, T. (1991). The multicultural organization. </w:t>
      </w:r>
      <w:r w:rsidRPr="007D3E62">
        <w:rPr>
          <w:i/>
          <w:iCs/>
          <w:lang w:val="en-US"/>
        </w:rPr>
        <w:t>Executive</w:t>
      </w:r>
      <w:r w:rsidRPr="007D3E62">
        <w:rPr>
          <w:lang w:val="en-US"/>
        </w:rPr>
        <w:t xml:space="preserve">, </w:t>
      </w:r>
      <w:r w:rsidRPr="007D3E62">
        <w:rPr>
          <w:i/>
          <w:iCs/>
          <w:lang w:val="en-US"/>
        </w:rPr>
        <w:t>5</w:t>
      </w:r>
      <w:r w:rsidRPr="007D3E62">
        <w:rPr>
          <w:lang w:val="en-US"/>
        </w:rPr>
        <w:t xml:space="preserve">(2), 34–47. </w:t>
      </w:r>
    </w:p>
    <w:p w14:paraId="66F5CBC9" w14:textId="45AAA93B" w:rsidR="000D4CF2" w:rsidRPr="0047369C" w:rsidRDefault="000D4CF2" w:rsidP="00AA7B71">
      <w:pPr>
        <w:spacing w:before="100" w:beforeAutospacing="1" w:after="100" w:afterAutospacing="1"/>
        <w:ind w:left="480" w:hanging="480"/>
        <w:jc w:val="both"/>
        <w:rPr>
          <w:lang w:val="en-US"/>
        </w:rPr>
      </w:pPr>
      <w:r w:rsidRPr="0047369C">
        <w:rPr>
          <w:lang w:val="en-US"/>
        </w:rPr>
        <w:t xml:space="preserve">Dwertmann, D. J., Nishii, L. H., </w:t>
      </w:r>
      <w:r>
        <w:rPr>
          <w:lang w:val="en-US"/>
        </w:rPr>
        <w:t>and</w:t>
      </w:r>
      <w:r w:rsidRPr="0047369C">
        <w:rPr>
          <w:lang w:val="en-US"/>
        </w:rPr>
        <w:t xml:space="preserve"> Van Knippenberg, D. (2016). Disentangling the Fairness </w:t>
      </w:r>
      <w:r>
        <w:rPr>
          <w:lang w:val="en-US"/>
        </w:rPr>
        <w:t>and</w:t>
      </w:r>
      <w:r w:rsidRPr="0047369C">
        <w:rPr>
          <w:lang w:val="en-US"/>
        </w:rPr>
        <w:t xml:space="preserve"> Discrimination and Synergy Perspectives on </w:t>
      </w:r>
      <w:r>
        <w:rPr>
          <w:lang w:val="en-US"/>
        </w:rPr>
        <w:t>Diversity Climate</w:t>
      </w:r>
      <w:r w:rsidRPr="0047369C">
        <w:rPr>
          <w:lang w:val="en-US"/>
        </w:rPr>
        <w:t xml:space="preserve">: Moving the Field Forward. </w:t>
      </w:r>
      <w:r w:rsidRPr="0047369C">
        <w:rPr>
          <w:i/>
          <w:iCs/>
          <w:lang w:val="en-US"/>
        </w:rPr>
        <w:t>Journal of Management</w:t>
      </w:r>
      <w:r w:rsidRPr="0047369C">
        <w:rPr>
          <w:lang w:val="en-US"/>
        </w:rPr>
        <w:t xml:space="preserve">, </w:t>
      </w:r>
      <w:r w:rsidRPr="0047369C">
        <w:rPr>
          <w:i/>
          <w:iCs/>
          <w:lang w:val="en-US"/>
        </w:rPr>
        <w:t>42</w:t>
      </w:r>
      <w:r w:rsidRPr="0047369C">
        <w:rPr>
          <w:lang w:val="en-US"/>
        </w:rPr>
        <w:t xml:space="preserve">(5), 1136–1168. </w:t>
      </w:r>
    </w:p>
    <w:p w14:paraId="7E97D24E"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Field, A. (2013). </w:t>
      </w:r>
      <w:r w:rsidRPr="0047369C">
        <w:rPr>
          <w:i/>
          <w:iCs/>
          <w:lang w:val="en-US"/>
        </w:rPr>
        <w:t>Discovering statistics using IBM SPSS statistics</w:t>
      </w:r>
      <w:r w:rsidRPr="0047369C">
        <w:rPr>
          <w:lang w:val="en-US"/>
        </w:rPr>
        <w:t>. (Sage Publications Ltd., Ed.).</w:t>
      </w:r>
    </w:p>
    <w:p w14:paraId="339058BE" w14:textId="77777777" w:rsidR="001E1E51" w:rsidRDefault="001E1E51" w:rsidP="000D4CF2">
      <w:pPr>
        <w:spacing w:before="100" w:beforeAutospacing="1" w:after="100" w:afterAutospacing="1"/>
        <w:ind w:left="480" w:hanging="480"/>
        <w:jc w:val="both"/>
        <w:rPr>
          <w:lang w:val="en-US"/>
        </w:rPr>
      </w:pPr>
      <w:r w:rsidRPr="001E1E51">
        <w:rPr>
          <w:lang w:val="en-US"/>
        </w:rPr>
        <w:t xml:space="preserve">Fiske, S. T., &amp; Taylor, S. E. (1991). Social cognition. </w:t>
      </w:r>
      <w:r w:rsidRPr="001E1E51">
        <w:rPr>
          <w:i/>
          <w:lang w:val="en-US"/>
        </w:rPr>
        <w:t>Mcgraw-Hill Book Company</w:t>
      </w:r>
      <w:r w:rsidRPr="001E1E51">
        <w:rPr>
          <w:lang w:val="en-US"/>
        </w:rPr>
        <w:t>.</w:t>
      </w:r>
    </w:p>
    <w:p w14:paraId="216BF6F2" w14:textId="238B56DE" w:rsidR="000D4CF2" w:rsidRPr="0047369C" w:rsidRDefault="000D4CF2" w:rsidP="000D4CF2">
      <w:pPr>
        <w:spacing w:before="100" w:beforeAutospacing="1" w:after="100" w:afterAutospacing="1"/>
        <w:ind w:left="480" w:hanging="480"/>
        <w:jc w:val="both"/>
        <w:rPr>
          <w:lang w:val="en-US"/>
        </w:rPr>
      </w:pPr>
      <w:r w:rsidRPr="0047369C">
        <w:rPr>
          <w:lang w:val="en-US"/>
        </w:rPr>
        <w:t xml:space="preserve">Fornell, C., </w:t>
      </w:r>
      <w:r>
        <w:rPr>
          <w:lang w:val="en-US"/>
        </w:rPr>
        <w:t>and</w:t>
      </w:r>
      <w:r w:rsidRPr="0047369C">
        <w:rPr>
          <w:lang w:val="en-US"/>
        </w:rPr>
        <w:t xml:space="preserve"> Larcker, D. F. (1981). Evaluating structural equation models with unobservable variables and measurement error. </w:t>
      </w:r>
      <w:r w:rsidRPr="0047369C">
        <w:rPr>
          <w:i/>
          <w:iCs/>
          <w:lang w:val="en-US"/>
        </w:rPr>
        <w:t>Journal of Marketing Research</w:t>
      </w:r>
      <w:r w:rsidRPr="0047369C">
        <w:rPr>
          <w:lang w:val="en-US"/>
        </w:rPr>
        <w:t>, 39–50.</w:t>
      </w:r>
    </w:p>
    <w:p w14:paraId="45ED5816"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Glick, W. H. (1985). Conceptualizing and Measuring Organizational and Psychological Climate: Pitfalls in Multilevel Research. </w:t>
      </w:r>
      <w:r w:rsidRPr="0047369C">
        <w:rPr>
          <w:i/>
          <w:iCs/>
          <w:lang w:val="en-US"/>
        </w:rPr>
        <w:t>Academy of Management Review</w:t>
      </w:r>
      <w:r w:rsidRPr="0047369C">
        <w:rPr>
          <w:lang w:val="en-US"/>
        </w:rPr>
        <w:t xml:space="preserve">, </w:t>
      </w:r>
      <w:r w:rsidRPr="0047369C">
        <w:rPr>
          <w:i/>
          <w:iCs/>
          <w:lang w:val="en-US"/>
        </w:rPr>
        <w:t>10</w:t>
      </w:r>
      <w:r w:rsidRPr="0047369C">
        <w:rPr>
          <w:lang w:val="en-US"/>
        </w:rPr>
        <w:t>(3), 601–616.</w:t>
      </w:r>
    </w:p>
    <w:p w14:paraId="0FD02A51" w14:textId="1A90384B" w:rsidR="003473EA" w:rsidRDefault="003473EA" w:rsidP="003473EA">
      <w:pPr>
        <w:spacing w:before="100" w:beforeAutospacing="1" w:after="100" w:afterAutospacing="1"/>
        <w:ind w:left="480" w:hanging="480"/>
        <w:jc w:val="both"/>
        <w:rPr>
          <w:lang w:val="en-US"/>
        </w:rPr>
      </w:pPr>
      <w:r w:rsidRPr="003473EA">
        <w:rPr>
          <w:lang w:val="en-US"/>
        </w:rPr>
        <w:t xml:space="preserve">Gonzalez, J. A. and A. S. Denisi </w:t>
      </w:r>
      <w:r>
        <w:rPr>
          <w:lang w:val="en-US"/>
        </w:rPr>
        <w:t>(</w:t>
      </w:r>
      <w:r w:rsidRPr="003473EA">
        <w:rPr>
          <w:lang w:val="en-US"/>
        </w:rPr>
        <w:t>2009</w:t>
      </w:r>
      <w:r>
        <w:rPr>
          <w:lang w:val="en-US"/>
        </w:rPr>
        <w:t>).</w:t>
      </w:r>
      <w:r w:rsidRPr="003473EA">
        <w:rPr>
          <w:lang w:val="en-US"/>
        </w:rPr>
        <w:t xml:space="preserve"> “Cross-level effects of</w:t>
      </w:r>
      <w:r>
        <w:rPr>
          <w:lang w:val="en-US"/>
        </w:rPr>
        <w:t xml:space="preserve"> </w:t>
      </w:r>
      <w:r w:rsidRPr="003473EA">
        <w:rPr>
          <w:lang w:val="en-US"/>
        </w:rPr>
        <w:t>demography and diversity climate on organizational</w:t>
      </w:r>
      <w:r>
        <w:rPr>
          <w:lang w:val="en-US"/>
        </w:rPr>
        <w:t xml:space="preserve"> </w:t>
      </w:r>
      <w:r w:rsidRPr="003473EA">
        <w:rPr>
          <w:lang w:val="en-US"/>
        </w:rPr>
        <w:t xml:space="preserve">attachment and firm effectiveness”. </w:t>
      </w:r>
      <w:r w:rsidRPr="003473EA">
        <w:rPr>
          <w:i/>
          <w:lang w:val="en-US"/>
        </w:rPr>
        <w:t>Journal of Organizational Behavior</w:t>
      </w:r>
      <w:r w:rsidRPr="003473EA">
        <w:rPr>
          <w:lang w:val="en-US"/>
        </w:rPr>
        <w:t xml:space="preserve">, 30: 21–40. </w:t>
      </w:r>
    </w:p>
    <w:p w14:paraId="5A99A121" w14:textId="1F78062E" w:rsidR="003473EA" w:rsidRDefault="003473EA" w:rsidP="003473EA">
      <w:pPr>
        <w:spacing w:before="100" w:beforeAutospacing="1" w:after="100" w:afterAutospacing="1"/>
        <w:ind w:left="480" w:hanging="480"/>
        <w:jc w:val="both"/>
        <w:rPr>
          <w:lang w:val="en-US"/>
        </w:rPr>
      </w:pPr>
      <w:r w:rsidRPr="003473EA">
        <w:rPr>
          <w:lang w:val="en-US"/>
        </w:rPr>
        <w:t xml:space="preserve">Guchait, P., J. Madera and M. Dawson </w:t>
      </w:r>
      <w:r>
        <w:rPr>
          <w:lang w:val="en-US"/>
        </w:rPr>
        <w:t>(</w:t>
      </w:r>
      <w:r w:rsidRPr="003473EA">
        <w:rPr>
          <w:lang w:val="en-US"/>
        </w:rPr>
        <w:t>2016</w:t>
      </w:r>
      <w:r>
        <w:rPr>
          <w:lang w:val="en-US"/>
        </w:rPr>
        <w:t>).</w:t>
      </w:r>
      <w:r w:rsidRPr="003473EA">
        <w:rPr>
          <w:lang w:val="en-US"/>
        </w:rPr>
        <w:t xml:space="preserve"> “Learning in the</w:t>
      </w:r>
      <w:r>
        <w:rPr>
          <w:lang w:val="en-US"/>
        </w:rPr>
        <w:t xml:space="preserve"> </w:t>
      </w:r>
      <w:r w:rsidRPr="003473EA">
        <w:rPr>
          <w:lang w:val="en-US"/>
        </w:rPr>
        <w:t>service environment: the influence of diversity climate”.</w:t>
      </w:r>
      <w:r>
        <w:rPr>
          <w:lang w:val="en-US"/>
        </w:rPr>
        <w:t xml:space="preserve"> </w:t>
      </w:r>
      <w:r w:rsidRPr="003473EA">
        <w:rPr>
          <w:i/>
          <w:lang w:val="en-US"/>
        </w:rPr>
        <w:t>Journal of Service Theory and Practice</w:t>
      </w:r>
      <w:r w:rsidRPr="003473EA">
        <w:rPr>
          <w:lang w:val="en-US"/>
        </w:rPr>
        <w:t xml:space="preserve">, 26(4): 448–470. </w:t>
      </w:r>
    </w:p>
    <w:p w14:paraId="3D592A58" w14:textId="023F89E4" w:rsidR="000D4CF2" w:rsidRPr="0047369C" w:rsidRDefault="000D4CF2" w:rsidP="003473EA">
      <w:pPr>
        <w:spacing w:before="100" w:beforeAutospacing="1" w:after="100" w:afterAutospacing="1"/>
        <w:ind w:left="480" w:hanging="480"/>
        <w:jc w:val="both"/>
        <w:rPr>
          <w:lang w:val="en-US"/>
        </w:rPr>
      </w:pPr>
      <w:r w:rsidRPr="0047369C">
        <w:rPr>
          <w:lang w:val="en-US"/>
        </w:rPr>
        <w:t xml:space="preserve">Guzzo, R. A., Yost, P. R., Campbell, R. J., </w:t>
      </w:r>
      <w:r>
        <w:rPr>
          <w:lang w:val="en-US"/>
        </w:rPr>
        <w:t>and</w:t>
      </w:r>
      <w:r w:rsidRPr="0047369C">
        <w:rPr>
          <w:lang w:val="en-US"/>
        </w:rPr>
        <w:t xml:space="preserve"> Shea, G. P. (1993). Potency in groups: Articulating a construct. </w:t>
      </w:r>
      <w:r w:rsidRPr="0047369C">
        <w:rPr>
          <w:i/>
          <w:iCs/>
          <w:lang w:val="en-US"/>
        </w:rPr>
        <w:t>British Journal of Social Psychology</w:t>
      </w:r>
      <w:r w:rsidRPr="0047369C">
        <w:rPr>
          <w:lang w:val="en-US"/>
        </w:rPr>
        <w:t xml:space="preserve">, </w:t>
      </w:r>
      <w:r w:rsidRPr="0047369C">
        <w:rPr>
          <w:i/>
          <w:iCs/>
          <w:lang w:val="en-US"/>
        </w:rPr>
        <w:t>32</w:t>
      </w:r>
      <w:r w:rsidRPr="0047369C">
        <w:rPr>
          <w:lang w:val="en-US"/>
        </w:rPr>
        <w:t>(1), 87–106.</w:t>
      </w:r>
    </w:p>
    <w:p w14:paraId="75C8D29D" w14:textId="639EEBD4" w:rsidR="00840DAF" w:rsidRPr="00F52521" w:rsidRDefault="00840DAF" w:rsidP="00840DAF">
      <w:pPr>
        <w:spacing w:before="100" w:beforeAutospacing="1" w:after="100" w:afterAutospacing="1"/>
        <w:ind w:left="480" w:hanging="480"/>
        <w:rPr>
          <w:color w:val="222222"/>
          <w:lang w:val="en-US"/>
        </w:rPr>
      </w:pPr>
      <w:r w:rsidRPr="00F52521">
        <w:rPr>
          <w:color w:val="2A363B"/>
          <w:lang w:val="en-US"/>
        </w:rPr>
        <w:t>Hair, J. F., Hult, G. T. M., Ringle, C. M., and Sarstedt, M. (2017). 2nd Ed., Sage: Thousand Oaks.</w:t>
      </w:r>
    </w:p>
    <w:p w14:paraId="20BA5075" w14:textId="77777777" w:rsidR="000D4CF2" w:rsidRDefault="000D4CF2" w:rsidP="000D4CF2">
      <w:pPr>
        <w:spacing w:before="100" w:beforeAutospacing="1" w:after="100" w:afterAutospacing="1"/>
        <w:ind w:left="480" w:hanging="480"/>
        <w:jc w:val="both"/>
        <w:rPr>
          <w:lang w:val="en-US"/>
        </w:rPr>
      </w:pPr>
      <w:r w:rsidRPr="00AF3C3E">
        <w:rPr>
          <w:lang w:val="en-US"/>
        </w:rPr>
        <w:lastRenderedPageBreak/>
        <w:t xml:space="preserve">Hair, J. F., Ringle, C. M., &amp; Sarstedt, M. (2011). PLS-SEM: Indeed a Silver Bullet. </w:t>
      </w:r>
      <w:r w:rsidRPr="00AF3C3E">
        <w:rPr>
          <w:i/>
          <w:iCs/>
          <w:lang w:val="en-US"/>
        </w:rPr>
        <w:t>The Journal of Marketing Theory and Practice</w:t>
      </w:r>
      <w:r w:rsidRPr="00AF3C3E">
        <w:rPr>
          <w:lang w:val="en-US"/>
        </w:rPr>
        <w:t xml:space="preserve">, </w:t>
      </w:r>
      <w:r w:rsidRPr="00AF3C3E">
        <w:rPr>
          <w:i/>
          <w:iCs/>
          <w:lang w:val="en-US"/>
        </w:rPr>
        <w:t>19</w:t>
      </w:r>
      <w:r w:rsidRPr="00AF3C3E">
        <w:rPr>
          <w:lang w:val="en-US"/>
        </w:rPr>
        <w:t xml:space="preserve">(2), 139–152. </w:t>
      </w:r>
    </w:p>
    <w:p w14:paraId="26AD4DDB"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Herring, C. (2009). Does diversity pay? Race, gender, and the business case for diversity. </w:t>
      </w:r>
      <w:r w:rsidRPr="0047369C">
        <w:rPr>
          <w:i/>
          <w:iCs/>
          <w:lang w:val="en-US"/>
        </w:rPr>
        <w:t>American Sociological Review</w:t>
      </w:r>
      <w:r w:rsidRPr="0047369C">
        <w:rPr>
          <w:lang w:val="en-US"/>
        </w:rPr>
        <w:t xml:space="preserve">, </w:t>
      </w:r>
      <w:r w:rsidRPr="0047369C">
        <w:rPr>
          <w:i/>
          <w:iCs/>
          <w:lang w:val="en-US"/>
        </w:rPr>
        <w:t>74</w:t>
      </w:r>
      <w:r w:rsidRPr="0047369C">
        <w:rPr>
          <w:lang w:val="en-US"/>
        </w:rPr>
        <w:t>, 208–224.</w:t>
      </w:r>
    </w:p>
    <w:p w14:paraId="5937EF4F" w14:textId="66DE4DC9" w:rsidR="003473EA" w:rsidRDefault="003473EA" w:rsidP="003473EA">
      <w:pPr>
        <w:spacing w:before="100" w:beforeAutospacing="1" w:after="100" w:afterAutospacing="1"/>
        <w:ind w:left="480" w:hanging="480"/>
        <w:jc w:val="both"/>
        <w:rPr>
          <w:lang w:val="en-US"/>
        </w:rPr>
      </w:pPr>
      <w:r w:rsidRPr="003473EA">
        <w:rPr>
          <w:lang w:val="en-US"/>
        </w:rPr>
        <w:t xml:space="preserve">Hicks-Clarke, D. and P. Iles </w:t>
      </w:r>
      <w:r>
        <w:rPr>
          <w:lang w:val="en-US"/>
        </w:rPr>
        <w:t>(</w:t>
      </w:r>
      <w:r w:rsidRPr="003473EA">
        <w:rPr>
          <w:lang w:val="en-US"/>
        </w:rPr>
        <w:t>2000</w:t>
      </w:r>
      <w:r>
        <w:rPr>
          <w:lang w:val="en-US"/>
        </w:rPr>
        <w:t>).</w:t>
      </w:r>
      <w:r w:rsidRPr="003473EA">
        <w:rPr>
          <w:lang w:val="en-US"/>
        </w:rPr>
        <w:t xml:space="preserve"> “Climate for diversity and its</w:t>
      </w:r>
      <w:r>
        <w:rPr>
          <w:lang w:val="en-US"/>
        </w:rPr>
        <w:t xml:space="preserve"> </w:t>
      </w:r>
      <w:r w:rsidRPr="003473EA">
        <w:rPr>
          <w:lang w:val="en-US"/>
        </w:rPr>
        <w:t>effects on career and organisational attitudes and perceptions”.</w:t>
      </w:r>
      <w:r>
        <w:rPr>
          <w:lang w:val="en-US"/>
        </w:rPr>
        <w:t xml:space="preserve"> </w:t>
      </w:r>
      <w:r w:rsidRPr="003473EA">
        <w:rPr>
          <w:i/>
          <w:lang w:val="en-US"/>
        </w:rPr>
        <w:t>Personnel Review</w:t>
      </w:r>
      <w:r w:rsidRPr="003473EA">
        <w:rPr>
          <w:lang w:val="en-US"/>
        </w:rPr>
        <w:t xml:space="preserve">, 29: 324–345. </w:t>
      </w:r>
    </w:p>
    <w:p w14:paraId="2E1323DC" w14:textId="77777777" w:rsidR="00B44554" w:rsidRDefault="00B44554" w:rsidP="000D4CF2">
      <w:pPr>
        <w:spacing w:before="100" w:beforeAutospacing="1" w:after="100" w:afterAutospacing="1"/>
        <w:ind w:left="480" w:hanging="480"/>
        <w:jc w:val="both"/>
        <w:rPr>
          <w:lang w:val="en-US"/>
        </w:rPr>
      </w:pPr>
      <w:r w:rsidRPr="00B44554">
        <w:rPr>
          <w:lang w:val="en-US"/>
        </w:rPr>
        <w:t xml:space="preserve">Hobman, E. V., Bordia, P., &amp; Gallois, C. (2004). Perceived dissimilarity and work group involvement: The moderating effects of group openness to diversity. </w:t>
      </w:r>
      <w:r w:rsidRPr="0053329E">
        <w:rPr>
          <w:i/>
          <w:lang w:val="en-US"/>
        </w:rPr>
        <w:t>Group &amp; Organization Management</w:t>
      </w:r>
      <w:r w:rsidRPr="00B44554">
        <w:rPr>
          <w:lang w:val="en-US"/>
        </w:rPr>
        <w:t>, 29(5), 560-587.</w:t>
      </w:r>
    </w:p>
    <w:p w14:paraId="3140A493" w14:textId="00393782" w:rsidR="000D4CF2" w:rsidRDefault="000D4CF2" w:rsidP="000D4CF2">
      <w:pPr>
        <w:spacing w:before="100" w:beforeAutospacing="1" w:after="100" w:afterAutospacing="1"/>
        <w:ind w:left="480" w:hanging="480"/>
        <w:jc w:val="both"/>
        <w:rPr>
          <w:lang w:val="en-US"/>
        </w:rPr>
      </w:pPr>
      <w:r w:rsidRPr="00803527">
        <w:rPr>
          <w:lang w:val="en-US"/>
        </w:rPr>
        <w:t xml:space="preserve">Hooper, D., Coughlan, J., &amp; Mullen, M. (2008). </w:t>
      </w:r>
      <w:r w:rsidRPr="00803527">
        <w:rPr>
          <w:i/>
          <w:lang w:val="en-US"/>
        </w:rPr>
        <w:t>Structural equation modelling: Guidelines for determining model fit</w:t>
      </w:r>
      <w:r w:rsidRPr="00803527">
        <w:rPr>
          <w:lang w:val="en-US"/>
        </w:rPr>
        <w:t>. Articles, 2.</w:t>
      </w:r>
    </w:p>
    <w:p w14:paraId="17F65BD8"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Hopkins, W. E., Hopkins, S. A., </w:t>
      </w:r>
      <w:r>
        <w:rPr>
          <w:lang w:val="en-US"/>
        </w:rPr>
        <w:t>and</w:t>
      </w:r>
      <w:r w:rsidRPr="0047369C">
        <w:rPr>
          <w:lang w:val="en-US"/>
        </w:rPr>
        <w:t xml:space="preserve"> Mallette, P. (2001). Diversity and managerial value commitment: A test of some proposed relationships. </w:t>
      </w:r>
      <w:r w:rsidRPr="0047369C">
        <w:rPr>
          <w:i/>
          <w:iCs/>
          <w:lang w:val="en-US"/>
        </w:rPr>
        <w:t>Journal of Managerial Issues</w:t>
      </w:r>
      <w:r w:rsidRPr="0047369C">
        <w:rPr>
          <w:lang w:val="en-US"/>
        </w:rPr>
        <w:t xml:space="preserve">, </w:t>
      </w:r>
      <w:r w:rsidRPr="0047369C">
        <w:rPr>
          <w:i/>
          <w:iCs/>
          <w:lang w:val="en-US"/>
        </w:rPr>
        <w:t>13</w:t>
      </w:r>
      <w:r w:rsidRPr="0047369C">
        <w:rPr>
          <w:lang w:val="en-US"/>
        </w:rPr>
        <w:t>(3), 288–306.</w:t>
      </w:r>
    </w:p>
    <w:p w14:paraId="612E3489" w14:textId="77777777" w:rsidR="000D4CF2" w:rsidRPr="001A082F" w:rsidRDefault="000D4CF2" w:rsidP="000D4CF2">
      <w:pPr>
        <w:spacing w:before="100" w:beforeAutospacing="1" w:after="100" w:afterAutospacing="1"/>
        <w:ind w:left="480" w:hanging="480"/>
        <w:jc w:val="both"/>
        <w:rPr>
          <w:lang w:val="en-US"/>
        </w:rPr>
      </w:pPr>
      <w:r w:rsidRPr="0047369C">
        <w:rPr>
          <w:lang w:val="en-US"/>
        </w:rPr>
        <w:t xml:space="preserve">Hox, J. (2010). </w:t>
      </w:r>
      <w:r w:rsidRPr="0047369C">
        <w:rPr>
          <w:i/>
          <w:iCs/>
          <w:lang w:val="en-US"/>
        </w:rPr>
        <w:t>Multilevel analysis: Techniques and applications</w:t>
      </w:r>
      <w:r w:rsidRPr="0047369C">
        <w:rPr>
          <w:lang w:val="en-US"/>
        </w:rPr>
        <w:t xml:space="preserve">. (Routledge, Ed.) (2nd ed.). </w:t>
      </w:r>
      <w:r w:rsidRPr="001A082F">
        <w:rPr>
          <w:lang w:val="en-US"/>
        </w:rPr>
        <w:t>New York, NY.</w:t>
      </w:r>
    </w:p>
    <w:p w14:paraId="24DA3F41"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Katz, D., </w:t>
      </w:r>
      <w:r>
        <w:rPr>
          <w:lang w:val="en-US"/>
        </w:rPr>
        <w:t>and</w:t>
      </w:r>
      <w:r w:rsidRPr="0047369C">
        <w:rPr>
          <w:lang w:val="en-US"/>
        </w:rPr>
        <w:t xml:space="preserve"> Kahn, R. L. (1978). </w:t>
      </w:r>
      <w:r w:rsidRPr="0047369C">
        <w:rPr>
          <w:i/>
          <w:iCs/>
          <w:lang w:val="en-US"/>
        </w:rPr>
        <w:t>The Social Psychology of Organizations</w:t>
      </w:r>
      <w:r w:rsidRPr="0047369C">
        <w:rPr>
          <w:lang w:val="en-US"/>
        </w:rPr>
        <w:t xml:space="preserve">. </w:t>
      </w:r>
      <w:r w:rsidRPr="008F06C9">
        <w:rPr>
          <w:lang w:val="en-US"/>
        </w:rPr>
        <w:t>(Vol. 2, p. 528). New York: Wiley.</w:t>
      </w:r>
    </w:p>
    <w:p w14:paraId="63B96D6A"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Klein, K. J., </w:t>
      </w:r>
      <w:r>
        <w:rPr>
          <w:lang w:val="en-US"/>
        </w:rPr>
        <w:t>and</w:t>
      </w:r>
      <w:r w:rsidRPr="0047369C">
        <w:rPr>
          <w:lang w:val="en-US"/>
        </w:rPr>
        <w:t xml:space="preserve"> Kozlowski, S. W. (2000). </w:t>
      </w:r>
      <w:r w:rsidRPr="0047369C">
        <w:rPr>
          <w:i/>
          <w:iCs/>
          <w:lang w:val="en-US"/>
        </w:rPr>
        <w:t>Multilevel theory, research, and methods in organizations: Foundations, extensions, and new directions.</w:t>
      </w:r>
      <w:r w:rsidRPr="0047369C">
        <w:rPr>
          <w:lang w:val="en-US"/>
        </w:rPr>
        <w:t xml:space="preserve"> (Jossey-Bas, Ed.).</w:t>
      </w:r>
    </w:p>
    <w:p w14:paraId="5BA75C50"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Kline, P. (2013). </w:t>
      </w:r>
      <w:r w:rsidRPr="0047369C">
        <w:rPr>
          <w:i/>
          <w:iCs/>
          <w:lang w:val="en-US"/>
        </w:rPr>
        <w:t>Handbook of psychological testing.</w:t>
      </w:r>
      <w:r w:rsidRPr="0047369C">
        <w:rPr>
          <w:lang w:val="en-US"/>
        </w:rPr>
        <w:t xml:space="preserve"> (Routledge., Ed.).</w:t>
      </w:r>
    </w:p>
    <w:p w14:paraId="3337BAEF" w14:textId="77777777" w:rsidR="007E2785" w:rsidRDefault="007E2785" w:rsidP="007E2785">
      <w:pPr>
        <w:spacing w:before="100" w:beforeAutospacing="1" w:after="100" w:afterAutospacing="1"/>
        <w:ind w:left="480" w:hanging="480"/>
        <w:jc w:val="both"/>
        <w:rPr>
          <w:lang w:val="en-US"/>
        </w:rPr>
      </w:pPr>
      <w:r w:rsidRPr="007E2785">
        <w:rPr>
          <w:lang w:val="en-US"/>
        </w:rPr>
        <w:t>Kopelman, R. E., A. P. Brief and R. A. Guzzo, 1990, “The role</w:t>
      </w:r>
      <w:r>
        <w:rPr>
          <w:lang w:val="en-US"/>
        </w:rPr>
        <w:t xml:space="preserve"> </w:t>
      </w:r>
      <w:r w:rsidRPr="007E2785">
        <w:rPr>
          <w:lang w:val="en-US"/>
        </w:rPr>
        <w:t xml:space="preserve">of climate and culture in productivity”. </w:t>
      </w:r>
      <w:r w:rsidRPr="007E2785">
        <w:rPr>
          <w:i/>
          <w:lang w:val="en-US"/>
        </w:rPr>
        <w:t>Organizational Climate and Culture</w:t>
      </w:r>
      <w:r w:rsidRPr="007E2785">
        <w:rPr>
          <w:lang w:val="en-US"/>
        </w:rPr>
        <w:t xml:space="preserve">, 282–318. </w:t>
      </w:r>
    </w:p>
    <w:p w14:paraId="3E8D5CFA" w14:textId="01765216" w:rsidR="000D4CF2" w:rsidRPr="0047369C" w:rsidRDefault="000D4CF2" w:rsidP="007E2785">
      <w:pPr>
        <w:spacing w:before="100" w:beforeAutospacing="1" w:after="100" w:afterAutospacing="1"/>
        <w:ind w:left="480" w:hanging="480"/>
        <w:jc w:val="both"/>
        <w:rPr>
          <w:lang w:val="en-US"/>
        </w:rPr>
      </w:pPr>
      <w:r w:rsidRPr="00EC25CF">
        <w:rPr>
          <w:lang w:val="en-US"/>
        </w:rPr>
        <w:t xml:space="preserve">Kossek, E. E., and Zonia, S. C. (1993). </w:t>
      </w:r>
      <w:r w:rsidRPr="0047369C">
        <w:rPr>
          <w:lang w:val="en-US"/>
        </w:rPr>
        <w:t xml:space="preserve">Assessing </w:t>
      </w:r>
      <w:r>
        <w:rPr>
          <w:lang w:val="en-US"/>
        </w:rPr>
        <w:t>diversity climate</w:t>
      </w:r>
      <w:r w:rsidRPr="0047369C">
        <w:rPr>
          <w:lang w:val="en-US"/>
        </w:rPr>
        <w:t xml:space="preserve">: A field study of reactions to employer efforts to promote diversity. </w:t>
      </w:r>
      <w:r w:rsidRPr="0047369C">
        <w:rPr>
          <w:i/>
          <w:iCs/>
          <w:lang w:val="en-US"/>
        </w:rPr>
        <w:t>Journal of Organizational Behavior</w:t>
      </w:r>
      <w:r w:rsidRPr="0047369C">
        <w:rPr>
          <w:lang w:val="en-US"/>
        </w:rPr>
        <w:t xml:space="preserve">, </w:t>
      </w:r>
      <w:r w:rsidRPr="0047369C">
        <w:rPr>
          <w:i/>
          <w:iCs/>
          <w:lang w:val="en-US"/>
        </w:rPr>
        <w:t>14</w:t>
      </w:r>
      <w:r w:rsidRPr="0047369C">
        <w:rPr>
          <w:lang w:val="en-US"/>
        </w:rPr>
        <w:t xml:space="preserve">(1), 61–81. </w:t>
      </w:r>
    </w:p>
    <w:p w14:paraId="5034BC95" w14:textId="77777777" w:rsidR="000D4CF2" w:rsidRPr="0047369C" w:rsidRDefault="000D4CF2" w:rsidP="000D4CF2">
      <w:pPr>
        <w:spacing w:before="100" w:beforeAutospacing="1" w:after="100" w:afterAutospacing="1"/>
        <w:ind w:left="480" w:hanging="480"/>
        <w:jc w:val="both"/>
        <w:rPr>
          <w:lang w:val="en-US"/>
        </w:rPr>
      </w:pPr>
      <w:r w:rsidRPr="0047369C">
        <w:rPr>
          <w:lang w:val="en-US"/>
        </w:rPr>
        <w:t>Kossek, E</w:t>
      </w:r>
      <w:r>
        <w:rPr>
          <w:lang w:val="en-US"/>
        </w:rPr>
        <w:t>.</w:t>
      </w:r>
      <w:r w:rsidRPr="0047369C">
        <w:rPr>
          <w:lang w:val="en-US"/>
        </w:rPr>
        <w:t xml:space="preserve"> E., Markel, K. S., </w:t>
      </w:r>
      <w:r>
        <w:rPr>
          <w:lang w:val="en-US"/>
        </w:rPr>
        <w:t>and</w:t>
      </w:r>
      <w:r w:rsidRPr="0047369C">
        <w:rPr>
          <w:lang w:val="en-US"/>
        </w:rPr>
        <w:t xml:space="preserve"> McHugh, P. P. (2003). Increasing diversity as an HRM change strategy. </w:t>
      </w:r>
      <w:r w:rsidRPr="0047369C">
        <w:rPr>
          <w:i/>
          <w:iCs/>
          <w:lang w:val="en-US"/>
        </w:rPr>
        <w:t>Journal of Organizational Change Management</w:t>
      </w:r>
      <w:r w:rsidRPr="0047369C">
        <w:rPr>
          <w:lang w:val="en-US"/>
        </w:rPr>
        <w:t xml:space="preserve">, </w:t>
      </w:r>
      <w:r w:rsidRPr="0047369C">
        <w:rPr>
          <w:i/>
          <w:iCs/>
          <w:lang w:val="en-US"/>
        </w:rPr>
        <w:t>16</w:t>
      </w:r>
      <w:r w:rsidRPr="0047369C">
        <w:rPr>
          <w:lang w:val="en-US"/>
        </w:rPr>
        <w:t>(3), 328–352.</w:t>
      </w:r>
    </w:p>
    <w:p w14:paraId="08BD0E00" w14:textId="77777777" w:rsidR="00D72940" w:rsidRDefault="00D72940" w:rsidP="000D4CF2">
      <w:pPr>
        <w:spacing w:before="100" w:beforeAutospacing="1" w:after="100" w:afterAutospacing="1"/>
        <w:ind w:left="480" w:hanging="480"/>
        <w:jc w:val="both"/>
        <w:rPr>
          <w:lang w:val="en-US"/>
        </w:rPr>
      </w:pPr>
      <w:r w:rsidRPr="00D72940">
        <w:rPr>
          <w:lang w:val="en-US"/>
        </w:rPr>
        <w:t xml:space="preserve">Kulik, C. T. (2014). Working below and above the line: the research–practice gap in diversity management. </w:t>
      </w:r>
      <w:r w:rsidRPr="00D72940">
        <w:rPr>
          <w:i/>
          <w:lang w:val="en-US"/>
        </w:rPr>
        <w:t>Human Resource Management Journal</w:t>
      </w:r>
      <w:r w:rsidRPr="00D72940">
        <w:rPr>
          <w:lang w:val="en-US"/>
        </w:rPr>
        <w:t>, 24(2), 129-144.</w:t>
      </w:r>
    </w:p>
    <w:p w14:paraId="12339133" w14:textId="46A02520" w:rsidR="000D4CF2" w:rsidRPr="0047369C" w:rsidRDefault="000D4CF2" w:rsidP="000D4CF2">
      <w:pPr>
        <w:spacing w:before="100" w:beforeAutospacing="1" w:after="100" w:afterAutospacing="1"/>
        <w:ind w:left="480" w:hanging="480"/>
        <w:jc w:val="both"/>
        <w:rPr>
          <w:lang w:val="en-US"/>
        </w:rPr>
      </w:pPr>
      <w:r w:rsidRPr="0047369C">
        <w:rPr>
          <w:lang w:val="en-US"/>
        </w:rPr>
        <w:t xml:space="preserve">Law, K. S., Wong, C. S., </w:t>
      </w:r>
      <w:r>
        <w:rPr>
          <w:lang w:val="en-US"/>
        </w:rPr>
        <w:t>and</w:t>
      </w:r>
      <w:r w:rsidRPr="0047369C">
        <w:rPr>
          <w:lang w:val="en-US"/>
        </w:rPr>
        <w:t xml:space="preserve"> Mobley, W. M. (1998). Toward a taxonomy of multidimensional construct. </w:t>
      </w:r>
      <w:r w:rsidRPr="0047369C">
        <w:rPr>
          <w:i/>
          <w:iCs/>
          <w:lang w:val="en-US"/>
        </w:rPr>
        <w:t>Academy of Management Review</w:t>
      </w:r>
      <w:r w:rsidRPr="0047369C">
        <w:rPr>
          <w:lang w:val="en-US"/>
        </w:rPr>
        <w:t xml:space="preserve">, </w:t>
      </w:r>
      <w:r w:rsidRPr="0047369C">
        <w:rPr>
          <w:i/>
          <w:iCs/>
          <w:lang w:val="en-US"/>
        </w:rPr>
        <w:t>23</w:t>
      </w:r>
      <w:r w:rsidRPr="0047369C">
        <w:rPr>
          <w:lang w:val="en-US"/>
        </w:rPr>
        <w:t>(4), 741–755.</w:t>
      </w:r>
    </w:p>
    <w:p w14:paraId="5F5608AC" w14:textId="77777777" w:rsidR="000D4CF2" w:rsidRPr="0047369C" w:rsidRDefault="000D4CF2" w:rsidP="000D4CF2">
      <w:pPr>
        <w:spacing w:before="100" w:beforeAutospacing="1" w:after="100" w:afterAutospacing="1"/>
        <w:ind w:left="480" w:hanging="480"/>
        <w:jc w:val="both"/>
        <w:rPr>
          <w:lang w:val="en-US"/>
        </w:rPr>
      </w:pPr>
      <w:r w:rsidRPr="0047369C">
        <w:rPr>
          <w:lang w:val="en-US"/>
        </w:rPr>
        <w:t>LeBreton, J</w:t>
      </w:r>
      <w:r>
        <w:rPr>
          <w:lang w:val="en-US"/>
        </w:rPr>
        <w:t>.</w:t>
      </w:r>
      <w:r w:rsidRPr="0047369C">
        <w:rPr>
          <w:lang w:val="en-US"/>
        </w:rPr>
        <w:t xml:space="preserve"> M., </w:t>
      </w:r>
      <w:r>
        <w:rPr>
          <w:lang w:val="en-US"/>
        </w:rPr>
        <w:t>and</w:t>
      </w:r>
      <w:r w:rsidRPr="0047369C">
        <w:rPr>
          <w:lang w:val="en-US"/>
        </w:rPr>
        <w:t xml:space="preserve"> Senter, J</w:t>
      </w:r>
      <w:r>
        <w:rPr>
          <w:lang w:val="en-US"/>
        </w:rPr>
        <w:t>.</w:t>
      </w:r>
      <w:r w:rsidRPr="0047369C">
        <w:rPr>
          <w:lang w:val="en-US"/>
        </w:rPr>
        <w:t xml:space="preserve"> L. (2008). Answers to 20 </w:t>
      </w:r>
      <w:r>
        <w:rPr>
          <w:lang w:val="en-US"/>
        </w:rPr>
        <w:t>q</w:t>
      </w:r>
      <w:r w:rsidRPr="0047369C">
        <w:rPr>
          <w:lang w:val="en-US"/>
        </w:rPr>
        <w:t xml:space="preserve">uestions about interrater reliability and interrater agreement. </w:t>
      </w:r>
      <w:r w:rsidRPr="0047369C">
        <w:rPr>
          <w:i/>
          <w:iCs/>
          <w:lang w:val="en-US"/>
        </w:rPr>
        <w:t>Organizational Research Methods</w:t>
      </w:r>
      <w:r w:rsidRPr="0047369C">
        <w:rPr>
          <w:lang w:val="en-US"/>
        </w:rPr>
        <w:t xml:space="preserve">, </w:t>
      </w:r>
      <w:r w:rsidRPr="0047369C">
        <w:rPr>
          <w:i/>
          <w:iCs/>
          <w:lang w:val="en-US"/>
        </w:rPr>
        <w:t>11</w:t>
      </w:r>
      <w:r w:rsidRPr="0047369C">
        <w:rPr>
          <w:lang w:val="en-US"/>
        </w:rPr>
        <w:t xml:space="preserve">(4), 815–852. </w:t>
      </w:r>
    </w:p>
    <w:p w14:paraId="0297A2B4" w14:textId="77777777" w:rsidR="000D4CF2" w:rsidRPr="0047369C" w:rsidRDefault="000D4CF2" w:rsidP="000D4CF2">
      <w:pPr>
        <w:spacing w:before="100" w:beforeAutospacing="1" w:after="100" w:afterAutospacing="1"/>
        <w:ind w:left="480" w:hanging="480"/>
        <w:jc w:val="both"/>
        <w:rPr>
          <w:lang w:val="en-US"/>
        </w:rPr>
      </w:pPr>
      <w:r w:rsidRPr="0047369C">
        <w:rPr>
          <w:lang w:val="en-US"/>
        </w:rPr>
        <w:lastRenderedPageBreak/>
        <w:t xml:space="preserve">Mackenzie, S. B., Podsakoff, P. M., </w:t>
      </w:r>
      <w:r>
        <w:rPr>
          <w:lang w:val="en-US"/>
        </w:rPr>
        <w:t>and</w:t>
      </w:r>
      <w:r w:rsidRPr="0047369C">
        <w:rPr>
          <w:lang w:val="en-US"/>
        </w:rPr>
        <w:t xml:space="preserve"> Podsakoff, N. P. (2011). Construct measurement and validation procedures in MIS and behavioral research: Integrating new and existing techniques. </w:t>
      </w:r>
      <w:r w:rsidRPr="0047369C">
        <w:rPr>
          <w:i/>
          <w:iCs/>
          <w:lang w:val="en-US"/>
        </w:rPr>
        <w:t>MIS Quarterly</w:t>
      </w:r>
      <w:r w:rsidRPr="0047369C">
        <w:rPr>
          <w:lang w:val="en-US"/>
        </w:rPr>
        <w:t xml:space="preserve">, </w:t>
      </w:r>
      <w:r w:rsidRPr="0047369C">
        <w:rPr>
          <w:i/>
          <w:iCs/>
          <w:lang w:val="en-US"/>
        </w:rPr>
        <w:t>35</w:t>
      </w:r>
      <w:r w:rsidRPr="0047369C">
        <w:rPr>
          <w:lang w:val="en-US"/>
        </w:rPr>
        <w:t xml:space="preserve">(2), 293–334. </w:t>
      </w:r>
    </w:p>
    <w:p w14:paraId="24AEBF0B" w14:textId="7BCA0D56" w:rsidR="003B20F9" w:rsidRDefault="003B20F9" w:rsidP="003B20F9">
      <w:pPr>
        <w:spacing w:before="100" w:beforeAutospacing="1" w:after="100" w:afterAutospacing="1"/>
        <w:ind w:left="480" w:hanging="480"/>
        <w:jc w:val="both"/>
        <w:rPr>
          <w:lang w:val="en-US"/>
        </w:rPr>
      </w:pPr>
      <w:r w:rsidRPr="003B20F9">
        <w:rPr>
          <w:lang w:val="en-US"/>
        </w:rPr>
        <w:t xml:space="preserve">Madera, J. M., M. Dawson and J. A. Neal </w:t>
      </w:r>
      <w:r>
        <w:rPr>
          <w:lang w:val="en-US"/>
        </w:rPr>
        <w:t>(</w:t>
      </w:r>
      <w:r w:rsidRPr="003B20F9">
        <w:rPr>
          <w:lang w:val="en-US"/>
        </w:rPr>
        <w:t>2013</w:t>
      </w:r>
      <w:r>
        <w:rPr>
          <w:lang w:val="en-US"/>
        </w:rPr>
        <w:t>).</w:t>
      </w:r>
      <w:r w:rsidRPr="003B20F9">
        <w:rPr>
          <w:lang w:val="en-US"/>
        </w:rPr>
        <w:t xml:space="preserve"> “Hotel</w:t>
      </w:r>
      <w:r>
        <w:rPr>
          <w:lang w:val="en-US"/>
        </w:rPr>
        <w:t xml:space="preserve"> </w:t>
      </w:r>
      <w:r w:rsidRPr="003B20F9">
        <w:rPr>
          <w:lang w:val="en-US"/>
        </w:rPr>
        <w:t>managers’ perceived diversity climate and job satisfaction:</w:t>
      </w:r>
      <w:r>
        <w:rPr>
          <w:lang w:val="en-US"/>
        </w:rPr>
        <w:t xml:space="preserve"> </w:t>
      </w:r>
      <w:r w:rsidRPr="003B20F9">
        <w:rPr>
          <w:lang w:val="en-US"/>
        </w:rPr>
        <w:t>The mediating effects of role ambiguity and conflict”.</w:t>
      </w:r>
      <w:r>
        <w:rPr>
          <w:lang w:val="en-US"/>
        </w:rPr>
        <w:t xml:space="preserve"> </w:t>
      </w:r>
      <w:r w:rsidRPr="003B20F9">
        <w:rPr>
          <w:i/>
          <w:lang w:val="en-US"/>
        </w:rPr>
        <w:t>International Journal of Hospitality Management</w:t>
      </w:r>
      <w:r w:rsidRPr="003B20F9">
        <w:rPr>
          <w:lang w:val="en-US"/>
        </w:rPr>
        <w:t xml:space="preserve">, 35: 28–34. </w:t>
      </w:r>
    </w:p>
    <w:p w14:paraId="0E497C4E" w14:textId="7416AB18" w:rsidR="000D4CF2" w:rsidRPr="0047369C" w:rsidRDefault="000D4CF2" w:rsidP="003B20F9">
      <w:pPr>
        <w:spacing w:before="100" w:beforeAutospacing="1" w:after="100" w:afterAutospacing="1"/>
        <w:ind w:left="480" w:hanging="480"/>
        <w:jc w:val="both"/>
        <w:rPr>
          <w:lang w:val="en-US"/>
        </w:rPr>
      </w:pPr>
      <w:r w:rsidRPr="0047369C">
        <w:rPr>
          <w:lang w:val="en-US"/>
        </w:rPr>
        <w:t xml:space="preserve">McKay, P. F., </w:t>
      </w:r>
      <w:r>
        <w:rPr>
          <w:lang w:val="en-US"/>
        </w:rPr>
        <w:t>and</w:t>
      </w:r>
      <w:r w:rsidRPr="0047369C">
        <w:rPr>
          <w:lang w:val="en-US"/>
        </w:rPr>
        <w:t xml:space="preserve"> Avery, D. R. (2015). </w:t>
      </w:r>
      <w:r>
        <w:rPr>
          <w:lang w:val="en-US"/>
        </w:rPr>
        <w:t>Diversity climate</w:t>
      </w:r>
      <w:r w:rsidRPr="0047369C">
        <w:rPr>
          <w:lang w:val="en-US"/>
        </w:rPr>
        <w:t xml:space="preserve"> in Organizations: Current Wisdom and Domains of Uncertainty. </w:t>
      </w:r>
      <w:r w:rsidRPr="0047369C">
        <w:rPr>
          <w:i/>
          <w:iCs/>
          <w:lang w:val="en-US"/>
        </w:rPr>
        <w:t>Research in Personnel and Human Resources</w:t>
      </w:r>
      <w:r w:rsidRPr="0047369C">
        <w:rPr>
          <w:lang w:val="en-US"/>
        </w:rPr>
        <w:t xml:space="preserve">, </w:t>
      </w:r>
      <w:r w:rsidRPr="0047369C">
        <w:rPr>
          <w:i/>
          <w:iCs/>
          <w:lang w:val="en-US"/>
        </w:rPr>
        <w:t>33</w:t>
      </w:r>
      <w:r w:rsidRPr="0047369C">
        <w:rPr>
          <w:lang w:val="en-US"/>
        </w:rPr>
        <w:t>, 191–233.</w:t>
      </w:r>
    </w:p>
    <w:p w14:paraId="3131F4EF" w14:textId="5B3FB632" w:rsidR="00A71658" w:rsidRDefault="00A71658" w:rsidP="000D4CF2">
      <w:pPr>
        <w:spacing w:before="100" w:beforeAutospacing="1" w:after="100" w:afterAutospacing="1"/>
        <w:ind w:left="480" w:hanging="480"/>
        <w:jc w:val="both"/>
        <w:rPr>
          <w:lang w:val="en-US"/>
        </w:rPr>
      </w:pPr>
      <w:r w:rsidRPr="00A71658">
        <w:rPr>
          <w:lang w:val="en-US"/>
        </w:rPr>
        <w:t xml:space="preserve">McKay, P. F., Avery, D. R., &amp; Morris, M. A. (2009). A Tale of Two Climates: Diversity Climate from Subordinates’ and Managers’ Perspectives and their Role in Store Unit Sales Performance. </w:t>
      </w:r>
      <w:r w:rsidRPr="00A71658">
        <w:rPr>
          <w:i/>
          <w:lang w:val="en-US"/>
        </w:rPr>
        <w:t>Personnel Psychology</w:t>
      </w:r>
      <w:r w:rsidRPr="00A71658">
        <w:rPr>
          <w:lang w:val="en-US"/>
        </w:rPr>
        <w:t>, 62(4), 767-791.</w:t>
      </w:r>
    </w:p>
    <w:p w14:paraId="3432768F" w14:textId="5C1F2096" w:rsidR="000D4CF2" w:rsidRPr="0047369C" w:rsidRDefault="000D4CF2" w:rsidP="000D4CF2">
      <w:pPr>
        <w:spacing w:before="100" w:beforeAutospacing="1" w:after="100" w:afterAutospacing="1"/>
        <w:ind w:left="480" w:hanging="480"/>
        <w:jc w:val="both"/>
        <w:rPr>
          <w:lang w:val="en-US"/>
        </w:rPr>
      </w:pPr>
      <w:r w:rsidRPr="0047369C">
        <w:rPr>
          <w:lang w:val="en-US"/>
        </w:rPr>
        <w:t xml:space="preserve">McKay, P. F., Avery, D. R., </w:t>
      </w:r>
      <w:r>
        <w:rPr>
          <w:lang w:val="en-US"/>
        </w:rPr>
        <w:t>and</w:t>
      </w:r>
      <w:r w:rsidRPr="0047369C">
        <w:rPr>
          <w:lang w:val="en-US"/>
        </w:rPr>
        <w:t xml:space="preserve"> Morris, M. A. (2008). Mean racial‐ethnic differences in employee sales performance: The moderating role of </w:t>
      </w:r>
      <w:r>
        <w:rPr>
          <w:lang w:val="en-US"/>
        </w:rPr>
        <w:t>diversity climate</w:t>
      </w:r>
      <w:r w:rsidRPr="0047369C">
        <w:rPr>
          <w:lang w:val="en-US"/>
        </w:rPr>
        <w:t xml:space="preserve">. </w:t>
      </w:r>
      <w:r w:rsidRPr="0047369C">
        <w:rPr>
          <w:i/>
          <w:iCs/>
          <w:lang w:val="en-US"/>
        </w:rPr>
        <w:t>Personnel Psychology</w:t>
      </w:r>
      <w:r w:rsidRPr="0047369C">
        <w:rPr>
          <w:lang w:val="en-US"/>
        </w:rPr>
        <w:t xml:space="preserve">, </w:t>
      </w:r>
      <w:r w:rsidRPr="0047369C">
        <w:rPr>
          <w:i/>
          <w:iCs/>
          <w:lang w:val="en-US"/>
        </w:rPr>
        <w:t>61</w:t>
      </w:r>
      <w:r w:rsidRPr="0047369C">
        <w:rPr>
          <w:lang w:val="en-US"/>
        </w:rPr>
        <w:t>(2), 349–374.</w:t>
      </w:r>
    </w:p>
    <w:p w14:paraId="1FABA5F1" w14:textId="77777777" w:rsidR="00044D70" w:rsidRPr="005D7349" w:rsidRDefault="00044D70" w:rsidP="00B408CF">
      <w:pPr>
        <w:spacing w:before="100" w:beforeAutospacing="1" w:after="100" w:afterAutospacing="1"/>
        <w:ind w:left="480" w:hanging="480"/>
        <w:rPr>
          <w:color w:val="222222"/>
          <w:szCs w:val="20"/>
          <w:lang w:val="en-US"/>
        </w:rPr>
      </w:pPr>
      <w:r w:rsidRPr="005D7349">
        <w:rPr>
          <w:color w:val="222222"/>
          <w:szCs w:val="20"/>
          <w:lang w:val="en-US"/>
        </w:rPr>
        <w:t xml:space="preserve">Mischel, W. (1973). Toward a cognitive social learning reconceptualization of personality. </w:t>
      </w:r>
      <w:r w:rsidRPr="005D7349">
        <w:rPr>
          <w:i/>
          <w:iCs/>
          <w:color w:val="222222"/>
          <w:szCs w:val="20"/>
          <w:lang w:val="en-US"/>
        </w:rPr>
        <w:t>Psychological review</w:t>
      </w:r>
      <w:r w:rsidRPr="005D7349">
        <w:rPr>
          <w:color w:val="222222"/>
          <w:szCs w:val="20"/>
          <w:lang w:val="en-US"/>
        </w:rPr>
        <w:t xml:space="preserve">, </w:t>
      </w:r>
      <w:r w:rsidRPr="005D7349">
        <w:rPr>
          <w:i/>
          <w:iCs/>
          <w:color w:val="222222"/>
          <w:szCs w:val="20"/>
          <w:lang w:val="en-US"/>
        </w:rPr>
        <w:t>80</w:t>
      </w:r>
      <w:r w:rsidRPr="005D7349">
        <w:rPr>
          <w:color w:val="222222"/>
          <w:szCs w:val="20"/>
          <w:lang w:val="en-US"/>
        </w:rPr>
        <w:t>(4), 252.</w:t>
      </w:r>
    </w:p>
    <w:p w14:paraId="1860B6E4" w14:textId="127B4FA8" w:rsidR="00B408CF" w:rsidRPr="00B408CF" w:rsidRDefault="00B408CF" w:rsidP="00B408CF">
      <w:pPr>
        <w:spacing w:before="100" w:beforeAutospacing="1" w:after="100" w:afterAutospacing="1"/>
        <w:ind w:left="480" w:hanging="480"/>
        <w:rPr>
          <w:lang w:val="en-US"/>
        </w:rPr>
      </w:pPr>
      <w:r w:rsidRPr="00B408CF">
        <w:rPr>
          <w:lang w:val="en-US"/>
        </w:rPr>
        <w:t xml:space="preserve">Mor Barak, M. E., Lizano, E. L., Kim, A., Duan, L., Rhee, M. K., Hsiao, H. Y., &amp; Brimhall, K. C. (2016). The Promise of Diversity Management for Climate of Inclusion: A State-of-the-Art Review and Meta-Analysis. </w:t>
      </w:r>
      <w:r w:rsidRPr="00B408CF">
        <w:rPr>
          <w:i/>
          <w:iCs/>
          <w:lang w:val="en-US"/>
        </w:rPr>
        <w:t>Human Service Organizations Management, Leadership and Governance</w:t>
      </w:r>
      <w:r w:rsidRPr="00B408CF">
        <w:rPr>
          <w:lang w:val="en-US"/>
        </w:rPr>
        <w:t xml:space="preserve">, </w:t>
      </w:r>
      <w:r w:rsidRPr="00B408CF">
        <w:rPr>
          <w:i/>
          <w:iCs/>
          <w:lang w:val="en-US"/>
        </w:rPr>
        <w:t>40</w:t>
      </w:r>
      <w:r w:rsidRPr="00B408CF">
        <w:rPr>
          <w:lang w:val="en-US"/>
        </w:rPr>
        <w:t xml:space="preserve">(4), 305–333. </w:t>
      </w:r>
    </w:p>
    <w:p w14:paraId="4D81EEED" w14:textId="01E32007" w:rsidR="00C4076D" w:rsidRDefault="00C4076D" w:rsidP="00C4076D">
      <w:pPr>
        <w:spacing w:before="100" w:beforeAutospacing="1" w:after="100" w:afterAutospacing="1"/>
        <w:ind w:left="480" w:hanging="480"/>
        <w:jc w:val="both"/>
        <w:rPr>
          <w:lang w:val="en-US"/>
        </w:rPr>
      </w:pPr>
      <w:r w:rsidRPr="00C4076D">
        <w:rPr>
          <w:lang w:val="en-US"/>
        </w:rPr>
        <w:t>Mor Barak, M. E. (2005). Managing diversity: Toward a globally inclusive workplace.</w:t>
      </w:r>
      <w:r>
        <w:rPr>
          <w:lang w:val="en-US"/>
        </w:rPr>
        <w:t xml:space="preserve"> </w:t>
      </w:r>
      <w:r w:rsidRPr="00C4076D">
        <w:rPr>
          <w:lang w:val="en-US"/>
        </w:rPr>
        <w:t>Thousand Oaks, CA: Sage.</w:t>
      </w:r>
    </w:p>
    <w:p w14:paraId="0EFB1B9A" w14:textId="54F81D1E" w:rsidR="000D4CF2" w:rsidRPr="00296D3B" w:rsidRDefault="000D4CF2" w:rsidP="00C4076D">
      <w:pPr>
        <w:spacing w:before="100" w:beforeAutospacing="1" w:after="100" w:afterAutospacing="1"/>
        <w:ind w:left="480" w:hanging="480"/>
        <w:jc w:val="both"/>
        <w:rPr>
          <w:lang w:val="en-US"/>
        </w:rPr>
      </w:pPr>
      <w:r>
        <w:rPr>
          <w:lang w:val="en-US"/>
        </w:rPr>
        <w:t xml:space="preserve">Mor </w:t>
      </w:r>
      <w:r w:rsidRPr="004D747A">
        <w:rPr>
          <w:lang w:val="en-US"/>
        </w:rPr>
        <w:t xml:space="preserve">Barak, M. E., Cherin, D. A., &amp; Berkman, S. (1998). Organizational and Personal Dimensions in Diversity Climate Ethnic and Gender Differences in Employee Perceptions. </w:t>
      </w:r>
      <w:r w:rsidRPr="004D747A">
        <w:rPr>
          <w:i/>
          <w:iCs/>
          <w:lang w:val="en-US"/>
        </w:rPr>
        <w:t xml:space="preserve">The Journal of </w:t>
      </w:r>
      <w:r w:rsidRPr="00296D3B">
        <w:rPr>
          <w:i/>
          <w:iCs/>
          <w:lang w:val="en-US"/>
        </w:rPr>
        <w:t>Applied Behavioral Science</w:t>
      </w:r>
      <w:r w:rsidRPr="00296D3B">
        <w:rPr>
          <w:lang w:val="en-US"/>
        </w:rPr>
        <w:t xml:space="preserve">, </w:t>
      </w:r>
      <w:r w:rsidRPr="00296D3B">
        <w:rPr>
          <w:i/>
          <w:iCs/>
          <w:lang w:val="en-US"/>
        </w:rPr>
        <w:t>34</w:t>
      </w:r>
      <w:r w:rsidRPr="00296D3B">
        <w:rPr>
          <w:lang w:val="en-US"/>
        </w:rPr>
        <w:t xml:space="preserve">(1), 82–104. </w:t>
      </w:r>
    </w:p>
    <w:p w14:paraId="12391959"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Moore, G., </w:t>
      </w:r>
      <w:r>
        <w:rPr>
          <w:lang w:val="en-US"/>
        </w:rPr>
        <w:t>and</w:t>
      </w:r>
      <w:r w:rsidRPr="0047369C">
        <w:rPr>
          <w:lang w:val="en-US"/>
        </w:rPr>
        <w:t xml:space="preserve"> Benbasat, I. (1991). Development of an Instrument to Measure the Perceptions of Adopting an Information Technology Innovation. </w:t>
      </w:r>
      <w:r w:rsidRPr="0047369C">
        <w:rPr>
          <w:i/>
          <w:iCs/>
          <w:lang w:val="en-US"/>
        </w:rPr>
        <w:t>Information Systems Research</w:t>
      </w:r>
      <w:r w:rsidRPr="0047369C">
        <w:rPr>
          <w:lang w:val="en-US"/>
        </w:rPr>
        <w:t xml:space="preserve">. </w:t>
      </w:r>
    </w:p>
    <w:p w14:paraId="338E2CF8"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Morrison, E. W. (1993). Longitudinal study of the effects of information seeking on newcomer socialization. </w:t>
      </w:r>
      <w:r w:rsidRPr="0047369C">
        <w:rPr>
          <w:i/>
          <w:iCs/>
          <w:lang w:val="en-US"/>
        </w:rPr>
        <w:t>Journal of Applied Psychology</w:t>
      </w:r>
      <w:r w:rsidRPr="0047369C">
        <w:rPr>
          <w:lang w:val="en-US"/>
        </w:rPr>
        <w:t xml:space="preserve">, </w:t>
      </w:r>
      <w:r w:rsidRPr="0047369C">
        <w:rPr>
          <w:i/>
          <w:iCs/>
          <w:lang w:val="en-US"/>
        </w:rPr>
        <w:t>78</w:t>
      </w:r>
      <w:r w:rsidRPr="0047369C">
        <w:rPr>
          <w:lang w:val="en-US"/>
        </w:rPr>
        <w:t xml:space="preserve">(2), 173–183. </w:t>
      </w:r>
    </w:p>
    <w:p w14:paraId="1D1E6B8A" w14:textId="77777777" w:rsidR="00CD51FD" w:rsidRDefault="00CD51FD" w:rsidP="000D4CF2">
      <w:pPr>
        <w:spacing w:before="100" w:beforeAutospacing="1" w:after="100" w:afterAutospacing="1"/>
        <w:ind w:left="480" w:hanging="480"/>
        <w:jc w:val="both"/>
        <w:rPr>
          <w:color w:val="222222"/>
          <w:szCs w:val="20"/>
          <w:lang w:val="en-US"/>
        </w:rPr>
      </w:pPr>
      <w:r w:rsidRPr="00CD51FD">
        <w:rPr>
          <w:color w:val="222222"/>
          <w:szCs w:val="20"/>
          <w:lang w:val="en-US"/>
        </w:rPr>
        <w:t xml:space="preserve">Nishii, L. H. (2013). The benefits of climate for inclusion for gender-diverse groups. </w:t>
      </w:r>
      <w:r w:rsidRPr="00CD51FD">
        <w:rPr>
          <w:i/>
          <w:color w:val="222222"/>
          <w:szCs w:val="20"/>
          <w:lang w:val="en-US"/>
        </w:rPr>
        <w:t>Academy of Management Journal</w:t>
      </w:r>
      <w:r w:rsidRPr="00CD51FD">
        <w:rPr>
          <w:color w:val="222222"/>
          <w:szCs w:val="20"/>
          <w:lang w:val="en-US"/>
        </w:rPr>
        <w:t>, 56(6), 1754-1774.</w:t>
      </w:r>
    </w:p>
    <w:p w14:paraId="7559D24F" w14:textId="726EBB90" w:rsidR="00D56E62" w:rsidRPr="00A71658" w:rsidRDefault="00D56E62" w:rsidP="000D4CF2">
      <w:pPr>
        <w:spacing w:before="100" w:beforeAutospacing="1" w:after="100" w:afterAutospacing="1"/>
        <w:ind w:left="480" w:hanging="480"/>
        <w:jc w:val="both"/>
        <w:rPr>
          <w:color w:val="222222"/>
          <w:szCs w:val="20"/>
          <w:lang w:val="en-US"/>
        </w:rPr>
      </w:pPr>
      <w:r w:rsidRPr="005B3185">
        <w:rPr>
          <w:color w:val="222222"/>
          <w:szCs w:val="20"/>
          <w:lang w:val="en-US"/>
        </w:rPr>
        <w:t xml:space="preserve">Nishii, L. H., Lepak, D. P., &amp; Schneider, B. (2008). Employee attributions of the “why” of HR practices: Their effects on employee attitudes and behaviors, and customer satisfaction. </w:t>
      </w:r>
      <w:r w:rsidRPr="00A71658">
        <w:rPr>
          <w:i/>
          <w:iCs/>
          <w:color w:val="222222"/>
          <w:szCs w:val="20"/>
          <w:lang w:val="en-US"/>
        </w:rPr>
        <w:t xml:space="preserve">Personnel </w:t>
      </w:r>
      <w:r w:rsidR="005B3185" w:rsidRPr="00A71658">
        <w:rPr>
          <w:i/>
          <w:iCs/>
          <w:color w:val="222222"/>
          <w:szCs w:val="20"/>
          <w:lang w:val="en-US"/>
        </w:rPr>
        <w:t>P</w:t>
      </w:r>
      <w:r w:rsidRPr="00A71658">
        <w:rPr>
          <w:i/>
          <w:iCs/>
          <w:color w:val="222222"/>
          <w:szCs w:val="20"/>
          <w:lang w:val="en-US"/>
        </w:rPr>
        <w:t>sychology</w:t>
      </w:r>
      <w:r w:rsidRPr="00A71658">
        <w:rPr>
          <w:color w:val="222222"/>
          <w:szCs w:val="20"/>
          <w:lang w:val="en-US"/>
        </w:rPr>
        <w:t xml:space="preserve">, </w:t>
      </w:r>
      <w:r w:rsidRPr="00A71658">
        <w:rPr>
          <w:i/>
          <w:iCs/>
          <w:color w:val="222222"/>
          <w:szCs w:val="20"/>
          <w:lang w:val="en-US"/>
        </w:rPr>
        <w:t>61</w:t>
      </w:r>
      <w:r w:rsidRPr="00A71658">
        <w:rPr>
          <w:color w:val="222222"/>
          <w:szCs w:val="20"/>
          <w:lang w:val="en-US"/>
        </w:rPr>
        <w:t>(3), 503-545.</w:t>
      </w:r>
    </w:p>
    <w:p w14:paraId="48EECABE" w14:textId="32217BDF" w:rsidR="00EF3DB9" w:rsidRDefault="00EF3DB9" w:rsidP="000D4CF2">
      <w:pPr>
        <w:spacing w:before="100" w:beforeAutospacing="1" w:after="100" w:afterAutospacing="1"/>
        <w:ind w:left="480" w:hanging="480"/>
        <w:jc w:val="both"/>
        <w:rPr>
          <w:lang w:val="en-US"/>
        </w:rPr>
      </w:pPr>
      <w:r w:rsidRPr="00EF3DB9">
        <w:rPr>
          <w:lang w:val="en-US"/>
        </w:rPr>
        <w:t>Nunnally, J.C. (1978)</w:t>
      </w:r>
      <w:r>
        <w:rPr>
          <w:lang w:val="en-US"/>
        </w:rPr>
        <w:t>.</w:t>
      </w:r>
      <w:r w:rsidRPr="00EF3DB9">
        <w:rPr>
          <w:lang w:val="en-US"/>
        </w:rPr>
        <w:t xml:space="preserve"> </w:t>
      </w:r>
      <w:r w:rsidRPr="00EF3DB9">
        <w:rPr>
          <w:i/>
          <w:lang w:val="en-US"/>
        </w:rPr>
        <w:t>Psychometric Theory</w:t>
      </w:r>
      <w:r w:rsidRPr="00EF3DB9">
        <w:rPr>
          <w:lang w:val="en-US"/>
        </w:rPr>
        <w:t xml:space="preserve"> (2</w:t>
      </w:r>
      <w:r w:rsidRPr="00EF3DB9">
        <w:rPr>
          <w:vertAlign w:val="superscript"/>
          <w:lang w:val="en-US"/>
        </w:rPr>
        <w:t>nd</w:t>
      </w:r>
      <w:r>
        <w:rPr>
          <w:lang w:val="en-US"/>
        </w:rPr>
        <w:t xml:space="preserve"> </w:t>
      </w:r>
      <w:r w:rsidRPr="00EF3DB9">
        <w:rPr>
          <w:lang w:val="en-US"/>
        </w:rPr>
        <w:t>ed</w:t>
      </w:r>
      <w:r>
        <w:rPr>
          <w:lang w:val="en-US"/>
        </w:rPr>
        <w:t>.</w:t>
      </w:r>
      <w:r w:rsidRPr="00EF3DB9">
        <w:rPr>
          <w:lang w:val="en-US"/>
        </w:rPr>
        <w:t>). New</w:t>
      </w:r>
      <w:r>
        <w:rPr>
          <w:lang w:val="en-US"/>
        </w:rPr>
        <w:t xml:space="preserve"> </w:t>
      </w:r>
      <w:r w:rsidRPr="00EF3DB9">
        <w:rPr>
          <w:lang w:val="en-US"/>
        </w:rPr>
        <w:t>York:</w:t>
      </w:r>
      <w:r>
        <w:rPr>
          <w:lang w:val="en-US"/>
        </w:rPr>
        <w:t xml:space="preserve"> </w:t>
      </w:r>
      <w:r w:rsidRPr="00EF3DB9">
        <w:rPr>
          <w:lang w:val="en-US"/>
        </w:rPr>
        <w:t>McGraw-Hill</w:t>
      </w:r>
      <w:r>
        <w:rPr>
          <w:lang w:val="en-US"/>
        </w:rPr>
        <w:t>.</w:t>
      </w:r>
    </w:p>
    <w:p w14:paraId="2E96BDBD" w14:textId="2A06260F" w:rsidR="000D4CF2" w:rsidRPr="0047369C" w:rsidRDefault="000D4CF2" w:rsidP="000D4CF2">
      <w:pPr>
        <w:spacing w:before="100" w:beforeAutospacing="1" w:after="100" w:afterAutospacing="1"/>
        <w:ind w:left="480" w:hanging="480"/>
        <w:jc w:val="both"/>
        <w:rPr>
          <w:lang w:val="en-US"/>
        </w:rPr>
      </w:pPr>
      <w:r w:rsidRPr="0047369C">
        <w:rPr>
          <w:lang w:val="en-US"/>
        </w:rPr>
        <w:lastRenderedPageBreak/>
        <w:t xml:space="preserve">Ozgen, C., Nijkamp, P., </w:t>
      </w:r>
      <w:r>
        <w:rPr>
          <w:lang w:val="en-US"/>
        </w:rPr>
        <w:t>and</w:t>
      </w:r>
      <w:r w:rsidRPr="0047369C">
        <w:rPr>
          <w:lang w:val="en-US"/>
        </w:rPr>
        <w:t xml:space="preserve"> Poot, J. (2013). The impact of cultural diversity on firm innovation: evidence from Dutch micro-data. </w:t>
      </w:r>
      <w:r w:rsidRPr="0047369C">
        <w:rPr>
          <w:i/>
          <w:iCs/>
          <w:lang w:val="en-US"/>
        </w:rPr>
        <w:t>IZA Journal of Migratio</w:t>
      </w:r>
      <w:r>
        <w:rPr>
          <w:i/>
          <w:iCs/>
          <w:lang w:val="en-US"/>
        </w:rPr>
        <w:t>n</w:t>
      </w:r>
      <w:r w:rsidRPr="0047369C">
        <w:rPr>
          <w:lang w:val="en-US"/>
        </w:rPr>
        <w:t xml:space="preserve">, </w:t>
      </w:r>
      <w:r w:rsidRPr="0047369C">
        <w:rPr>
          <w:i/>
          <w:iCs/>
          <w:lang w:val="en-US"/>
        </w:rPr>
        <w:t>2</w:t>
      </w:r>
      <w:r w:rsidRPr="0047369C">
        <w:rPr>
          <w:lang w:val="en-US"/>
        </w:rPr>
        <w:t>(1), 18.</w:t>
      </w:r>
    </w:p>
    <w:p w14:paraId="67F9C41D"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Price, J. L., </w:t>
      </w:r>
      <w:r>
        <w:rPr>
          <w:lang w:val="en-US"/>
        </w:rPr>
        <w:t>and</w:t>
      </w:r>
      <w:r w:rsidRPr="0047369C">
        <w:rPr>
          <w:lang w:val="en-US"/>
        </w:rPr>
        <w:t xml:space="preserve"> Mueller, C. W. (1986). Absenteeism and turnover of hospital employees.</w:t>
      </w:r>
    </w:p>
    <w:p w14:paraId="73E57F2C"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Reichers, A., </w:t>
      </w:r>
      <w:r>
        <w:rPr>
          <w:lang w:val="en-US"/>
        </w:rPr>
        <w:t>and</w:t>
      </w:r>
      <w:r w:rsidRPr="0047369C">
        <w:rPr>
          <w:lang w:val="en-US"/>
        </w:rPr>
        <w:t xml:space="preserve"> Schneider, B. (1990). </w:t>
      </w:r>
      <w:r w:rsidRPr="0047369C">
        <w:rPr>
          <w:i/>
          <w:iCs/>
          <w:lang w:val="en-US"/>
        </w:rPr>
        <w:t>Climate and culture: An evolution of constructs</w:t>
      </w:r>
      <w:r w:rsidRPr="0047369C">
        <w:rPr>
          <w:lang w:val="en-US"/>
        </w:rPr>
        <w:t xml:space="preserve">. </w:t>
      </w:r>
      <w:r w:rsidRPr="0047369C">
        <w:rPr>
          <w:i/>
          <w:iCs/>
          <w:lang w:val="en-US"/>
        </w:rPr>
        <w:t>Cunha, MP et al., op. cit.</w:t>
      </w:r>
      <w:r w:rsidRPr="0047369C">
        <w:rPr>
          <w:lang w:val="en-US"/>
        </w:rPr>
        <w:t xml:space="preserve"> San Francisco.</w:t>
      </w:r>
    </w:p>
    <w:p w14:paraId="68AAAE9A" w14:textId="0F18A070" w:rsidR="00373149" w:rsidRPr="00DB22E3" w:rsidRDefault="00373149" w:rsidP="000D4CF2">
      <w:pPr>
        <w:spacing w:before="100" w:beforeAutospacing="1" w:after="100" w:afterAutospacing="1"/>
        <w:ind w:left="480" w:hanging="480"/>
        <w:jc w:val="both"/>
        <w:rPr>
          <w:lang w:val="en-US"/>
        </w:rPr>
      </w:pPr>
      <w:r w:rsidRPr="00373149">
        <w:rPr>
          <w:lang w:val="en-US"/>
        </w:rPr>
        <w:t xml:space="preserve">Reinwald, M., Huettermann, H., &amp; Bruch, H. (2018). Beyond the mean: Understanding firm‐level consequences of variability in diversity climate perceptions. </w:t>
      </w:r>
      <w:r w:rsidRPr="00373149">
        <w:rPr>
          <w:i/>
          <w:lang w:val="en-US"/>
        </w:rPr>
        <w:t>Journal of Organizational Behavior</w:t>
      </w:r>
      <w:r w:rsidRPr="00373149">
        <w:rPr>
          <w:lang w:val="en-US"/>
        </w:rPr>
        <w:t>.</w:t>
      </w:r>
      <w:r>
        <w:rPr>
          <w:lang w:val="en-US"/>
        </w:rPr>
        <w:t xml:space="preserve"> </w:t>
      </w:r>
      <w:r w:rsidRPr="00373149">
        <w:rPr>
          <w:lang w:val="en-US"/>
        </w:rPr>
        <w:t>2019; 1– 20.</w:t>
      </w:r>
    </w:p>
    <w:p w14:paraId="0831B823"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Richard, O. C., Roh, H., </w:t>
      </w:r>
      <w:r>
        <w:rPr>
          <w:lang w:val="en-US"/>
        </w:rPr>
        <w:t>and</w:t>
      </w:r>
      <w:r w:rsidRPr="0047369C">
        <w:rPr>
          <w:lang w:val="en-US"/>
        </w:rPr>
        <w:t xml:space="preserve"> Pieper, J. R. (2013). The Link Between Diversity and Equality Management Practice Bundles and Racial Diversity in the Managerial Ranks: Does Firm Size Matter? </w:t>
      </w:r>
      <w:r w:rsidRPr="0047369C">
        <w:rPr>
          <w:i/>
          <w:iCs/>
          <w:lang w:val="en-US"/>
        </w:rPr>
        <w:t>Human Resource Management</w:t>
      </w:r>
      <w:r w:rsidRPr="0047369C">
        <w:rPr>
          <w:lang w:val="en-US"/>
        </w:rPr>
        <w:t xml:space="preserve">, </w:t>
      </w:r>
      <w:r w:rsidRPr="0047369C">
        <w:rPr>
          <w:i/>
          <w:iCs/>
          <w:lang w:val="en-US"/>
        </w:rPr>
        <w:t>52</w:t>
      </w:r>
      <w:r w:rsidRPr="0047369C">
        <w:rPr>
          <w:lang w:val="en-US"/>
        </w:rPr>
        <w:t xml:space="preserve">(2), 215–242. </w:t>
      </w:r>
    </w:p>
    <w:p w14:paraId="070A641B" w14:textId="5CBF8B4F" w:rsidR="000D4CF2" w:rsidRPr="0047369C" w:rsidRDefault="000D4CF2" w:rsidP="000D4CF2">
      <w:pPr>
        <w:spacing w:before="100" w:beforeAutospacing="1" w:after="100" w:afterAutospacing="1"/>
        <w:ind w:left="480" w:hanging="480"/>
        <w:jc w:val="both"/>
        <w:rPr>
          <w:lang w:val="en-US"/>
        </w:rPr>
      </w:pPr>
      <w:r w:rsidRPr="009E2ED0">
        <w:rPr>
          <w:lang w:val="en-US"/>
        </w:rPr>
        <w:t xml:space="preserve">Roberson, Q. M. (2006). Disentangling the Meanings of Diversity and Inclusion in Organizations. </w:t>
      </w:r>
      <w:r w:rsidRPr="009E2ED0">
        <w:rPr>
          <w:i/>
          <w:iCs/>
          <w:lang w:val="en-US"/>
        </w:rPr>
        <w:t>Group and Organization Management</w:t>
      </w:r>
      <w:r w:rsidRPr="009E2ED0">
        <w:rPr>
          <w:lang w:val="en-US"/>
        </w:rPr>
        <w:t xml:space="preserve">, </w:t>
      </w:r>
      <w:r w:rsidRPr="009E2ED0">
        <w:rPr>
          <w:i/>
          <w:iCs/>
          <w:lang w:val="en-US"/>
        </w:rPr>
        <w:t>31</w:t>
      </w:r>
      <w:r w:rsidRPr="009E2ED0">
        <w:rPr>
          <w:lang w:val="en-US"/>
        </w:rPr>
        <w:t>(2), 212–236.</w:t>
      </w:r>
      <w:r w:rsidRPr="0047369C">
        <w:rPr>
          <w:lang w:val="en-US"/>
        </w:rPr>
        <w:t xml:space="preserve"> </w:t>
      </w:r>
    </w:p>
    <w:p w14:paraId="34AF0E31" w14:textId="77777777" w:rsidR="000D4CF2" w:rsidRPr="005C3CA5" w:rsidRDefault="000D4CF2" w:rsidP="000D4CF2">
      <w:pPr>
        <w:spacing w:before="100" w:beforeAutospacing="1" w:after="100" w:afterAutospacing="1"/>
        <w:ind w:left="480" w:hanging="480"/>
        <w:jc w:val="both"/>
        <w:rPr>
          <w:lang w:val="en-US"/>
        </w:rPr>
      </w:pPr>
      <w:r w:rsidRPr="0047369C">
        <w:rPr>
          <w:lang w:val="en-US"/>
        </w:rPr>
        <w:t xml:space="preserve">Schmiedel, T., Vom Brocke, J., </w:t>
      </w:r>
      <w:r>
        <w:rPr>
          <w:lang w:val="en-US"/>
        </w:rPr>
        <w:t>and</w:t>
      </w:r>
      <w:r w:rsidRPr="0047369C">
        <w:rPr>
          <w:lang w:val="en-US"/>
        </w:rPr>
        <w:t xml:space="preserve"> Recker, J. (2014). Development and validation of an instrument to measure organizational cultures’ support of business process management. </w:t>
      </w:r>
      <w:r w:rsidRPr="005C3CA5">
        <w:rPr>
          <w:i/>
          <w:iCs/>
          <w:lang w:val="en-US"/>
        </w:rPr>
        <w:t xml:space="preserve">Information </w:t>
      </w:r>
      <w:r>
        <w:rPr>
          <w:i/>
          <w:iCs/>
          <w:lang w:val="en-US"/>
        </w:rPr>
        <w:t>and</w:t>
      </w:r>
      <w:r w:rsidRPr="005C3CA5">
        <w:rPr>
          <w:i/>
          <w:iCs/>
          <w:lang w:val="en-US"/>
        </w:rPr>
        <w:t xml:space="preserve"> Management</w:t>
      </w:r>
      <w:r w:rsidRPr="005C3CA5">
        <w:rPr>
          <w:lang w:val="en-US"/>
        </w:rPr>
        <w:t xml:space="preserve">, </w:t>
      </w:r>
      <w:r w:rsidRPr="005C3CA5">
        <w:rPr>
          <w:i/>
          <w:iCs/>
          <w:lang w:val="en-US"/>
        </w:rPr>
        <w:t>51</w:t>
      </w:r>
      <w:r w:rsidRPr="005C3CA5">
        <w:rPr>
          <w:lang w:val="en-US"/>
        </w:rPr>
        <w:t xml:space="preserve">(1), 43–56. </w:t>
      </w:r>
    </w:p>
    <w:p w14:paraId="47824BC2" w14:textId="7D949944" w:rsidR="00CD1868" w:rsidRDefault="00CD1868" w:rsidP="00CD1868">
      <w:pPr>
        <w:spacing w:before="100" w:beforeAutospacing="1" w:after="100" w:afterAutospacing="1"/>
        <w:ind w:left="480" w:hanging="480"/>
        <w:jc w:val="both"/>
        <w:rPr>
          <w:lang w:val="en-US"/>
        </w:rPr>
      </w:pPr>
      <w:r w:rsidRPr="00CD1868">
        <w:rPr>
          <w:lang w:val="en-US"/>
        </w:rPr>
        <w:t xml:space="preserve">Schneider, B., 1990. Organizational climate and culture. San Francisco: Pfeiffer. </w:t>
      </w:r>
    </w:p>
    <w:p w14:paraId="3AC031FC" w14:textId="7442F372" w:rsidR="000D4CF2" w:rsidRPr="0047369C" w:rsidRDefault="000D4CF2" w:rsidP="00CD1868">
      <w:pPr>
        <w:spacing w:before="100" w:beforeAutospacing="1" w:after="100" w:afterAutospacing="1"/>
        <w:ind w:left="480" w:hanging="480"/>
        <w:jc w:val="both"/>
        <w:rPr>
          <w:lang w:val="en-US"/>
        </w:rPr>
      </w:pPr>
      <w:r w:rsidRPr="0047369C">
        <w:rPr>
          <w:lang w:val="en-US"/>
        </w:rPr>
        <w:t xml:space="preserve">Schneider, B., </w:t>
      </w:r>
      <w:r>
        <w:rPr>
          <w:lang w:val="en-US"/>
        </w:rPr>
        <w:t>and</w:t>
      </w:r>
      <w:r w:rsidRPr="0047369C">
        <w:rPr>
          <w:lang w:val="en-US"/>
        </w:rPr>
        <w:t xml:space="preserve"> Reichers, A. E. (1983). On the etiology of climates. </w:t>
      </w:r>
      <w:r w:rsidRPr="0047369C">
        <w:rPr>
          <w:i/>
          <w:iCs/>
          <w:lang w:val="en-US"/>
        </w:rPr>
        <w:t>Personnel Psychology</w:t>
      </w:r>
      <w:r w:rsidRPr="0047369C">
        <w:rPr>
          <w:lang w:val="en-US"/>
        </w:rPr>
        <w:t xml:space="preserve">, </w:t>
      </w:r>
      <w:r w:rsidRPr="0047369C">
        <w:rPr>
          <w:i/>
          <w:iCs/>
          <w:lang w:val="en-US"/>
        </w:rPr>
        <w:t>36</w:t>
      </w:r>
      <w:r w:rsidRPr="0047369C">
        <w:rPr>
          <w:lang w:val="en-US"/>
        </w:rPr>
        <w:t>(1), 19–39.</w:t>
      </w:r>
    </w:p>
    <w:p w14:paraId="7A4A759F" w14:textId="77777777" w:rsidR="000D4CF2" w:rsidRPr="006B0265" w:rsidRDefault="000D4CF2" w:rsidP="000D4CF2">
      <w:pPr>
        <w:pStyle w:val="NormalWeb"/>
        <w:ind w:left="480" w:hanging="480"/>
        <w:jc w:val="both"/>
        <w:rPr>
          <w:lang w:val="en-US"/>
        </w:rPr>
      </w:pPr>
      <w:r w:rsidRPr="007D3E62">
        <w:rPr>
          <w:lang w:val="en-US"/>
        </w:rPr>
        <w:t xml:space="preserve">Shore, L. M., Randel, A. E., Chung, B. G., Dean, M. A., Ehrhart, K. H., &amp; Singh, G. (2011). Inclusion and diversity in work groups: A review and model for future research. </w:t>
      </w:r>
      <w:r w:rsidRPr="006B0265">
        <w:rPr>
          <w:i/>
          <w:iCs/>
          <w:lang w:val="en-US"/>
        </w:rPr>
        <w:t>Journal of Management</w:t>
      </w:r>
      <w:r w:rsidRPr="006B0265">
        <w:rPr>
          <w:lang w:val="en-US"/>
        </w:rPr>
        <w:t xml:space="preserve">, </w:t>
      </w:r>
      <w:r w:rsidRPr="006B0265">
        <w:rPr>
          <w:i/>
          <w:iCs/>
          <w:lang w:val="en-US"/>
        </w:rPr>
        <w:t>37</w:t>
      </w:r>
      <w:r w:rsidRPr="006B0265">
        <w:rPr>
          <w:lang w:val="en-US"/>
        </w:rPr>
        <w:t xml:space="preserve">(4), 1262–1289. </w:t>
      </w:r>
    </w:p>
    <w:p w14:paraId="3BF3D5ED" w14:textId="571F1040" w:rsidR="005B3185" w:rsidRDefault="005B3185" w:rsidP="005B3185">
      <w:pPr>
        <w:spacing w:before="100" w:beforeAutospacing="1" w:after="100" w:afterAutospacing="1"/>
        <w:ind w:left="480" w:hanging="480"/>
        <w:jc w:val="both"/>
        <w:rPr>
          <w:lang w:val="en-US"/>
        </w:rPr>
      </w:pPr>
      <w:r w:rsidRPr="005B3185">
        <w:rPr>
          <w:lang w:val="en-US"/>
        </w:rPr>
        <w:t>Spence,</w:t>
      </w:r>
      <w:r>
        <w:rPr>
          <w:lang w:val="en-US"/>
        </w:rPr>
        <w:t xml:space="preserve"> </w:t>
      </w:r>
      <w:r w:rsidRPr="005B3185">
        <w:rPr>
          <w:lang w:val="en-US"/>
        </w:rPr>
        <w:t xml:space="preserve">M. </w:t>
      </w:r>
      <w:r w:rsidR="003B20F9">
        <w:rPr>
          <w:lang w:val="en-US"/>
        </w:rPr>
        <w:t>(</w:t>
      </w:r>
      <w:r w:rsidRPr="005B3185">
        <w:rPr>
          <w:lang w:val="en-US"/>
        </w:rPr>
        <w:t>1974</w:t>
      </w:r>
      <w:r w:rsidR="003B20F9">
        <w:rPr>
          <w:lang w:val="en-US"/>
        </w:rPr>
        <w:t>).</w:t>
      </w:r>
      <w:r w:rsidRPr="005B3185">
        <w:rPr>
          <w:lang w:val="en-US"/>
        </w:rPr>
        <w:t xml:space="preserve"> “Competitive and optimal responses to signals:</w:t>
      </w:r>
      <w:r>
        <w:rPr>
          <w:lang w:val="en-US"/>
        </w:rPr>
        <w:t xml:space="preserve"> </w:t>
      </w:r>
      <w:r w:rsidRPr="005B3185">
        <w:rPr>
          <w:lang w:val="en-US"/>
        </w:rPr>
        <w:t xml:space="preserve">An analysis of efficiency and distribution”. </w:t>
      </w:r>
      <w:r w:rsidRPr="005B3185">
        <w:rPr>
          <w:i/>
          <w:lang w:val="en-US"/>
        </w:rPr>
        <w:t>Journal of Economic Theory</w:t>
      </w:r>
      <w:r w:rsidRPr="005B3185">
        <w:rPr>
          <w:lang w:val="en-US"/>
        </w:rPr>
        <w:t>, 7: 296–332.</w:t>
      </w:r>
    </w:p>
    <w:p w14:paraId="158F563E" w14:textId="30976B15" w:rsidR="000D4CF2" w:rsidRPr="0047369C" w:rsidRDefault="000D4CF2" w:rsidP="005B3185">
      <w:pPr>
        <w:spacing w:before="100" w:beforeAutospacing="1" w:after="100" w:afterAutospacing="1"/>
        <w:ind w:left="480" w:hanging="480"/>
        <w:jc w:val="both"/>
        <w:rPr>
          <w:lang w:val="en-US"/>
        </w:rPr>
      </w:pPr>
      <w:r w:rsidRPr="0047369C">
        <w:rPr>
          <w:lang w:val="en-US"/>
        </w:rPr>
        <w:t xml:space="preserve">Straub, D. W. (1989). Validating instruments in MIS research. </w:t>
      </w:r>
      <w:r w:rsidRPr="0047369C">
        <w:rPr>
          <w:i/>
          <w:iCs/>
          <w:lang w:val="en-US"/>
        </w:rPr>
        <w:t>MIS Quarterly</w:t>
      </w:r>
      <w:r w:rsidRPr="0047369C">
        <w:rPr>
          <w:lang w:val="en-US"/>
        </w:rPr>
        <w:t>, 147–169.</w:t>
      </w:r>
    </w:p>
    <w:p w14:paraId="28CDE64B" w14:textId="2B2DB6D3" w:rsidR="002738EE" w:rsidRDefault="002738EE" w:rsidP="002738EE">
      <w:pPr>
        <w:spacing w:before="100" w:beforeAutospacing="1" w:after="100" w:afterAutospacing="1"/>
        <w:ind w:left="480" w:hanging="480"/>
        <w:jc w:val="both"/>
        <w:rPr>
          <w:lang w:val="en-US"/>
        </w:rPr>
      </w:pPr>
      <w:r w:rsidRPr="002738EE">
        <w:rPr>
          <w:lang w:val="en-US"/>
        </w:rPr>
        <w:t>Tajfel, H., &amp; Turner, J. C. (1986). The social identity theory of intergroup behavior. In</w:t>
      </w:r>
      <w:r>
        <w:rPr>
          <w:lang w:val="en-US"/>
        </w:rPr>
        <w:t xml:space="preserve"> </w:t>
      </w:r>
      <w:r w:rsidRPr="002738EE">
        <w:rPr>
          <w:lang w:val="en-US"/>
        </w:rPr>
        <w:t xml:space="preserve">S. Worchel &amp; W. G. Austin (Eds.), </w:t>
      </w:r>
      <w:r w:rsidRPr="002738EE">
        <w:rPr>
          <w:i/>
          <w:lang w:val="en-US"/>
        </w:rPr>
        <w:t>Psychology of intergroup relations</w:t>
      </w:r>
      <w:r w:rsidRPr="002738EE">
        <w:rPr>
          <w:lang w:val="en-US"/>
        </w:rPr>
        <w:t xml:space="preserve"> (2nd ed.,</w:t>
      </w:r>
      <w:r>
        <w:rPr>
          <w:lang w:val="en-US"/>
        </w:rPr>
        <w:t xml:space="preserve"> </w:t>
      </w:r>
      <w:r w:rsidRPr="002738EE">
        <w:rPr>
          <w:lang w:val="en-US"/>
        </w:rPr>
        <w:t>pp. 7</w:t>
      </w:r>
      <w:r>
        <w:rPr>
          <w:lang w:val="en-US"/>
        </w:rPr>
        <w:t>-</w:t>
      </w:r>
      <w:r w:rsidRPr="002738EE">
        <w:rPr>
          <w:lang w:val="en-US"/>
        </w:rPr>
        <w:t>24). Chicago, IL: Nelson-Hall.</w:t>
      </w:r>
    </w:p>
    <w:p w14:paraId="36EC3734" w14:textId="6B07E44A" w:rsidR="000D4CF2" w:rsidRPr="0047369C" w:rsidRDefault="000D4CF2" w:rsidP="002738EE">
      <w:pPr>
        <w:spacing w:before="100" w:beforeAutospacing="1" w:after="100" w:afterAutospacing="1"/>
        <w:ind w:left="480" w:hanging="480"/>
        <w:jc w:val="both"/>
        <w:rPr>
          <w:lang w:val="en-US"/>
        </w:rPr>
      </w:pPr>
      <w:r w:rsidRPr="0047369C">
        <w:rPr>
          <w:lang w:val="en-US"/>
        </w:rPr>
        <w:t xml:space="preserve">Thomas Jr., R. R. (1990). From Affirmative Action to Affirming Diversity. </w:t>
      </w:r>
      <w:r w:rsidRPr="0047369C">
        <w:rPr>
          <w:i/>
          <w:iCs/>
          <w:lang w:val="en-US"/>
        </w:rPr>
        <w:t>Harvard Business Review</w:t>
      </w:r>
      <w:r w:rsidRPr="0047369C">
        <w:rPr>
          <w:lang w:val="en-US"/>
        </w:rPr>
        <w:t xml:space="preserve">, </w:t>
      </w:r>
      <w:r w:rsidRPr="0047369C">
        <w:rPr>
          <w:i/>
          <w:iCs/>
          <w:lang w:val="en-US"/>
        </w:rPr>
        <w:t>68</w:t>
      </w:r>
      <w:r w:rsidRPr="0047369C">
        <w:rPr>
          <w:lang w:val="en-US"/>
        </w:rPr>
        <w:t xml:space="preserve">(2), 107–117. </w:t>
      </w:r>
    </w:p>
    <w:p w14:paraId="1F0EA5F3" w14:textId="77777777" w:rsidR="000D4CF2" w:rsidRPr="0047369C" w:rsidRDefault="000D4CF2" w:rsidP="000D4CF2">
      <w:pPr>
        <w:spacing w:before="100" w:beforeAutospacing="1" w:after="100" w:afterAutospacing="1"/>
        <w:ind w:left="480" w:hanging="480"/>
        <w:jc w:val="both"/>
        <w:rPr>
          <w:lang w:val="en-US"/>
        </w:rPr>
      </w:pPr>
      <w:r w:rsidRPr="0047369C">
        <w:rPr>
          <w:lang w:val="en-US"/>
        </w:rPr>
        <w:t xml:space="preserve">Thomas, D., </w:t>
      </w:r>
      <w:r>
        <w:rPr>
          <w:lang w:val="en-US"/>
        </w:rPr>
        <w:t>and</w:t>
      </w:r>
      <w:r w:rsidRPr="0047369C">
        <w:rPr>
          <w:lang w:val="en-US"/>
        </w:rPr>
        <w:t xml:space="preserve"> Ely, R. (1996). Making differences matter: a new paradigm for diversity management. </w:t>
      </w:r>
      <w:r w:rsidRPr="0047369C">
        <w:rPr>
          <w:i/>
          <w:iCs/>
          <w:lang w:val="en-US"/>
        </w:rPr>
        <w:t>Harvard Business Review,</w:t>
      </w:r>
      <w:r>
        <w:rPr>
          <w:i/>
          <w:iCs/>
          <w:lang w:val="en-US"/>
        </w:rPr>
        <w:t xml:space="preserve"> </w:t>
      </w:r>
      <w:r w:rsidRPr="0047369C">
        <w:rPr>
          <w:i/>
          <w:iCs/>
          <w:lang w:val="en-US"/>
        </w:rPr>
        <w:t>Vol. 74, N° 5, p. 79-90.</w:t>
      </w:r>
      <w:r w:rsidRPr="0047369C">
        <w:rPr>
          <w:lang w:val="en-US"/>
        </w:rPr>
        <w:t xml:space="preserve">, </w:t>
      </w:r>
      <w:r w:rsidRPr="0047369C">
        <w:rPr>
          <w:i/>
          <w:iCs/>
          <w:lang w:val="en-US"/>
        </w:rPr>
        <w:t>74</w:t>
      </w:r>
      <w:r w:rsidRPr="0047369C">
        <w:rPr>
          <w:lang w:val="en-US"/>
        </w:rPr>
        <w:t>(5), 79–90.</w:t>
      </w:r>
    </w:p>
    <w:p w14:paraId="4422143F" w14:textId="2F4BD1F4" w:rsidR="003B20F9" w:rsidRPr="00D26FA1" w:rsidRDefault="003B20F9" w:rsidP="003B20F9">
      <w:pPr>
        <w:spacing w:before="100" w:beforeAutospacing="1" w:after="100" w:afterAutospacing="1"/>
        <w:ind w:left="480" w:hanging="480"/>
        <w:jc w:val="both"/>
        <w:rPr>
          <w:lang w:val="en-US"/>
        </w:rPr>
      </w:pPr>
      <w:r w:rsidRPr="003B20F9">
        <w:rPr>
          <w:lang w:val="en-US"/>
        </w:rPr>
        <w:t xml:space="preserve">Van Campenhoudt, L. and R. Quivy </w:t>
      </w:r>
      <w:r>
        <w:rPr>
          <w:lang w:val="en-US"/>
        </w:rPr>
        <w:t>(</w:t>
      </w:r>
      <w:r w:rsidRPr="003B20F9">
        <w:rPr>
          <w:lang w:val="en-US"/>
        </w:rPr>
        <w:t>2011</w:t>
      </w:r>
      <w:r>
        <w:rPr>
          <w:lang w:val="en-US"/>
        </w:rPr>
        <w:t>)</w:t>
      </w:r>
      <w:r w:rsidRPr="003B20F9">
        <w:rPr>
          <w:lang w:val="en-US"/>
        </w:rPr>
        <w:t xml:space="preserve">. </w:t>
      </w:r>
      <w:r w:rsidRPr="003B20F9">
        <w:t>Manuel de</w:t>
      </w:r>
      <w:r>
        <w:t xml:space="preserve"> </w:t>
      </w:r>
      <w:r w:rsidRPr="003B20F9">
        <w:t xml:space="preserve">recherche en sciences sociales. </w:t>
      </w:r>
      <w:r w:rsidRPr="00D26FA1">
        <w:rPr>
          <w:lang w:val="en-US"/>
        </w:rPr>
        <w:t xml:space="preserve">Paris : Dunod. </w:t>
      </w:r>
    </w:p>
    <w:p w14:paraId="18965AA0" w14:textId="447E80DA" w:rsidR="000D4CF2" w:rsidRPr="0047369C" w:rsidRDefault="000D4CF2" w:rsidP="003B20F9">
      <w:pPr>
        <w:spacing w:before="100" w:beforeAutospacing="1" w:after="100" w:afterAutospacing="1"/>
        <w:ind w:left="480" w:hanging="480"/>
        <w:jc w:val="both"/>
        <w:rPr>
          <w:lang w:val="en-US"/>
        </w:rPr>
      </w:pPr>
      <w:r w:rsidRPr="003B20F9">
        <w:rPr>
          <w:lang w:val="en-US"/>
        </w:rPr>
        <w:lastRenderedPageBreak/>
        <w:t xml:space="preserve">Van der Vegt, G. S., and Janssen, O. (2003). </w:t>
      </w:r>
      <w:r w:rsidRPr="0047369C">
        <w:rPr>
          <w:lang w:val="en-US"/>
        </w:rPr>
        <w:t xml:space="preserve">Joint Impact of Interdependence and Group Diversity on Innovation. </w:t>
      </w:r>
      <w:r w:rsidRPr="0047369C">
        <w:rPr>
          <w:i/>
          <w:iCs/>
          <w:lang w:val="en-US"/>
        </w:rPr>
        <w:t>Journal of Management</w:t>
      </w:r>
      <w:r w:rsidRPr="0047369C">
        <w:rPr>
          <w:lang w:val="en-US"/>
        </w:rPr>
        <w:t xml:space="preserve">, </w:t>
      </w:r>
      <w:r w:rsidRPr="0047369C">
        <w:rPr>
          <w:i/>
          <w:iCs/>
          <w:lang w:val="en-US"/>
        </w:rPr>
        <w:t>29</w:t>
      </w:r>
      <w:r w:rsidRPr="0047369C">
        <w:rPr>
          <w:lang w:val="en-US"/>
        </w:rPr>
        <w:t xml:space="preserve">(5), 729–751. </w:t>
      </w:r>
    </w:p>
    <w:p w14:paraId="5B1F7315" w14:textId="77777777" w:rsidR="000D4CF2" w:rsidRPr="00D27836" w:rsidRDefault="000D4CF2" w:rsidP="000D4CF2">
      <w:pPr>
        <w:pStyle w:val="NormalWeb"/>
        <w:ind w:left="480" w:hanging="480"/>
        <w:jc w:val="both"/>
        <w:rPr>
          <w:lang w:val="en-US"/>
        </w:rPr>
      </w:pPr>
      <w:r w:rsidRPr="00D27836">
        <w:rPr>
          <w:lang w:val="en-US"/>
        </w:rPr>
        <w:t xml:space="preserve">Vertovec, S. (2007). Super-diversity and its implications. </w:t>
      </w:r>
      <w:r w:rsidRPr="00D27836">
        <w:rPr>
          <w:i/>
          <w:iCs/>
          <w:lang w:val="en-US"/>
        </w:rPr>
        <w:t>Ethnic and Racial Studies</w:t>
      </w:r>
      <w:r w:rsidRPr="00D27836">
        <w:rPr>
          <w:lang w:val="en-US"/>
        </w:rPr>
        <w:t xml:space="preserve">, </w:t>
      </w:r>
      <w:r w:rsidRPr="00D27836">
        <w:rPr>
          <w:i/>
          <w:iCs/>
          <w:lang w:val="en-US"/>
        </w:rPr>
        <w:t>30</w:t>
      </w:r>
      <w:r w:rsidRPr="00D27836">
        <w:rPr>
          <w:lang w:val="en-US"/>
        </w:rPr>
        <w:t xml:space="preserve">(6), 1024–1054. </w:t>
      </w:r>
    </w:p>
    <w:p w14:paraId="702B0492" w14:textId="2E94C5FD" w:rsidR="00FB03D6" w:rsidRDefault="000D4CF2" w:rsidP="00746013">
      <w:pPr>
        <w:spacing w:before="100" w:beforeAutospacing="1" w:after="100" w:afterAutospacing="1"/>
        <w:ind w:left="480" w:hanging="480"/>
        <w:jc w:val="both"/>
        <w:rPr>
          <w:rFonts w:cs="Arial"/>
          <w:b/>
          <w:bCs/>
          <w:kern w:val="32"/>
          <w:szCs w:val="32"/>
          <w:lang w:val="en-GB" w:eastAsia="en-GB"/>
        </w:rPr>
      </w:pPr>
      <w:r w:rsidRPr="0047369C">
        <w:rPr>
          <w:lang w:val="en-US"/>
        </w:rPr>
        <w:t>Wanberg, C.</w:t>
      </w:r>
      <w:r>
        <w:rPr>
          <w:lang w:val="en-US"/>
        </w:rPr>
        <w:t xml:space="preserve"> R.</w:t>
      </w:r>
      <w:r w:rsidRPr="0047369C">
        <w:rPr>
          <w:lang w:val="en-US"/>
        </w:rPr>
        <w:t xml:space="preserve">, </w:t>
      </w:r>
      <w:r>
        <w:rPr>
          <w:lang w:val="en-US"/>
        </w:rPr>
        <w:t xml:space="preserve">and </w:t>
      </w:r>
      <w:r w:rsidRPr="0047369C">
        <w:rPr>
          <w:lang w:val="en-US"/>
        </w:rPr>
        <w:t>Kammeyer-Mueller</w:t>
      </w:r>
      <w:r w:rsidRPr="00F23BE4">
        <w:rPr>
          <w:lang w:val="en-US"/>
        </w:rPr>
        <w:t>, J. D.</w:t>
      </w:r>
      <w:r w:rsidRPr="0047369C">
        <w:rPr>
          <w:lang w:val="en-US"/>
        </w:rPr>
        <w:t xml:space="preserve"> (2000). Predictors and Outcomes of Proactivity in the Socialization Process. </w:t>
      </w:r>
      <w:r w:rsidRPr="004C0954">
        <w:rPr>
          <w:i/>
          <w:iCs/>
          <w:lang w:val="en-US"/>
        </w:rPr>
        <w:t>Journal of Applied Psychology</w:t>
      </w:r>
      <w:r w:rsidRPr="004C0954">
        <w:rPr>
          <w:lang w:val="en-US"/>
        </w:rPr>
        <w:t xml:space="preserve">, </w:t>
      </w:r>
      <w:r w:rsidRPr="004C0954">
        <w:rPr>
          <w:i/>
          <w:iCs/>
          <w:lang w:val="en-US"/>
        </w:rPr>
        <w:t>1</w:t>
      </w:r>
      <w:r w:rsidRPr="004C0954">
        <w:rPr>
          <w:lang w:val="en-US"/>
        </w:rPr>
        <w:t>(3), 373–38.</w:t>
      </w:r>
      <w:r w:rsidR="00FB03D6" w:rsidRPr="002F7601">
        <w:rPr>
          <w:lang w:val="en-US"/>
        </w:rPr>
        <w:br w:type="page"/>
      </w:r>
    </w:p>
    <w:p w14:paraId="6CA2023E" w14:textId="66589A79" w:rsidR="00D73893" w:rsidRDefault="00483EC1" w:rsidP="00483EC1">
      <w:pPr>
        <w:pStyle w:val="Titre1"/>
      </w:pPr>
      <w:r w:rsidRPr="00483EC1">
        <w:lastRenderedPageBreak/>
        <w:t xml:space="preserve">Tables </w:t>
      </w:r>
    </w:p>
    <w:p w14:paraId="665E4CA5" w14:textId="4AAF3447" w:rsidR="00483EC1" w:rsidRDefault="00483EC1" w:rsidP="00483EC1">
      <w:pPr>
        <w:rPr>
          <w:lang w:val="en-GB" w:eastAsia="en-GB"/>
        </w:rPr>
      </w:pPr>
    </w:p>
    <w:p w14:paraId="36608A59" w14:textId="3B1CEEE7" w:rsidR="00483EC1" w:rsidRPr="00104F06" w:rsidRDefault="00483EC1" w:rsidP="00483EC1">
      <w:pPr>
        <w:spacing w:line="480" w:lineRule="auto"/>
        <w:jc w:val="center"/>
        <w:rPr>
          <w:lang w:val="en-US"/>
        </w:rPr>
      </w:pPr>
      <w:r>
        <w:rPr>
          <w:lang w:val="en-US"/>
        </w:rPr>
        <w:t xml:space="preserve">Table I: Grand Diversity </w:t>
      </w:r>
      <w:r w:rsidR="00496194">
        <w:rPr>
          <w:lang w:val="en-US"/>
        </w:rPr>
        <w:t xml:space="preserve">management </w:t>
      </w:r>
      <w:r>
        <w:rPr>
          <w:lang w:val="en-US"/>
        </w:rPr>
        <w:t xml:space="preserve">theoretical frameworks </w:t>
      </w:r>
    </w:p>
    <w:tbl>
      <w:tblPr>
        <w:tblStyle w:val="Grilledutableau"/>
        <w:tblW w:w="0" w:type="auto"/>
        <w:jc w:val="center"/>
        <w:tblLook w:val="04A0" w:firstRow="1" w:lastRow="0" w:firstColumn="1" w:lastColumn="0" w:noHBand="0" w:noVBand="1"/>
      </w:tblPr>
      <w:tblGrid>
        <w:gridCol w:w="1709"/>
        <w:gridCol w:w="1439"/>
        <w:gridCol w:w="1505"/>
        <w:gridCol w:w="1656"/>
        <w:gridCol w:w="1656"/>
      </w:tblGrid>
      <w:tr w:rsidR="00860F69" w14:paraId="4FA1983C" w14:textId="77777777" w:rsidTr="00860F69">
        <w:trPr>
          <w:jc w:val="center"/>
        </w:trPr>
        <w:tc>
          <w:tcPr>
            <w:tcW w:w="1709" w:type="dxa"/>
          </w:tcPr>
          <w:p w14:paraId="30A836AC" w14:textId="77777777" w:rsidR="00860F69" w:rsidRPr="004C0954" w:rsidRDefault="00860F69" w:rsidP="00315FCD">
            <w:pPr>
              <w:jc w:val="center"/>
              <w:rPr>
                <w:b/>
                <w:lang w:val="en-US"/>
              </w:rPr>
            </w:pPr>
          </w:p>
          <w:p w14:paraId="4046431E" w14:textId="77777777" w:rsidR="00860F69" w:rsidRPr="004C0954" w:rsidRDefault="00860F69" w:rsidP="00315FCD">
            <w:pPr>
              <w:jc w:val="center"/>
              <w:rPr>
                <w:b/>
                <w:lang w:val="en-US"/>
              </w:rPr>
            </w:pPr>
            <w:r w:rsidRPr="004C0954">
              <w:rPr>
                <w:b/>
                <w:lang w:val="en-US"/>
              </w:rPr>
              <w:t>Insistence on…</w:t>
            </w:r>
          </w:p>
        </w:tc>
        <w:tc>
          <w:tcPr>
            <w:tcW w:w="1439" w:type="dxa"/>
          </w:tcPr>
          <w:p w14:paraId="6289BF8C" w14:textId="77777777" w:rsidR="00860F69" w:rsidRPr="004C0954" w:rsidRDefault="00860F69" w:rsidP="00315FCD">
            <w:pPr>
              <w:jc w:val="center"/>
              <w:rPr>
                <w:b/>
                <w:lang w:val="en-US"/>
              </w:rPr>
            </w:pPr>
            <w:r w:rsidRPr="004C0954">
              <w:rPr>
                <w:b/>
                <w:lang w:val="en-US"/>
              </w:rPr>
              <w:t>Cox (1991)</w:t>
            </w:r>
          </w:p>
        </w:tc>
        <w:tc>
          <w:tcPr>
            <w:tcW w:w="1505" w:type="dxa"/>
          </w:tcPr>
          <w:p w14:paraId="59863C0B" w14:textId="77777777" w:rsidR="00860F69" w:rsidRPr="004C0954" w:rsidRDefault="00860F69" w:rsidP="00315FCD">
            <w:pPr>
              <w:jc w:val="center"/>
              <w:rPr>
                <w:b/>
                <w:lang w:val="en-US"/>
              </w:rPr>
            </w:pPr>
            <w:r w:rsidRPr="004C0954">
              <w:rPr>
                <w:b/>
                <w:lang w:val="en-US"/>
              </w:rPr>
              <w:t>Thomas (1990)</w:t>
            </w:r>
          </w:p>
        </w:tc>
        <w:tc>
          <w:tcPr>
            <w:tcW w:w="1656" w:type="dxa"/>
          </w:tcPr>
          <w:p w14:paraId="0DBA5834" w14:textId="77777777" w:rsidR="00860F69" w:rsidRPr="004C0954" w:rsidRDefault="00860F69" w:rsidP="00315FCD">
            <w:pPr>
              <w:jc w:val="center"/>
              <w:rPr>
                <w:b/>
                <w:lang w:val="en-US"/>
              </w:rPr>
            </w:pPr>
            <w:r w:rsidRPr="004C0954">
              <w:rPr>
                <w:b/>
                <w:lang w:val="en-US"/>
              </w:rPr>
              <w:t>Thomas &amp; Ely (1996)</w:t>
            </w:r>
          </w:p>
        </w:tc>
        <w:tc>
          <w:tcPr>
            <w:tcW w:w="1656" w:type="dxa"/>
          </w:tcPr>
          <w:p w14:paraId="7D2355DA" w14:textId="77777777" w:rsidR="00860F69" w:rsidRPr="004C0954" w:rsidRDefault="00860F69" w:rsidP="00315FCD">
            <w:pPr>
              <w:jc w:val="center"/>
              <w:rPr>
                <w:b/>
                <w:lang w:val="en-US"/>
              </w:rPr>
            </w:pPr>
            <w:r w:rsidRPr="004C0954">
              <w:rPr>
                <w:b/>
                <w:lang w:val="en-US"/>
              </w:rPr>
              <w:t>Dwertmann et al. (2016)</w:t>
            </w:r>
          </w:p>
        </w:tc>
      </w:tr>
      <w:tr w:rsidR="00860F69" w14:paraId="1791F5FC" w14:textId="77777777" w:rsidTr="00860F69">
        <w:trPr>
          <w:jc w:val="center"/>
        </w:trPr>
        <w:tc>
          <w:tcPr>
            <w:tcW w:w="1709" w:type="dxa"/>
          </w:tcPr>
          <w:p w14:paraId="055A225F" w14:textId="77777777" w:rsidR="00860F69" w:rsidRPr="004C0954" w:rsidRDefault="00860F69" w:rsidP="00315FCD">
            <w:pPr>
              <w:jc w:val="center"/>
              <w:rPr>
                <w:b/>
                <w:lang w:val="en-US"/>
              </w:rPr>
            </w:pPr>
            <w:r w:rsidRPr="004C0954">
              <w:rPr>
                <w:b/>
                <w:lang w:val="en-US"/>
              </w:rPr>
              <w:t>…fair representation and treatment</w:t>
            </w:r>
          </w:p>
        </w:tc>
        <w:tc>
          <w:tcPr>
            <w:tcW w:w="1439" w:type="dxa"/>
          </w:tcPr>
          <w:p w14:paraId="6DE5518E" w14:textId="77777777" w:rsidR="00860F69" w:rsidRDefault="00860F69" w:rsidP="00315FCD">
            <w:pPr>
              <w:jc w:val="center"/>
              <w:rPr>
                <w:lang w:val="en-US"/>
              </w:rPr>
            </w:pPr>
            <w:r>
              <w:rPr>
                <w:lang w:val="en-US"/>
              </w:rPr>
              <w:t>Plural type</w:t>
            </w:r>
          </w:p>
        </w:tc>
        <w:tc>
          <w:tcPr>
            <w:tcW w:w="1505" w:type="dxa"/>
          </w:tcPr>
          <w:p w14:paraId="11769386" w14:textId="77777777" w:rsidR="00860F69" w:rsidRDefault="00860F69" w:rsidP="00315FCD">
            <w:pPr>
              <w:jc w:val="center"/>
              <w:rPr>
                <w:lang w:val="en-US"/>
              </w:rPr>
            </w:pPr>
            <w:r>
              <w:rPr>
                <w:lang w:val="en-US"/>
              </w:rPr>
              <w:t>Affirmative Action</w:t>
            </w:r>
          </w:p>
        </w:tc>
        <w:tc>
          <w:tcPr>
            <w:tcW w:w="1656" w:type="dxa"/>
          </w:tcPr>
          <w:p w14:paraId="0D06348E" w14:textId="77777777" w:rsidR="00860F69" w:rsidRDefault="00860F69" w:rsidP="00315FCD">
            <w:pPr>
              <w:jc w:val="center"/>
              <w:rPr>
                <w:lang w:val="en-US"/>
              </w:rPr>
            </w:pPr>
            <w:r>
              <w:rPr>
                <w:lang w:val="en-US"/>
              </w:rPr>
              <w:t>Discrimination &amp; Fairness</w:t>
            </w:r>
          </w:p>
        </w:tc>
        <w:tc>
          <w:tcPr>
            <w:tcW w:w="1656" w:type="dxa"/>
          </w:tcPr>
          <w:p w14:paraId="1B25E369" w14:textId="77777777" w:rsidR="00860F69" w:rsidRDefault="00860F69" w:rsidP="00315FCD">
            <w:pPr>
              <w:jc w:val="center"/>
              <w:rPr>
                <w:lang w:val="en-US"/>
              </w:rPr>
            </w:pPr>
            <w:r>
              <w:rPr>
                <w:lang w:val="en-US"/>
              </w:rPr>
              <w:t>Fairness &amp; Discrimination</w:t>
            </w:r>
          </w:p>
        </w:tc>
      </w:tr>
      <w:tr w:rsidR="00860F69" w14:paraId="3A5744BD" w14:textId="77777777" w:rsidTr="00860F69">
        <w:trPr>
          <w:jc w:val="center"/>
        </w:trPr>
        <w:tc>
          <w:tcPr>
            <w:tcW w:w="1709" w:type="dxa"/>
          </w:tcPr>
          <w:p w14:paraId="559678EC" w14:textId="77777777" w:rsidR="00860F69" w:rsidRPr="004C0954" w:rsidRDefault="00860F69" w:rsidP="00315FCD">
            <w:pPr>
              <w:jc w:val="center"/>
              <w:rPr>
                <w:b/>
                <w:lang w:val="en-US"/>
              </w:rPr>
            </w:pPr>
            <w:r w:rsidRPr="004C0954">
              <w:rPr>
                <w:b/>
                <w:lang w:val="en-US"/>
              </w:rPr>
              <w:t>…valuing diversity</w:t>
            </w:r>
          </w:p>
        </w:tc>
        <w:tc>
          <w:tcPr>
            <w:tcW w:w="1439" w:type="dxa"/>
          </w:tcPr>
          <w:p w14:paraId="08A9CE4E" w14:textId="77777777" w:rsidR="00860F69" w:rsidRDefault="00860F69" w:rsidP="00315FCD">
            <w:pPr>
              <w:jc w:val="center"/>
              <w:rPr>
                <w:lang w:val="en-US"/>
              </w:rPr>
            </w:pPr>
            <w:r>
              <w:rPr>
                <w:lang w:val="en-US"/>
              </w:rPr>
              <w:t>Multi-cultural type</w:t>
            </w:r>
          </w:p>
        </w:tc>
        <w:tc>
          <w:tcPr>
            <w:tcW w:w="1505" w:type="dxa"/>
          </w:tcPr>
          <w:p w14:paraId="755C2E45" w14:textId="77777777" w:rsidR="00860F69" w:rsidRDefault="00860F69" w:rsidP="00315FCD">
            <w:pPr>
              <w:jc w:val="center"/>
              <w:rPr>
                <w:lang w:val="en-US"/>
              </w:rPr>
            </w:pPr>
            <w:r>
              <w:rPr>
                <w:lang w:val="en-US"/>
              </w:rPr>
              <w:t>Affirming Diversity</w:t>
            </w:r>
          </w:p>
        </w:tc>
        <w:tc>
          <w:tcPr>
            <w:tcW w:w="1656" w:type="dxa"/>
          </w:tcPr>
          <w:p w14:paraId="6C680626" w14:textId="77777777" w:rsidR="00860F69" w:rsidRDefault="00860F69" w:rsidP="00315FCD">
            <w:pPr>
              <w:rPr>
                <w:lang w:val="en-US"/>
              </w:rPr>
            </w:pPr>
            <w:r>
              <w:rPr>
                <w:lang w:val="en-US"/>
              </w:rPr>
              <w:t xml:space="preserve">   Access &amp; Legitimacy</w:t>
            </w:r>
          </w:p>
          <w:p w14:paraId="6DC0CE06" w14:textId="77777777" w:rsidR="00860F69" w:rsidRDefault="00860F69" w:rsidP="00315FCD">
            <w:pPr>
              <w:jc w:val="center"/>
              <w:rPr>
                <w:lang w:val="en-US"/>
              </w:rPr>
            </w:pPr>
            <w:r>
              <w:rPr>
                <w:lang w:val="en-US"/>
              </w:rPr>
              <w:t>Learning &amp; Effectiveness</w:t>
            </w:r>
          </w:p>
        </w:tc>
        <w:tc>
          <w:tcPr>
            <w:tcW w:w="1656" w:type="dxa"/>
          </w:tcPr>
          <w:p w14:paraId="312382A2" w14:textId="77777777" w:rsidR="00860F69" w:rsidRDefault="00860F69" w:rsidP="00315FCD">
            <w:pPr>
              <w:jc w:val="center"/>
              <w:rPr>
                <w:lang w:val="en-US"/>
              </w:rPr>
            </w:pPr>
            <w:r>
              <w:rPr>
                <w:lang w:val="en-US"/>
              </w:rPr>
              <w:t>Synergy</w:t>
            </w:r>
          </w:p>
        </w:tc>
      </w:tr>
    </w:tbl>
    <w:p w14:paraId="3E755592" w14:textId="6300F6EE" w:rsidR="00483EC1" w:rsidRDefault="00483EC1" w:rsidP="00483EC1">
      <w:pPr>
        <w:rPr>
          <w:lang w:val="en-GB" w:eastAsia="en-GB"/>
        </w:rPr>
      </w:pPr>
    </w:p>
    <w:p w14:paraId="370DEEBD" w14:textId="77777777" w:rsidR="00483EC1" w:rsidRDefault="00483EC1" w:rsidP="00483EC1">
      <w:pPr>
        <w:rPr>
          <w:lang w:val="en-GB" w:eastAsia="en-GB"/>
        </w:rPr>
      </w:pPr>
    </w:p>
    <w:p w14:paraId="6CD3F110" w14:textId="3C30B1CC" w:rsidR="00CB4BB9" w:rsidRPr="00B8270F" w:rsidRDefault="00CB4BB9" w:rsidP="00CB4BB9">
      <w:pPr>
        <w:jc w:val="center"/>
        <w:rPr>
          <w:rFonts w:ascii="Open Sans" w:hAnsi="Open Sans" w:cs="Arial"/>
          <w:color w:val="333333"/>
          <w:lang w:val="en-US"/>
        </w:rPr>
      </w:pPr>
      <w:r w:rsidRPr="00B8270F">
        <w:rPr>
          <w:rFonts w:ascii="Open Sans" w:hAnsi="Open Sans" w:cs="Arial"/>
          <w:color w:val="333333"/>
          <w:lang w:val="en-US"/>
        </w:rPr>
        <w:t>Table I</w:t>
      </w:r>
      <w:r>
        <w:rPr>
          <w:rFonts w:ascii="Open Sans" w:hAnsi="Open Sans" w:cs="Arial"/>
          <w:color w:val="333333"/>
          <w:lang w:val="en-US"/>
        </w:rPr>
        <w:t>I</w:t>
      </w:r>
      <w:r w:rsidRPr="00B8270F">
        <w:rPr>
          <w:rFonts w:ascii="Open Sans" w:hAnsi="Open Sans" w:cs="Arial"/>
          <w:color w:val="333333"/>
          <w:lang w:val="en-US"/>
        </w:rPr>
        <w:t>: Diversity climate conceptualization</w:t>
      </w:r>
    </w:p>
    <w:p w14:paraId="19D3E65B" w14:textId="77777777" w:rsidR="00CB4BB9" w:rsidRPr="00F50AB5" w:rsidRDefault="00CB4BB9" w:rsidP="00CB4BB9">
      <w:pPr>
        <w:jc w:val="center"/>
        <w:rPr>
          <w:lang w:val="en-GB" w:eastAsia="en-GB"/>
        </w:rPr>
      </w:pPr>
    </w:p>
    <w:tbl>
      <w:tblPr>
        <w:tblW w:w="9493" w:type="dxa"/>
        <w:jc w:val="center"/>
        <w:tblLayout w:type="fixed"/>
        <w:tblCellMar>
          <w:left w:w="70" w:type="dxa"/>
          <w:right w:w="70" w:type="dxa"/>
        </w:tblCellMar>
        <w:tblLook w:val="04A0" w:firstRow="1" w:lastRow="0" w:firstColumn="1" w:lastColumn="0" w:noHBand="0" w:noVBand="1"/>
      </w:tblPr>
      <w:tblGrid>
        <w:gridCol w:w="3164"/>
        <w:gridCol w:w="3164"/>
        <w:gridCol w:w="3165"/>
      </w:tblGrid>
      <w:tr w:rsidR="00CB4BB9" w:rsidRPr="00D667B4" w14:paraId="2F2E273C" w14:textId="77777777" w:rsidTr="00B33095">
        <w:trPr>
          <w:trHeight w:val="510"/>
          <w:jc w:val="center"/>
        </w:trPr>
        <w:tc>
          <w:tcPr>
            <w:tcW w:w="949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38E821" w14:textId="77777777" w:rsidR="00CB4BB9" w:rsidRPr="00714946" w:rsidRDefault="00CB4BB9" w:rsidP="00B33095">
            <w:pPr>
              <w:jc w:val="center"/>
              <w:rPr>
                <w:b/>
                <w:bCs/>
                <w:color w:val="000000"/>
                <w:lang w:val="en-US"/>
              </w:rPr>
            </w:pPr>
            <w:r w:rsidRPr="00714946">
              <w:rPr>
                <w:rFonts w:ascii="Open Sans" w:hAnsi="Open Sans" w:cs="Arial"/>
                <w:b/>
                <w:color w:val="333333"/>
                <w:lang w:val="en-US"/>
              </w:rPr>
              <w:t>Diversity climate</w:t>
            </w:r>
          </w:p>
        </w:tc>
      </w:tr>
      <w:tr w:rsidR="00CB4BB9" w:rsidRPr="0087018C" w14:paraId="3C0F370A" w14:textId="77777777" w:rsidTr="00B33095">
        <w:trPr>
          <w:trHeight w:val="510"/>
          <w:jc w:val="center"/>
        </w:trPr>
        <w:tc>
          <w:tcPr>
            <w:tcW w:w="94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A3FC58" w14:textId="77777777" w:rsidR="00CB4BB9" w:rsidRDefault="00CB4BB9" w:rsidP="00B33095">
            <w:pPr>
              <w:jc w:val="center"/>
              <w:rPr>
                <w:i/>
                <w:lang w:val="en-US"/>
              </w:rPr>
            </w:pPr>
            <w:r w:rsidRPr="004D09BE">
              <w:rPr>
                <w:i/>
                <w:lang w:val="en-US"/>
              </w:rPr>
              <w:t>the shared perception by employees of intent, programs, attitudes and behaviors in favor of relevant forms of diversity in the social context of the organization</w:t>
            </w:r>
          </w:p>
          <w:p w14:paraId="661483C0" w14:textId="77777777" w:rsidR="00CB4BB9" w:rsidRPr="00D667B4" w:rsidRDefault="00CB4BB9" w:rsidP="00B33095">
            <w:pPr>
              <w:jc w:val="center"/>
              <w:rPr>
                <w:b/>
                <w:bCs/>
                <w:color w:val="000000"/>
                <w:lang w:val="en-US"/>
              </w:rPr>
            </w:pPr>
          </w:p>
        </w:tc>
      </w:tr>
      <w:tr w:rsidR="00CB4BB9" w:rsidRPr="00D667B4" w14:paraId="35DBAD57" w14:textId="77777777" w:rsidTr="00B33095">
        <w:trPr>
          <w:trHeight w:val="510"/>
          <w:jc w:val="center"/>
        </w:trPr>
        <w:tc>
          <w:tcPr>
            <w:tcW w:w="31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BF4FC1" w14:textId="77777777" w:rsidR="00CB4BB9" w:rsidRPr="00D667B4" w:rsidRDefault="00CB4BB9" w:rsidP="00B33095">
            <w:pPr>
              <w:jc w:val="center"/>
              <w:rPr>
                <w:b/>
                <w:bCs/>
                <w:color w:val="000000"/>
                <w:lang w:val="en-US"/>
              </w:rPr>
            </w:pPr>
            <w:r>
              <w:rPr>
                <w:b/>
                <w:bCs/>
                <w:color w:val="000000"/>
                <w:lang w:val="en-US"/>
              </w:rPr>
              <w:t>Intentionality</w:t>
            </w:r>
          </w:p>
        </w:tc>
        <w:tc>
          <w:tcPr>
            <w:tcW w:w="316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C635FC6" w14:textId="77777777" w:rsidR="00CB4BB9" w:rsidRPr="00D667B4" w:rsidRDefault="00CB4BB9" w:rsidP="00B33095">
            <w:pPr>
              <w:jc w:val="center"/>
              <w:rPr>
                <w:b/>
                <w:bCs/>
                <w:color w:val="000000"/>
                <w:lang w:val="en-US"/>
              </w:rPr>
            </w:pPr>
            <w:r>
              <w:rPr>
                <w:b/>
                <w:bCs/>
                <w:color w:val="000000"/>
                <w:lang w:val="en-US"/>
              </w:rPr>
              <w:t>Programmatic</w:t>
            </w:r>
          </w:p>
        </w:tc>
        <w:tc>
          <w:tcPr>
            <w:tcW w:w="316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B5E25C5" w14:textId="77777777" w:rsidR="00CB4BB9" w:rsidRPr="00D667B4" w:rsidRDefault="00CB4BB9" w:rsidP="00B33095">
            <w:pPr>
              <w:jc w:val="center"/>
              <w:rPr>
                <w:b/>
                <w:bCs/>
                <w:color w:val="000000"/>
                <w:lang w:val="en-US"/>
              </w:rPr>
            </w:pPr>
            <w:r w:rsidRPr="00D667B4">
              <w:rPr>
                <w:b/>
                <w:bCs/>
                <w:color w:val="000000"/>
                <w:lang w:val="en-US"/>
              </w:rPr>
              <w:t>Praxis</w:t>
            </w:r>
          </w:p>
        </w:tc>
      </w:tr>
      <w:tr w:rsidR="00CB4BB9" w:rsidRPr="0087018C" w14:paraId="2BB79A44" w14:textId="77777777" w:rsidTr="00B33095">
        <w:trPr>
          <w:trHeight w:val="576"/>
          <w:jc w:val="center"/>
        </w:trPr>
        <w:tc>
          <w:tcPr>
            <w:tcW w:w="3164" w:type="dxa"/>
            <w:tcBorders>
              <w:top w:val="nil"/>
              <w:left w:val="single" w:sz="4" w:space="0" w:color="auto"/>
              <w:bottom w:val="single" w:sz="4" w:space="0" w:color="auto"/>
              <w:right w:val="single" w:sz="4" w:space="0" w:color="auto"/>
            </w:tcBorders>
            <w:shd w:val="clear" w:color="auto" w:fill="auto"/>
            <w:noWrap/>
            <w:vAlign w:val="center"/>
            <w:hideMark/>
          </w:tcPr>
          <w:p w14:paraId="4795B3FA" w14:textId="77777777" w:rsidR="00CB4BB9" w:rsidRPr="00714946" w:rsidRDefault="00CB4BB9" w:rsidP="00B33095">
            <w:pPr>
              <w:jc w:val="center"/>
              <w:rPr>
                <w:b/>
                <w:i/>
                <w:color w:val="000000"/>
                <w:lang w:val="en-US"/>
              </w:rPr>
            </w:pPr>
            <w:r w:rsidRPr="00714946">
              <w:rPr>
                <w:i/>
                <w:color w:val="000000"/>
                <w:lang w:val="en-US"/>
              </w:rPr>
              <w:t>perceptions that the organization values diversity in discourse</w:t>
            </w:r>
          </w:p>
        </w:tc>
        <w:tc>
          <w:tcPr>
            <w:tcW w:w="3164" w:type="dxa"/>
            <w:tcBorders>
              <w:top w:val="nil"/>
              <w:left w:val="nil"/>
              <w:bottom w:val="single" w:sz="4" w:space="0" w:color="auto"/>
              <w:right w:val="single" w:sz="4" w:space="0" w:color="auto"/>
            </w:tcBorders>
            <w:shd w:val="clear" w:color="auto" w:fill="auto"/>
            <w:noWrap/>
            <w:vAlign w:val="center"/>
            <w:hideMark/>
          </w:tcPr>
          <w:p w14:paraId="552661B3" w14:textId="77777777" w:rsidR="00CB4BB9" w:rsidRDefault="00CB4BB9" w:rsidP="00B33095">
            <w:pPr>
              <w:jc w:val="center"/>
              <w:rPr>
                <w:i/>
                <w:lang w:val="en-US"/>
              </w:rPr>
            </w:pPr>
            <w:r w:rsidRPr="00714946">
              <w:rPr>
                <w:i/>
                <w:lang w:val="en-US"/>
              </w:rPr>
              <w:t>perception</w:t>
            </w:r>
            <w:r>
              <w:rPr>
                <w:i/>
                <w:lang w:val="en-US"/>
              </w:rPr>
              <w:t>s</w:t>
            </w:r>
            <w:r w:rsidRPr="00714946">
              <w:rPr>
                <w:i/>
                <w:lang w:val="en-US"/>
              </w:rPr>
              <w:t xml:space="preserve"> of formal diversity programs or policies and action plans set up within the organization to develop and support workforce diversity</w:t>
            </w:r>
          </w:p>
          <w:p w14:paraId="3C7EEEBD" w14:textId="77777777" w:rsidR="00CB4BB9" w:rsidRDefault="00CB4BB9" w:rsidP="00B33095">
            <w:pPr>
              <w:jc w:val="center"/>
              <w:rPr>
                <w:i/>
                <w:lang w:val="en-US"/>
              </w:rPr>
            </w:pPr>
          </w:p>
          <w:p w14:paraId="6C9992E9" w14:textId="77777777" w:rsidR="00CB4BB9" w:rsidRPr="00714946" w:rsidRDefault="00CB4BB9" w:rsidP="00B33095">
            <w:pPr>
              <w:jc w:val="center"/>
              <w:rPr>
                <w:i/>
                <w:color w:val="000000"/>
                <w:lang w:val="en-US"/>
              </w:rPr>
            </w:pPr>
          </w:p>
        </w:tc>
        <w:tc>
          <w:tcPr>
            <w:tcW w:w="3165" w:type="dxa"/>
            <w:tcBorders>
              <w:top w:val="nil"/>
              <w:left w:val="nil"/>
              <w:bottom w:val="single" w:sz="4" w:space="0" w:color="auto"/>
              <w:right w:val="single" w:sz="4" w:space="0" w:color="auto"/>
            </w:tcBorders>
            <w:shd w:val="clear" w:color="auto" w:fill="auto"/>
            <w:noWrap/>
            <w:vAlign w:val="center"/>
            <w:hideMark/>
          </w:tcPr>
          <w:p w14:paraId="5AA5F512" w14:textId="77777777" w:rsidR="00CB4BB9" w:rsidRPr="00714946" w:rsidRDefault="00CB4BB9" w:rsidP="00B33095">
            <w:pPr>
              <w:jc w:val="center"/>
              <w:rPr>
                <w:i/>
                <w:color w:val="000000"/>
                <w:lang w:val="en-US"/>
              </w:rPr>
            </w:pPr>
            <w:r w:rsidRPr="00714946">
              <w:rPr>
                <w:i/>
                <w:lang w:val="en-US"/>
              </w:rPr>
              <w:t>perceptions about management’s and colleagues’ attitudes and behaviors towards diverse people</w:t>
            </w:r>
            <w:r w:rsidRPr="00714946" w:rsidDel="000D4F30">
              <w:rPr>
                <w:i/>
                <w:color w:val="000000"/>
                <w:lang w:val="en-US"/>
              </w:rPr>
              <w:t xml:space="preserve"> </w:t>
            </w:r>
          </w:p>
        </w:tc>
      </w:tr>
    </w:tbl>
    <w:p w14:paraId="2401503B" w14:textId="77777777" w:rsidR="00CB4BB9" w:rsidRDefault="00CB4BB9" w:rsidP="00483EC1">
      <w:pPr>
        <w:spacing w:line="480" w:lineRule="auto"/>
        <w:jc w:val="center"/>
        <w:rPr>
          <w:lang w:val="en-US"/>
        </w:rPr>
      </w:pPr>
    </w:p>
    <w:p w14:paraId="310427CD" w14:textId="04F4C14A" w:rsidR="00483EC1" w:rsidRDefault="00483EC1" w:rsidP="00483EC1">
      <w:pPr>
        <w:spacing w:line="480" w:lineRule="auto"/>
        <w:jc w:val="center"/>
        <w:rPr>
          <w:lang w:val="en-US"/>
        </w:rPr>
      </w:pPr>
      <w:r>
        <w:rPr>
          <w:lang w:val="en-US"/>
        </w:rPr>
        <w:t>Table II</w:t>
      </w:r>
      <w:r w:rsidR="00CB4BB9">
        <w:rPr>
          <w:lang w:val="en-US"/>
        </w:rPr>
        <w:t>I</w:t>
      </w:r>
      <w:r>
        <w:rPr>
          <w:lang w:val="en-US"/>
        </w:rPr>
        <w:t>: Limitations inherent in diversity climate measures</w:t>
      </w:r>
    </w:p>
    <w:tbl>
      <w:tblPr>
        <w:tblStyle w:val="Grilledutableau"/>
        <w:tblW w:w="0" w:type="auto"/>
        <w:tblLook w:val="04A0" w:firstRow="1" w:lastRow="0" w:firstColumn="1" w:lastColumn="0" w:noHBand="0" w:noVBand="1"/>
      </w:tblPr>
      <w:tblGrid>
        <w:gridCol w:w="5680"/>
        <w:gridCol w:w="3380"/>
      </w:tblGrid>
      <w:tr w:rsidR="00483EC1" w:rsidRPr="0087018C" w14:paraId="11D1706C" w14:textId="77777777" w:rsidTr="00315FCD">
        <w:tc>
          <w:tcPr>
            <w:tcW w:w="5778" w:type="dxa"/>
          </w:tcPr>
          <w:p w14:paraId="0777B6A6" w14:textId="77777777" w:rsidR="00483EC1" w:rsidRPr="009E5701" w:rsidRDefault="00483EC1" w:rsidP="00315FCD">
            <w:pPr>
              <w:spacing w:line="480" w:lineRule="auto"/>
              <w:jc w:val="center"/>
              <w:rPr>
                <w:b/>
                <w:bCs/>
                <w:lang w:val="en-US"/>
              </w:rPr>
            </w:pPr>
            <w:r w:rsidRPr="009E5701">
              <w:rPr>
                <w:b/>
                <w:bCs/>
                <w:lang w:val="en-US"/>
              </w:rPr>
              <w:t>Limitation</w:t>
            </w:r>
            <w:r>
              <w:rPr>
                <w:b/>
                <w:bCs/>
                <w:lang w:val="en-US"/>
              </w:rPr>
              <w:t>s</w:t>
            </w:r>
          </w:p>
        </w:tc>
        <w:tc>
          <w:tcPr>
            <w:tcW w:w="3432" w:type="dxa"/>
          </w:tcPr>
          <w:p w14:paraId="16A6A33F" w14:textId="77777777" w:rsidR="00483EC1" w:rsidRPr="009E5701" w:rsidRDefault="00483EC1" w:rsidP="00315FCD">
            <w:pPr>
              <w:jc w:val="center"/>
              <w:rPr>
                <w:b/>
                <w:bCs/>
                <w:lang w:val="en-US"/>
              </w:rPr>
            </w:pPr>
            <w:r>
              <w:rPr>
                <w:b/>
                <w:bCs/>
                <w:lang w:val="en-US"/>
              </w:rPr>
              <w:t>R</w:t>
            </w:r>
            <w:r w:rsidRPr="009E5701">
              <w:rPr>
                <w:b/>
                <w:bCs/>
                <w:lang w:val="en-US"/>
              </w:rPr>
              <w:t xml:space="preserve">eview where limitation is </w:t>
            </w:r>
            <w:r>
              <w:rPr>
                <w:b/>
                <w:bCs/>
                <w:lang w:val="en-US"/>
              </w:rPr>
              <w:t xml:space="preserve">initially </w:t>
            </w:r>
            <w:r w:rsidRPr="009E5701">
              <w:rPr>
                <w:b/>
                <w:bCs/>
                <w:lang w:val="en-US"/>
              </w:rPr>
              <w:t>identified</w:t>
            </w:r>
          </w:p>
        </w:tc>
      </w:tr>
      <w:tr w:rsidR="00A14C9B" w:rsidRPr="00834BD1" w14:paraId="529F1B78" w14:textId="77777777" w:rsidTr="00C823C0">
        <w:trPr>
          <w:trHeight w:val="663"/>
        </w:trPr>
        <w:tc>
          <w:tcPr>
            <w:tcW w:w="5778" w:type="dxa"/>
          </w:tcPr>
          <w:p w14:paraId="5D209654" w14:textId="77777777" w:rsidR="00A14C9B" w:rsidRDefault="00A14C9B" w:rsidP="00C823C0">
            <w:pPr>
              <w:rPr>
                <w:lang w:val="en-US"/>
              </w:rPr>
            </w:pPr>
            <w:r>
              <w:rPr>
                <w:lang w:val="en-US"/>
              </w:rPr>
              <w:t>Dominance of the fairness &amp; discrimination over the synergy perspective</w:t>
            </w:r>
          </w:p>
        </w:tc>
        <w:tc>
          <w:tcPr>
            <w:tcW w:w="3432" w:type="dxa"/>
          </w:tcPr>
          <w:p w14:paraId="4633F732" w14:textId="77777777" w:rsidR="00A14C9B" w:rsidRDefault="00A14C9B" w:rsidP="00C823C0">
            <w:pPr>
              <w:rPr>
                <w:lang w:val="en-US"/>
              </w:rPr>
            </w:pPr>
            <w:r>
              <w:rPr>
                <w:lang w:val="en-US"/>
              </w:rPr>
              <w:t>Dwertmann et al. (2016)</w:t>
            </w:r>
          </w:p>
        </w:tc>
      </w:tr>
      <w:tr w:rsidR="00483EC1" w:rsidRPr="000D463D" w14:paraId="070FB566" w14:textId="77777777" w:rsidTr="00315FCD">
        <w:trPr>
          <w:trHeight w:val="663"/>
        </w:trPr>
        <w:tc>
          <w:tcPr>
            <w:tcW w:w="5778" w:type="dxa"/>
          </w:tcPr>
          <w:p w14:paraId="2AD28C1E" w14:textId="77777777" w:rsidR="00483EC1" w:rsidRDefault="00483EC1" w:rsidP="00315FCD">
            <w:pPr>
              <w:rPr>
                <w:lang w:val="en-US"/>
              </w:rPr>
            </w:pPr>
            <w:r>
              <w:rPr>
                <w:lang w:val="en-US"/>
              </w:rPr>
              <w:t>Misalignment between concept definition and measure dimensions/items</w:t>
            </w:r>
          </w:p>
        </w:tc>
        <w:tc>
          <w:tcPr>
            <w:tcW w:w="3432" w:type="dxa"/>
          </w:tcPr>
          <w:p w14:paraId="6A562D2B" w14:textId="77777777" w:rsidR="00483EC1" w:rsidRDefault="00483EC1" w:rsidP="00315FCD">
            <w:pPr>
              <w:rPr>
                <w:lang w:val="en-US"/>
              </w:rPr>
            </w:pPr>
            <w:r w:rsidRPr="004F74AF">
              <w:rPr>
                <w:lang w:val="en-US"/>
              </w:rPr>
              <w:t>Chrobot-Mason and Aramovich (2013</w:t>
            </w:r>
            <w:r>
              <w:rPr>
                <w:lang w:val="en-US"/>
              </w:rPr>
              <w:t xml:space="preserve">) </w:t>
            </w:r>
          </w:p>
        </w:tc>
      </w:tr>
      <w:tr w:rsidR="00483EC1" w14:paraId="30986FBC" w14:textId="77777777" w:rsidTr="00315FCD">
        <w:trPr>
          <w:trHeight w:val="663"/>
        </w:trPr>
        <w:tc>
          <w:tcPr>
            <w:tcW w:w="5778" w:type="dxa"/>
          </w:tcPr>
          <w:p w14:paraId="00AEB751" w14:textId="77777777" w:rsidR="00483EC1" w:rsidRDefault="00483EC1" w:rsidP="00315FCD">
            <w:pPr>
              <w:rPr>
                <w:lang w:val="en-US"/>
              </w:rPr>
            </w:pPr>
            <w:r>
              <w:rPr>
                <w:lang w:val="en-US"/>
              </w:rPr>
              <w:t xml:space="preserve">Individual level analysis while relying on organizational climate framework </w:t>
            </w:r>
          </w:p>
        </w:tc>
        <w:tc>
          <w:tcPr>
            <w:tcW w:w="3432" w:type="dxa"/>
          </w:tcPr>
          <w:p w14:paraId="49BB46D0" w14:textId="77777777" w:rsidR="00483EC1" w:rsidRDefault="00483EC1" w:rsidP="00315FCD">
            <w:pPr>
              <w:rPr>
                <w:lang w:val="en-US"/>
              </w:rPr>
            </w:pPr>
            <w:r>
              <w:rPr>
                <w:lang w:val="en-US"/>
              </w:rPr>
              <w:t>McKay and Avery (2015)</w:t>
            </w:r>
          </w:p>
        </w:tc>
      </w:tr>
      <w:tr w:rsidR="00483EC1" w14:paraId="1BAEE3F3" w14:textId="77777777" w:rsidTr="00315FCD">
        <w:trPr>
          <w:trHeight w:val="663"/>
        </w:trPr>
        <w:tc>
          <w:tcPr>
            <w:tcW w:w="5778" w:type="dxa"/>
          </w:tcPr>
          <w:p w14:paraId="630339E4" w14:textId="77777777" w:rsidR="00483EC1" w:rsidRDefault="00483EC1" w:rsidP="00315FCD">
            <w:pPr>
              <w:rPr>
                <w:lang w:val="en-US"/>
              </w:rPr>
            </w:pPr>
            <w:r>
              <w:rPr>
                <w:lang w:val="en-US"/>
              </w:rPr>
              <w:t>Target of perceptions varied (commitment, policies, behaviors such as valuing, listening, etc…)</w:t>
            </w:r>
          </w:p>
        </w:tc>
        <w:tc>
          <w:tcPr>
            <w:tcW w:w="3432" w:type="dxa"/>
          </w:tcPr>
          <w:p w14:paraId="0DD0BB52" w14:textId="77777777" w:rsidR="00483EC1" w:rsidRDefault="00483EC1" w:rsidP="00315FCD">
            <w:pPr>
              <w:rPr>
                <w:lang w:val="en-US"/>
              </w:rPr>
            </w:pPr>
            <w:r>
              <w:rPr>
                <w:lang w:val="en-US"/>
              </w:rPr>
              <w:t>Dwertmann et al. (2016)</w:t>
            </w:r>
          </w:p>
        </w:tc>
      </w:tr>
      <w:tr w:rsidR="00483EC1" w:rsidRPr="00E276FD" w14:paraId="0722326D" w14:textId="77777777" w:rsidTr="00315FCD">
        <w:trPr>
          <w:trHeight w:val="663"/>
        </w:trPr>
        <w:tc>
          <w:tcPr>
            <w:tcW w:w="5778" w:type="dxa"/>
          </w:tcPr>
          <w:p w14:paraId="1F6BACBC" w14:textId="77777777" w:rsidR="00483EC1" w:rsidRDefault="00483EC1" w:rsidP="00315FCD">
            <w:pPr>
              <w:rPr>
                <w:lang w:val="en-US"/>
              </w:rPr>
            </w:pPr>
            <w:r>
              <w:rPr>
                <w:lang w:val="en-US"/>
              </w:rPr>
              <w:lastRenderedPageBreak/>
              <w:t>Use of demographic data rather than perceptions</w:t>
            </w:r>
          </w:p>
        </w:tc>
        <w:tc>
          <w:tcPr>
            <w:tcW w:w="3432" w:type="dxa"/>
          </w:tcPr>
          <w:p w14:paraId="00CE5868" w14:textId="77777777" w:rsidR="00483EC1" w:rsidRDefault="00483EC1" w:rsidP="00315FCD">
            <w:pPr>
              <w:rPr>
                <w:lang w:val="en-US"/>
              </w:rPr>
            </w:pPr>
            <w:r>
              <w:rPr>
                <w:lang w:val="en-US"/>
              </w:rPr>
              <w:t>Cachat-Rosset et al. (2017)</w:t>
            </w:r>
          </w:p>
        </w:tc>
      </w:tr>
      <w:tr w:rsidR="00483EC1" w:rsidRPr="00B74FBE" w14:paraId="33A07EAC" w14:textId="77777777" w:rsidTr="00315FCD">
        <w:tc>
          <w:tcPr>
            <w:tcW w:w="5778" w:type="dxa"/>
          </w:tcPr>
          <w:p w14:paraId="45F52C42" w14:textId="77777777" w:rsidR="00483EC1" w:rsidRDefault="00483EC1" w:rsidP="00315FCD">
            <w:pPr>
              <w:rPr>
                <w:lang w:val="en-US"/>
              </w:rPr>
            </w:pPr>
            <w:r>
              <w:rPr>
                <w:lang w:val="en-US"/>
              </w:rPr>
              <w:t xml:space="preserve">Foci not relevant with organizational climate assessment (self, designated categories). </w:t>
            </w:r>
          </w:p>
          <w:p w14:paraId="69AFA8D8" w14:textId="77777777" w:rsidR="00483EC1" w:rsidRDefault="00483EC1" w:rsidP="00315FCD">
            <w:pPr>
              <w:rPr>
                <w:lang w:val="en-US"/>
              </w:rPr>
            </w:pPr>
            <w:r>
              <w:rPr>
                <w:lang w:val="en-US"/>
              </w:rPr>
              <w:t xml:space="preserve">Designated categories hamper cross-national comparisons. </w:t>
            </w:r>
          </w:p>
        </w:tc>
        <w:tc>
          <w:tcPr>
            <w:tcW w:w="3432" w:type="dxa"/>
          </w:tcPr>
          <w:p w14:paraId="12ED45EE" w14:textId="77777777" w:rsidR="00483EC1" w:rsidRDefault="00483EC1" w:rsidP="00315FCD">
            <w:pPr>
              <w:rPr>
                <w:lang w:val="en-US"/>
              </w:rPr>
            </w:pPr>
            <w:r>
              <w:rPr>
                <w:lang w:val="en-US"/>
              </w:rPr>
              <w:t>Cachat-Rosset et al. (2017)</w:t>
            </w:r>
          </w:p>
        </w:tc>
      </w:tr>
    </w:tbl>
    <w:p w14:paraId="0A77CD1A" w14:textId="0CA97AF2" w:rsidR="00483EC1" w:rsidRDefault="00483EC1" w:rsidP="00483EC1">
      <w:pPr>
        <w:rPr>
          <w:lang w:val="en-GB" w:eastAsia="en-GB"/>
        </w:rPr>
      </w:pPr>
    </w:p>
    <w:p w14:paraId="5CDE3E86" w14:textId="1F0D5D28" w:rsidR="00483EC1" w:rsidRDefault="00483EC1" w:rsidP="00483EC1">
      <w:pPr>
        <w:rPr>
          <w:lang w:val="en-GB" w:eastAsia="en-GB"/>
        </w:rPr>
      </w:pPr>
    </w:p>
    <w:p w14:paraId="0C59CD38" w14:textId="77777777" w:rsidR="00A96732" w:rsidRDefault="00A96732">
      <w:pPr>
        <w:spacing w:after="200" w:line="276" w:lineRule="auto"/>
        <w:rPr>
          <w:lang w:val="en-US"/>
        </w:rPr>
      </w:pPr>
      <w:r>
        <w:rPr>
          <w:lang w:val="en-US"/>
        </w:rPr>
        <w:br w:type="page"/>
      </w:r>
    </w:p>
    <w:p w14:paraId="59177126" w14:textId="3321B50E" w:rsidR="00483EC1" w:rsidRPr="004D0F08" w:rsidRDefault="00483EC1" w:rsidP="00483EC1">
      <w:pPr>
        <w:spacing w:before="240" w:line="480" w:lineRule="auto"/>
        <w:jc w:val="center"/>
        <w:rPr>
          <w:lang w:val="en-US"/>
        </w:rPr>
      </w:pPr>
      <w:r>
        <w:rPr>
          <w:lang w:val="en-US"/>
        </w:rPr>
        <w:lastRenderedPageBreak/>
        <w:t>Table I</w:t>
      </w:r>
      <w:r w:rsidR="00CB4BB9">
        <w:rPr>
          <w:lang w:val="en-US"/>
        </w:rPr>
        <w:t>V</w:t>
      </w:r>
      <w:r>
        <w:rPr>
          <w:lang w:val="en-US"/>
        </w:rPr>
        <w:t>: Stages presentation</w:t>
      </w:r>
    </w:p>
    <w:tbl>
      <w:tblPr>
        <w:tblStyle w:val="Grilledutableau"/>
        <w:tblW w:w="0" w:type="auto"/>
        <w:jc w:val="center"/>
        <w:tblLook w:val="04A0" w:firstRow="1" w:lastRow="0" w:firstColumn="1" w:lastColumn="0" w:noHBand="0" w:noVBand="1"/>
      </w:tblPr>
      <w:tblGrid>
        <w:gridCol w:w="2946"/>
        <w:gridCol w:w="2627"/>
        <w:gridCol w:w="1690"/>
        <w:gridCol w:w="1797"/>
      </w:tblGrid>
      <w:tr w:rsidR="00483EC1" w:rsidRPr="0061089E" w14:paraId="4FCC9C01" w14:textId="77777777" w:rsidTr="00315FCD">
        <w:trPr>
          <w:trHeight w:val="411"/>
          <w:jc w:val="center"/>
        </w:trPr>
        <w:tc>
          <w:tcPr>
            <w:tcW w:w="2946" w:type="dxa"/>
            <w:vAlign w:val="center"/>
          </w:tcPr>
          <w:p w14:paraId="735C9C9D" w14:textId="77777777" w:rsidR="00483EC1" w:rsidRPr="00D259A8" w:rsidRDefault="00483EC1" w:rsidP="00315FCD">
            <w:pPr>
              <w:spacing w:after="120"/>
              <w:jc w:val="center"/>
              <w:rPr>
                <w:b/>
                <w:lang w:val="en-US"/>
              </w:rPr>
            </w:pPr>
            <w:r w:rsidRPr="00D259A8">
              <w:rPr>
                <w:b/>
                <w:lang w:val="en-US"/>
              </w:rPr>
              <w:t>Stage</w:t>
            </w:r>
            <w:r>
              <w:rPr>
                <w:b/>
                <w:lang w:val="en-US"/>
              </w:rPr>
              <w:t xml:space="preserve"> / Step</w:t>
            </w:r>
          </w:p>
        </w:tc>
        <w:tc>
          <w:tcPr>
            <w:tcW w:w="2627" w:type="dxa"/>
            <w:vAlign w:val="center"/>
          </w:tcPr>
          <w:p w14:paraId="42F11CC2" w14:textId="77777777" w:rsidR="00483EC1" w:rsidRPr="00D259A8" w:rsidRDefault="00483EC1" w:rsidP="00315FCD">
            <w:pPr>
              <w:spacing w:after="120"/>
              <w:jc w:val="center"/>
              <w:rPr>
                <w:b/>
                <w:lang w:val="en-US"/>
              </w:rPr>
            </w:pPr>
            <w:r w:rsidRPr="00D259A8">
              <w:rPr>
                <w:b/>
                <w:lang w:val="en-US"/>
              </w:rPr>
              <w:t>Method / Technique</w:t>
            </w:r>
          </w:p>
        </w:tc>
        <w:tc>
          <w:tcPr>
            <w:tcW w:w="1690" w:type="dxa"/>
            <w:vAlign w:val="center"/>
          </w:tcPr>
          <w:p w14:paraId="36E923B5" w14:textId="77777777" w:rsidR="00483EC1" w:rsidRPr="00D259A8" w:rsidRDefault="00483EC1" w:rsidP="00315FCD">
            <w:pPr>
              <w:spacing w:after="120"/>
              <w:jc w:val="center"/>
              <w:rPr>
                <w:b/>
                <w:lang w:val="en-US"/>
              </w:rPr>
            </w:pPr>
            <w:r w:rsidRPr="00D259A8">
              <w:rPr>
                <w:b/>
                <w:lang w:val="en-US"/>
              </w:rPr>
              <w:t>Number of resulting items</w:t>
            </w:r>
          </w:p>
        </w:tc>
        <w:tc>
          <w:tcPr>
            <w:tcW w:w="1797" w:type="dxa"/>
            <w:vAlign w:val="center"/>
          </w:tcPr>
          <w:p w14:paraId="290B9971" w14:textId="77777777" w:rsidR="00483EC1" w:rsidRDefault="00483EC1" w:rsidP="00315FCD">
            <w:pPr>
              <w:spacing w:after="120"/>
              <w:jc w:val="center"/>
              <w:rPr>
                <w:b/>
                <w:lang w:val="en-US"/>
              </w:rPr>
            </w:pPr>
            <w:r>
              <w:rPr>
                <w:b/>
                <w:lang w:val="en-US"/>
              </w:rPr>
              <w:t>Actor/</w:t>
            </w:r>
          </w:p>
          <w:p w14:paraId="3D0A50DA" w14:textId="77777777" w:rsidR="00483EC1" w:rsidRPr="00D259A8" w:rsidRDefault="00483EC1" w:rsidP="00315FCD">
            <w:pPr>
              <w:spacing w:after="120"/>
              <w:jc w:val="center"/>
              <w:rPr>
                <w:b/>
                <w:lang w:val="en-US"/>
              </w:rPr>
            </w:pPr>
            <w:r w:rsidRPr="00D259A8">
              <w:rPr>
                <w:b/>
                <w:lang w:val="en-US"/>
              </w:rPr>
              <w:t>Sample</w:t>
            </w:r>
          </w:p>
        </w:tc>
      </w:tr>
      <w:tr w:rsidR="00483EC1" w:rsidRPr="00D259A8" w14:paraId="2EBF4FC9" w14:textId="77777777" w:rsidTr="00315FCD">
        <w:trPr>
          <w:jc w:val="center"/>
        </w:trPr>
        <w:tc>
          <w:tcPr>
            <w:tcW w:w="7263" w:type="dxa"/>
            <w:gridSpan w:val="3"/>
            <w:shd w:val="clear" w:color="auto" w:fill="F2F2F2" w:themeFill="background1" w:themeFillShade="F2"/>
            <w:vAlign w:val="center"/>
          </w:tcPr>
          <w:p w14:paraId="77899FE9" w14:textId="77777777" w:rsidR="00483EC1" w:rsidRPr="0061089E" w:rsidRDefault="00483EC1" w:rsidP="00315FCD">
            <w:pPr>
              <w:spacing w:after="120"/>
              <w:jc w:val="center"/>
              <w:rPr>
                <w:lang w:val="en-US"/>
              </w:rPr>
            </w:pPr>
            <w:r>
              <w:rPr>
                <w:b/>
                <w:lang w:val="en-US"/>
              </w:rPr>
              <w:t>Stage</w:t>
            </w:r>
            <w:r w:rsidRPr="0061089E">
              <w:rPr>
                <w:b/>
                <w:lang w:val="en-US"/>
              </w:rPr>
              <w:t xml:space="preserve"> 1: </w:t>
            </w:r>
            <w:r>
              <w:rPr>
                <w:b/>
                <w:lang w:val="en-US"/>
              </w:rPr>
              <w:t>Scale Development</w:t>
            </w:r>
          </w:p>
        </w:tc>
        <w:tc>
          <w:tcPr>
            <w:tcW w:w="1797" w:type="dxa"/>
            <w:shd w:val="clear" w:color="auto" w:fill="F2F2F2" w:themeFill="background1" w:themeFillShade="F2"/>
            <w:vAlign w:val="center"/>
          </w:tcPr>
          <w:p w14:paraId="75C8ADC5" w14:textId="77777777" w:rsidR="00483EC1" w:rsidRPr="0061089E" w:rsidRDefault="00483EC1" w:rsidP="00315FCD">
            <w:pPr>
              <w:spacing w:after="120"/>
              <w:rPr>
                <w:b/>
                <w:lang w:val="en-US"/>
              </w:rPr>
            </w:pPr>
          </w:p>
        </w:tc>
      </w:tr>
      <w:tr w:rsidR="00483EC1" w:rsidRPr="0061089E" w14:paraId="527BBEAD" w14:textId="77777777" w:rsidTr="00315FCD">
        <w:trPr>
          <w:jc w:val="center"/>
        </w:trPr>
        <w:tc>
          <w:tcPr>
            <w:tcW w:w="2946" w:type="dxa"/>
            <w:vAlign w:val="center"/>
          </w:tcPr>
          <w:p w14:paraId="7C64972D" w14:textId="77777777" w:rsidR="00483EC1" w:rsidRPr="0061089E" w:rsidRDefault="00483EC1" w:rsidP="00315FCD">
            <w:pPr>
              <w:rPr>
                <w:lang w:val="en-US"/>
              </w:rPr>
            </w:pPr>
            <w:r>
              <w:rPr>
                <w:lang w:val="en-US"/>
              </w:rPr>
              <w:t>Construct dimensionality</w:t>
            </w:r>
          </w:p>
        </w:tc>
        <w:tc>
          <w:tcPr>
            <w:tcW w:w="2627" w:type="dxa"/>
            <w:vAlign w:val="center"/>
          </w:tcPr>
          <w:p w14:paraId="3A088C4A" w14:textId="77777777" w:rsidR="00483EC1" w:rsidRPr="0061089E" w:rsidRDefault="00483EC1" w:rsidP="00315FCD">
            <w:pPr>
              <w:rPr>
                <w:lang w:val="en-US"/>
              </w:rPr>
            </w:pPr>
            <w:r>
              <w:rPr>
                <w:lang w:val="en-US"/>
              </w:rPr>
              <w:t>Conceptual development</w:t>
            </w:r>
          </w:p>
        </w:tc>
        <w:tc>
          <w:tcPr>
            <w:tcW w:w="3487" w:type="dxa"/>
            <w:gridSpan w:val="2"/>
            <w:vAlign w:val="center"/>
          </w:tcPr>
          <w:p w14:paraId="74FABEEF" w14:textId="77777777" w:rsidR="00483EC1" w:rsidRDefault="00483EC1" w:rsidP="00315FCD">
            <w:pPr>
              <w:spacing w:after="120"/>
              <w:jc w:val="center"/>
              <w:rPr>
                <w:lang w:val="en-US"/>
              </w:rPr>
            </w:pPr>
          </w:p>
        </w:tc>
      </w:tr>
      <w:tr w:rsidR="00483EC1" w:rsidRPr="0061089E" w14:paraId="19A8BC90" w14:textId="77777777" w:rsidTr="00315FCD">
        <w:trPr>
          <w:jc w:val="center"/>
        </w:trPr>
        <w:tc>
          <w:tcPr>
            <w:tcW w:w="2946" w:type="dxa"/>
            <w:vAlign w:val="center"/>
          </w:tcPr>
          <w:p w14:paraId="704EC365" w14:textId="77777777" w:rsidR="00483EC1" w:rsidRPr="0061089E" w:rsidRDefault="00483EC1" w:rsidP="00315FCD">
            <w:pPr>
              <w:rPr>
                <w:lang w:val="en-US"/>
              </w:rPr>
            </w:pPr>
            <w:r>
              <w:rPr>
                <w:lang w:val="en-US"/>
              </w:rPr>
              <w:t>I</w:t>
            </w:r>
            <w:r w:rsidRPr="0061089E">
              <w:rPr>
                <w:lang w:val="en-US"/>
              </w:rPr>
              <w:t>tems generation</w:t>
            </w:r>
          </w:p>
        </w:tc>
        <w:tc>
          <w:tcPr>
            <w:tcW w:w="2627" w:type="dxa"/>
            <w:vAlign w:val="center"/>
          </w:tcPr>
          <w:p w14:paraId="18AADDA6" w14:textId="77777777" w:rsidR="00483EC1" w:rsidRPr="0061089E" w:rsidRDefault="00483EC1" w:rsidP="00315FCD">
            <w:pPr>
              <w:rPr>
                <w:lang w:val="en-US"/>
              </w:rPr>
            </w:pPr>
            <w:r w:rsidRPr="0061089E">
              <w:rPr>
                <w:lang w:val="en-US"/>
              </w:rPr>
              <w:t>Literature review</w:t>
            </w:r>
          </w:p>
        </w:tc>
        <w:tc>
          <w:tcPr>
            <w:tcW w:w="1690" w:type="dxa"/>
            <w:vAlign w:val="center"/>
          </w:tcPr>
          <w:p w14:paraId="6E05E8C4" w14:textId="77777777" w:rsidR="00483EC1" w:rsidRPr="0061089E" w:rsidRDefault="00483EC1" w:rsidP="00315FCD">
            <w:pPr>
              <w:spacing w:after="120"/>
              <w:jc w:val="center"/>
              <w:rPr>
                <w:lang w:val="en-US"/>
              </w:rPr>
            </w:pPr>
            <w:r w:rsidRPr="0061089E">
              <w:rPr>
                <w:lang w:val="en-US"/>
              </w:rPr>
              <w:t>114</w:t>
            </w:r>
          </w:p>
        </w:tc>
        <w:tc>
          <w:tcPr>
            <w:tcW w:w="1797" w:type="dxa"/>
            <w:vAlign w:val="center"/>
          </w:tcPr>
          <w:p w14:paraId="73BFA1A2" w14:textId="294FA11D" w:rsidR="00483EC1" w:rsidRPr="0061089E" w:rsidRDefault="00483EC1" w:rsidP="00315FCD">
            <w:pPr>
              <w:spacing w:after="120"/>
              <w:jc w:val="center"/>
              <w:rPr>
                <w:lang w:val="en-US"/>
              </w:rPr>
            </w:pPr>
            <w:r>
              <w:rPr>
                <w:lang w:val="en-US"/>
              </w:rPr>
              <w:t>3</w:t>
            </w:r>
            <w:r w:rsidR="00AD181F">
              <w:rPr>
                <w:lang w:val="en-US"/>
              </w:rPr>
              <w:t>4</w:t>
            </w:r>
            <w:r>
              <w:rPr>
                <w:lang w:val="en-US"/>
              </w:rPr>
              <w:t xml:space="preserve"> articles</w:t>
            </w:r>
          </w:p>
        </w:tc>
      </w:tr>
      <w:tr w:rsidR="00483EC1" w:rsidRPr="0061089E" w14:paraId="79534678" w14:textId="77777777" w:rsidTr="00315FCD">
        <w:trPr>
          <w:jc w:val="center"/>
        </w:trPr>
        <w:tc>
          <w:tcPr>
            <w:tcW w:w="2946" w:type="dxa"/>
            <w:vAlign w:val="center"/>
          </w:tcPr>
          <w:p w14:paraId="7956ABC3" w14:textId="77777777" w:rsidR="00483EC1" w:rsidRPr="0061089E" w:rsidRDefault="00483EC1" w:rsidP="00315FCD">
            <w:pPr>
              <w:rPr>
                <w:lang w:val="en-US"/>
              </w:rPr>
            </w:pPr>
            <w:r w:rsidRPr="0061089E">
              <w:rPr>
                <w:lang w:val="en-US"/>
              </w:rPr>
              <w:t>Item selection</w:t>
            </w:r>
          </w:p>
        </w:tc>
        <w:tc>
          <w:tcPr>
            <w:tcW w:w="2627" w:type="dxa"/>
            <w:vAlign w:val="center"/>
          </w:tcPr>
          <w:p w14:paraId="0D0854AC" w14:textId="77777777" w:rsidR="00483EC1" w:rsidRPr="0061089E" w:rsidRDefault="00483EC1" w:rsidP="00315FCD">
            <w:pPr>
              <w:spacing w:after="120"/>
              <w:rPr>
                <w:lang w:val="en-US"/>
              </w:rPr>
            </w:pPr>
            <w:r w:rsidRPr="0061089E">
              <w:rPr>
                <w:lang w:val="en-US"/>
              </w:rPr>
              <w:t>Card sorting</w:t>
            </w:r>
          </w:p>
        </w:tc>
        <w:tc>
          <w:tcPr>
            <w:tcW w:w="1690" w:type="dxa"/>
            <w:vAlign w:val="center"/>
          </w:tcPr>
          <w:p w14:paraId="13A515A4" w14:textId="77777777" w:rsidR="00483EC1" w:rsidRPr="0061089E" w:rsidRDefault="00483EC1" w:rsidP="00315FCD">
            <w:pPr>
              <w:spacing w:after="120"/>
              <w:jc w:val="center"/>
              <w:rPr>
                <w:lang w:val="en-US"/>
              </w:rPr>
            </w:pPr>
            <w:r w:rsidRPr="0061089E">
              <w:rPr>
                <w:lang w:val="en-US"/>
              </w:rPr>
              <w:t>26</w:t>
            </w:r>
          </w:p>
        </w:tc>
        <w:tc>
          <w:tcPr>
            <w:tcW w:w="1797" w:type="dxa"/>
            <w:vAlign w:val="center"/>
          </w:tcPr>
          <w:p w14:paraId="3F3BEF2C" w14:textId="5E8A5173" w:rsidR="00483EC1" w:rsidRPr="0061089E" w:rsidRDefault="00AD181F" w:rsidP="00315FCD">
            <w:pPr>
              <w:spacing w:after="120"/>
              <w:jc w:val="center"/>
              <w:rPr>
                <w:lang w:val="en-US"/>
              </w:rPr>
            </w:pPr>
            <w:r>
              <w:rPr>
                <w:lang w:val="en-US"/>
              </w:rPr>
              <w:t>3</w:t>
            </w:r>
            <w:r w:rsidR="00483EC1">
              <w:rPr>
                <w:lang w:val="en-US"/>
              </w:rPr>
              <w:t xml:space="preserve"> judges</w:t>
            </w:r>
          </w:p>
        </w:tc>
      </w:tr>
      <w:tr w:rsidR="00483EC1" w:rsidRPr="0061089E" w14:paraId="69316049" w14:textId="77777777" w:rsidTr="00315FCD">
        <w:trPr>
          <w:jc w:val="center"/>
        </w:trPr>
        <w:tc>
          <w:tcPr>
            <w:tcW w:w="2946" w:type="dxa"/>
            <w:vAlign w:val="center"/>
          </w:tcPr>
          <w:p w14:paraId="0AC3617C" w14:textId="77777777" w:rsidR="00483EC1" w:rsidRPr="0061089E" w:rsidRDefault="00483EC1" w:rsidP="00315FCD">
            <w:pPr>
              <w:rPr>
                <w:lang w:val="en-US"/>
              </w:rPr>
            </w:pPr>
            <w:r w:rsidRPr="0061089E">
              <w:rPr>
                <w:lang w:val="en-US"/>
              </w:rPr>
              <w:t>Item purification</w:t>
            </w:r>
          </w:p>
        </w:tc>
        <w:tc>
          <w:tcPr>
            <w:tcW w:w="2627" w:type="dxa"/>
            <w:vAlign w:val="center"/>
          </w:tcPr>
          <w:p w14:paraId="047F7724" w14:textId="77777777" w:rsidR="00483EC1" w:rsidRPr="0061089E" w:rsidRDefault="00483EC1" w:rsidP="00315FCD">
            <w:pPr>
              <w:spacing w:after="120"/>
              <w:rPr>
                <w:lang w:val="en-US"/>
              </w:rPr>
            </w:pPr>
            <w:r w:rsidRPr="0061089E">
              <w:rPr>
                <w:lang w:val="en-US"/>
              </w:rPr>
              <w:t>Expert panel</w:t>
            </w:r>
          </w:p>
        </w:tc>
        <w:tc>
          <w:tcPr>
            <w:tcW w:w="1690" w:type="dxa"/>
            <w:vAlign w:val="center"/>
          </w:tcPr>
          <w:p w14:paraId="290A502F" w14:textId="77777777" w:rsidR="00483EC1" w:rsidRPr="0061089E" w:rsidRDefault="00483EC1" w:rsidP="00315FCD">
            <w:pPr>
              <w:spacing w:after="120"/>
              <w:jc w:val="center"/>
              <w:rPr>
                <w:lang w:val="en-US"/>
              </w:rPr>
            </w:pPr>
            <w:r w:rsidRPr="0061089E">
              <w:rPr>
                <w:lang w:val="en-US"/>
              </w:rPr>
              <w:t>26</w:t>
            </w:r>
          </w:p>
        </w:tc>
        <w:tc>
          <w:tcPr>
            <w:tcW w:w="1797" w:type="dxa"/>
            <w:vAlign w:val="center"/>
          </w:tcPr>
          <w:p w14:paraId="0BB2E615" w14:textId="77777777" w:rsidR="00483EC1" w:rsidRPr="0061089E" w:rsidRDefault="00483EC1" w:rsidP="00315FCD">
            <w:pPr>
              <w:spacing w:after="120"/>
              <w:jc w:val="center"/>
              <w:rPr>
                <w:lang w:val="en-US"/>
              </w:rPr>
            </w:pPr>
            <w:r>
              <w:rPr>
                <w:lang w:val="en-US"/>
              </w:rPr>
              <w:t>4 experts</w:t>
            </w:r>
          </w:p>
        </w:tc>
      </w:tr>
      <w:tr w:rsidR="00483EC1" w:rsidRPr="0087018C" w14:paraId="27DACC06" w14:textId="77777777" w:rsidTr="00315FCD">
        <w:trPr>
          <w:jc w:val="center"/>
        </w:trPr>
        <w:tc>
          <w:tcPr>
            <w:tcW w:w="9060" w:type="dxa"/>
            <w:gridSpan w:val="4"/>
            <w:shd w:val="clear" w:color="auto" w:fill="F2F2F2" w:themeFill="background1" w:themeFillShade="F2"/>
            <w:vAlign w:val="center"/>
          </w:tcPr>
          <w:p w14:paraId="2647B440" w14:textId="77777777" w:rsidR="00483EC1" w:rsidRPr="0061089E" w:rsidRDefault="00483EC1" w:rsidP="00315FCD">
            <w:pPr>
              <w:spacing w:after="120"/>
              <w:jc w:val="center"/>
              <w:rPr>
                <w:b/>
                <w:lang w:val="en-US"/>
              </w:rPr>
            </w:pPr>
            <w:r>
              <w:rPr>
                <w:b/>
                <w:lang w:val="en-US"/>
              </w:rPr>
              <w:t>Stage</w:t>
            </w:r>
            <w:r w:rsidRPr="0061089E">
              <w:rPr>
                <w:b/>
                <w:lang w:val="en-US"/>
              </w:rPr>
              <w:t xml:space="preserve"> 2: Scale </w:t>
            </w:r>
            <w:r>
              <w:rPr>
                <w:b/>
                <w:lang w:val="en-US"/>
              </w:rPr>
              <w:t>validation at individual level</w:t>
            </w:r>
          </w:p>
        </w:tc>
      </w:tr>
      <w:tr w:rsidR="00483EC1" w:rsidRPr="0061089E" w14:paraId="5B6D84E3" w14:textId="77777777" w:rsidTr="00315FCD">
        <w:trPr>
          <w:jc w:val="center"/>
        </w:trPr>
        <w:tc>
          <w:tcPr>
            <w:tcW w:w="2946" w:type="dxa"/>
            <w:vAlign w:val="center"/>
          </w:tcPr>
          <w:p w14:paraId="0FD1D4AE" w14:textId="77777777" w:rsidR="00483EC1" w:rsidRPr="00714946" w:rsidRDefault="00483EC1" w:rsidP="00315FCD">
            <w:pPr>
              <w:rPr>
                <w:lang w:val="en-US"/>
              </w:rPr>
            </w:pPr>
            <w:r w:rsidRPr="00714946">
              <w:rPr>
                <w:lang w:val="en-US"/>
              </w:rPr>
              <w:t>Further item purification &amp; Initial validity assessment</w:t>
            </w:r>
          </w:p>
        </w:tc>
        <w:tc>
          <w:tcPr>
            <w:tcW w:w="2627" w:type="dxa"/>
            <w:vAlign w:val="center"/>
          </w:tcPr>
          <w:p w14:paraId="7FD8CA29" w14:textId="77777777" w:rsidR="00483EC1" w:rsidRPr="00714946" w:rsidRDefault="00483EC1" w:rsidP="00315FCD">
            <w:pPr>
              <w:rPr>
                <w:lang w:val="en-US"/>
              </w:rPr>
            </w:pPr>
            <w:r w:rsidRPr="00714946">
              <w:rPr>
                <w:lang w:val="en-US"/>
              </w:rPr>
              <w:t>EFA</w:t>
            </w:r>
          </w:p>
          <w:p w14:paraId="3AD07484" w14:textId="77777777" w:rsidR="00483EC1" w:rsidRPr="00714946" w:rsidRDefault="00483EC1" w:rsidP="00315FCD">
            <w:pPr>
              <w:rPr>
                <w:lang w:val="en-US"/>
              </w:rPr>
            </w:pPr>
            <w:r w:rsidRPr="00714946">
              <w:rPr>
                <w:lang w:val="en-US"/>
              </w:rPr>
              <w:t>internal consistency</w:t>
            </w:r>
          </w:p>
          <w:p w14:paraId="6A12BBE6" w14:textId="77777777" w:rsidR="00483EC1" w:rsidRPr="00714946" w:rsidRDefault="00483EC1" w:rsidP="00315FCD">
            <w:pPr>
              <w:rPr>
                <w:lang w:val="en-US"/>
              </w:rPr>
            </w:pPr>
            <w:r w:rsidRPr="00714946">
              <w:rPr>
                <w:lang w:val="en-US"/>
              </w:rPr>
              <w:t>scale reliability</w:t>
            </w:r>
          </w:p>
          <w:p w14:paraId="6BBF5F7D" w14:textId="77777777" w:rsidR="00483EC1" w:rsidRPr="00714946" w:rsidRDefault="00483EC1" w:rsidP="00315FCD">
            <w:pPr>
              <w:rPr>
                <w:lang w:val="en-US"/>
              </w:rPr>
            </w:pPr>
            <w:r w:rsidRPr="00714946">
              <w:rPr>
                <w:lang w:val="en-US"/>
              </w:rPr>
              <w:t>indicator reliability convergent validity discriminant validity</w:t>
            </w:r>
          </w:p>
          <w:p w14:paraId="27BF1EB2" w14:textId="77777777" w:rsidR="00483EC1" w:rsidRPr="00714946" w:rsidRDefault="00483EC1" w:rsidP="00315FCD">
            <w:pPr>
              <w:rPr>
                <w:lang w:val="en-US"/>
              </w:rPr>
            </w:pPr>
          </w:p>
        </w:tc>
        <w:tc>
          <w:tcPr>
            <w:tcW w:w="1690" w:type="dxa"/>
            <w:vAlign w:val="center"/>
          </w:tcPr>
          <w:p w14:paraId="6A0955DF" w14:textId="77777777" w:rsidR="00483EC1" w:rsidRPr="00714946" w:rsidRDefault="00483EC1" w:rsidP="00315FCD">
            <w:pPr>
              <w:spacing w:after="120"/>
              <w:jc w:val="center"/>
              <w:rPr>
                <w:lang w:val="en-US"/>
              </w:rPr>
            </w:pPr>
            <w:r w:rsidRPr="00714946">
              <w:rPr>
                <w:lang w:val="en-US"/>
              </w:rPr>
              <w:t>12</w:t>
            </w:r>
          </w:p>
        </w:tc>
        <w:tc>
          <w:tcPr>
            <w:tcW w:w="1797" w:type="dxa"/>
            <w:vAlign w:val="center"/>
          </w:tcPr>
          <w:p w14:paraId="03304998" w14:textId="77777777" w:rsidR="00483EC1" w:rsidRPr="00714946" w:rsidRDefault="00483EC1" w:rsidP="00315FCD">
            <w:pPr>
              <w:spacing w:after="120"/>
              <w:jc w:val="center"/>
              <w:rPr>
                <w:lang w:val="en-US"/>
              </w:rPr>
            </w:pPr>
            <w:r w:rsidRPr="00714946">
              <w:rPr>
                <w:lang w:val="en-US"/>
              </w:rPr>
              <w:t xml:space="preserve">Study 1 </w:t>
            </w:r>
          </w:p>
          <w:p w14:paraId="6E84102D" w14:textId="77777777" w:rsidR="00483EC1" w:rsidRPr="00714946" w:rsidRDefault="00483EC1" w:rsidP="00315FCD">
            <w:pPr>
              <w:spacing w:after="120"/>
              <w:jc w:val="center"/>
              <w:rPr>
                <w:lang w:val="en-US"/>
              </w:rPr>
            </w:pPr>
            <w:r w:rsidRPr="00714946">
              <w:rPr>
                <w:lang w:val="en-US"/>
              </w:rPr>
              <w:t>N = 150</w:t>
            </w:r>
          </w:p>
        </w:tc>
      </w:tr>
      <w:tr w:rsidR="00483EC1" w:rsidRPr="0061089E" w14:paraId="0C1217EE" w14:textId="77777777" w:rsidTr="00315FCD">
        <w:trPr>
          <w:jc w:val="center"/>
        </w:trPr>
        <w:tc>
          <w:tcPr>
            <w:tcW w:w="2946" w:type="dxa"/>
            <w:vAlign w:val="center"/>
          </w:tcPr>
          <w:p w14:paraId="138FD0A9" w14:textId="77777777" w:rsidR="00483EC1" w:rsidRPr="00714946" w:rsidRDefault="00483EC1" w:rsidP="00315FCD">
            <w:pPr>
              <w:rPr>
                <w:lang w:val="en-US"/>
              </w:rPr>
            </w:pPr>
            <w:r w:rsidRPr="00714946">
              <w:rPr>
                <w:lang w:val="en-US"/>
              </w:rPr>
              <w:t>Validity assessment</w:t>
            </w:r>
          </w:p>
        </w:tc>
        <w:tc>
          <w:tcPr>
            <w:tcW w:w="2627" w:type="dxa"/>
            <w:vAlign w:val="center"/>
          </w:tcPr>
          <w:p w14:paraId="0F448EDB" w14:textId="77777777" w:rsidR="00483EC1" w:rsidRPr="00714946" w:rsidRDefault="00483EC1" w:rsidP="00315FCD">
            <w:pPr>
              <w:rPr>
                <w:lang w:val="en-US"/>
              </w:rPr>
            </w:pPr>
            <w:r w:rsidRPr="00714946">
              <w:rPr>
                <w:lang w:val="en-US"/>
              </w:rPr>
              <w:t>CFA</w:t>
            </w:r>
          </w:p>
          <w:p w14:paraId="54292885" w14:textId="77777777" w:rsidR="00483EC1" w:rsidRPr="00714946" w:rsidRDefault="00483EC1" w:rsidP="00315FCD">
            <w:pPr>
              <w:rPr>
                <w:lang w:val="en-US"/>
              </w:rPr>
            </w:pPr>
            <w:r w:rsidRPr="00714946">
              <w:rPr>
                <w:lang w:val="en-US"/>
              </w:rPr>
              <w:t>internal consistency</w:t>
            </w:r>
          </w:p>
          <w:p w14:paraId="4A0462AA" w14:textId="77777777" w:rsidR="00483EC1" w:rsidRPr="00714946" w:rsidRDefault="00483EC1" w:rsidP="00315FCD">
            <w:pPr>
              <w:rPr>
                <w:lang w:val="en-US"/>
              </w:rPr>
            </w:pPr>
            <w:r w:rsidRPr="00714946">
              <w:rPr>
                <w:lang w:val="en-US"/>
              </w:rPr>
              <w:t>scale reliability</w:t>
            </w:r>
          </w:p>
          <w:p w14:paraId="2549E043" w14:textId="77777777" w:rsidR="00483EC1" w:rsidRPr="00714946" w:rsidRDefault="00483EC1" w:rsidP="00315FCD">
            <w:pPr>
              <w:spacing w:after="120"/>
              <w:rPr>
                <w:lang w:val="en-US"/>
              </w:rPr>
            </w:pPr>
            <w:r w:rsidRPr="00714946">
              <w:rPr>
                <w:lang w:val="en-US"/>
              </w:rPr>
              <w:t>indicator reliability convergent validity discriminant validity Model fit</w:t>
            </w:r>
          </w:p>
        </w:tc>
        <w:tc>
          <w:tcPr>
            <w:tcW w:w="1690" w:type="dxa"/>
            <w:vAlign w:val="center"/>
          </w:tcPr>
          <w:p w14:paraId="1E2D2F47" w14:textId="77777777" w:rsidR="00483EC1" w:rsidRPr="00714946" w:rsidRDefault="00483EC1" w:rsidP="00315FCD">
            <w:pPr>
              <w:spacing w:after="120"/>
              <w:jc w:val="center"/>
              <w:rPr>
                <w:lang w:val="en-US"/>
              </w:rPr>
            </w:pPr>
            <w:r w:rsidRPr="00714946">
              <w:rPr>
                <w:lang w:val="en-US"/>
              </w:rPr>
              <w:t>11</w:t>
            </w:r>
          </w:p>
        </w:tc>
        <w:tc>
          <w:tcPr>
            <w:tcW w:w="1797" w:type="dxa"/>
            <w:vAlign w:val="center"/>
          </w:tcPr>
          <w:p w14:paraId="467B6E77" w14:textId="77777777" w:rsidR="00483EC1" w:rsidRPr="00714946" w:rsidRDefault="00483EC1" w:rsidP="00315FCD">
            <w:pPr>
              <w:spacing w:after="120"/>
              <w:jc w:val="center"/>
              <w:rPr>
                <w:lang w:val="en-US"/>
              </w:rPr>
            </w:pPr>
            <w:r w:rsidRPr="00714946">
              <w:rPr>
                <w:lang w:val="en-US"/>
              </w:rPr>
              <w:t xml:space="preserve">Study 2 </w:t>
            </w:r>
          </w:p>
          <w:p w14:paraId="0849A380" w14:textId="77777777" w:rsidR="00483EC1" w:rsidRPr="00714946" w:rsidRDefault="00483EC1" w:rsidP="00315FCD">
            <w:pPr>
              <w:spacing w:after="120"/>
              <w:jc w:val="center"/>
              <w:rPr>
                <w:lang w:val="en-US"/>
              </w:rPr>
            </w:pPr>
            <w:r w:rsidRPr="00714946">
              <w:rPr>
                <w:lang w:val="en-US"/>
              </w:rPr>
              <w:t>N = 398</w:t>
            </w:r>
          </w:p>
        </w:tc>
      </w:tr>
      <w:tr w:rsidR="00483EC1" w:rsidRPr="0087018C" w14:paraId="2926F0B2" w14:textId="77777777" w:rsidTr="00315FCD">
        <w:trPr>
          <w:jc w:val="center"/>
        </w:trPr>
        <w:tc>
          <w:tcPr>
            <w:tcW w:w="9060" w:type="dxa"/>
            <w:gridSpan w:val="4"/>
            <w:shd w:val="clear" w:color="auto" w:fill="F2F2F2" w:themeFill="background1" w:themeFillShade="F2"/>
            <w:vAlign w:val="center"/>
          </w:tcPr>
          <w:p w14:paraId="2D2CC24E" w14:textId="77777777" w:rsidR="00483EC1" w:rsidRPr="0061089E" w:rsidRDefault="00483EC1" w:rsidP="00315FCD">
            <w:pPr>
              <w:spacing w:after="120"/>
              <w:jc w:val="center"/>
              <w:rPr>
                <w:b/>
                <w:lang w:val="en-US"/>
              </w:rPr>
            </w:pPr>
            <w:r>
              <w:rPr>
                <w:b/>
                <w:lang w:val="en-US"/>
              </w:rPr>
              <w:t>Stage</w:t>
            </w:r>
            <w:r w:rsidRPr="0061089E">
              <w:rPr>
                <w:b/>
                <w:lang w:val="en-US"/>
              </w:rPr>
              <w:t xml:space="preserve"> 3: Scale </w:t>
            </w:r>
            <w:r>
              <w:rPr>
                <w:b/>
                <w:lang w:val="en-US"/>
              </w:rPr>
              <w:t>validation at aggregate level</w:t>
            </w:r>
          </w:p>
        </w:tc>
      </w:tr>
      <w:tr w:rsidR="00483EC1" w:rsidRPr="0061089E" w14:paraId="6A54D87B" w14:textId="77777777" w:rsidTr="00315FCD">
        <w:trPr>
          <w:jc w:val="center"/>
        </w:trPr>
        <w:tc>
          <w:tcPr>
            <w:tcW w:w="2946" w:type="dxa"/>
            <w:vAlign w:val="center"/>
          </w:tcPr>
          <w:p w14:paraId="55ECA5A5" w14:textId="77777777" w:rsidR="00483EC1" w:rsidRDefault="00483EC1" w:rsidP="00315FCD">
            <w:pPr>
              <w:rPr>
                <w:lang w:val="en-US"/>
              </w:rPr>
            </w:pPr>
            <w:r>
              <w:rPr>
                <w:lang w:val="en-US"/>
              </w:rPr>
              <w:t>Nomological</w:t>
            </w:r>
            <w:r w:rsidRPr="0061089E">
              <w:rPr>
                <w:lang w:val="en-US"/>
              </w:rPr>
              <w:t xml:space="preserve"> assessment</w:t>
            </w:r>
          </w:p>
        </w:tc>
        <w:tc>
          <w:tcPr>
            <w:tcW w:w="2627" w:type="dxa"/>
            <w:vAlign w:val="center"/>
          </w:tcPr>
          <w:p w14:paraId="729B81A1" w14:textId="77777777" w:rsidR="00483EC1" w:rsidRDefault="00483EC1" w:rsidP="00315FCD">
            <w:pPr>
              <w:spacing w:after="120"/>
              <w:rPr>
                <w:lang w:val="en-US"/>
              </w:rPr>
            </w:pPr>
            <w:r>
              <w:rPr>
                <w:lang w:val="en-US"/>
              </w:rPr>
              <w:t xml:space="preserve">Hierarchical Linear Modelling (HLM) </w:t>
            </w:r>
          </w:p>
        </w:tc>
        <w:tc>
          <w:tcPr>
            <w:tcW w:w="1690" w:type="dxa"/>
            <w:vAlign w:val="center"/>
          </w:tcPr>
          <w:p w14:paraId="52C903C2" w14:textId="77777777" w:rsidR="00483EC1" w:rsidRPr="0061089E" w:rsidRDefault="00483EC1" w:rsidP="00315FCD">
            <w:pPr>
              <w:spacing w:after="120"/>
              <w:jc w:val="center"/>
              <w:rPr>
                <w:lang w:val="en-US"/>
              </w:rPr>
            </w:pPr>
            <w:r w:rsidRPr="0061089E">
              <w:rPr>
                <w:lang w:val="en-US"/>
              </w:rPr>
              <w:t>1</w:t>
            </w:r>
            <w:r>
              <w:rPr>
                <w:lang w:val="en-US"/>
              </w:rPr>
              <w:t>1</w:t>
            </w:r>
          </w:p>
        </w:tc>
        <w:tc>
          <w:tcPr>
            <w:tcW w:w="1797" w:type="dxa"/>
            <w:vMerge w:val="restart"/>
            <w:vAlign w:val="center"/>
          </w:tcPr>
          <w:p w14:paraId="04A21680" w14:textId="77777777" w:rsidR="00483EC1" w:rsidRDefault="00483EC1" w:rsidP="00315FCD">
            <w:pPr>
              <w:spacing w:after="120"/>
              <w:jc w:val="center"/>
              <w:rPr>
                <w:lang w:val="en-US"/>
              </w:rPr>
            </w:pPr>
            <w:r>
              <w:rPr>
                <w:lang w:val="en-US"/>
              </w:rPr>
              <w:t xml:space="preserve">Study 3 </w:t>
            </w:r>
          </w:p>
          <w:p w14:paraId="5945EAFD" w14:textId="77777777" w:rsidR="00483EC1" w:rsidRDefault="00483EC1" w:rsidP="00315FCD">
            <w:pPr>
              <w:spacing w:after="120"/>
              <w:jc w:val="center"/>
              <w:rPr>
                <w:lang w:val="en-US"/>
              </w:rPr>
            </w:pPr>
            <w:r>
              <w:rPr>
                <w:lang w:val="en-US"/>
              </w:rPr>
              <w:t>N = 221</w:t>
            </w:r>
          </w:p>
        </w:tc>
      </w:tr>
      <w:tr w:rsidR="00483EC1" w:rsidRPr="0061089E" w14:paraId="6B6D5E5D" w14:textId="77777777" w:rsidTr="00315FCD">
        <w:trPr>
          <w:jc w:val="center"/>
        </w:trPr>
        <w:tc>
          <w:tcPr>
            <w:tcW w:w="2946" w:type="dxa"/>
            <w:vAlign w:val="center"/>
          </w:tcPr>
          <w:p w14:paraId="5401C817" w14:textId="77777777" w:rsidR="00483EC1" w:rsidRPr="0061089E" w:rsidRDefault="00483EC1" w:rsidP="00315FCD">
            <w:pPr>
              <w:rPr>
                <w:lang w:val="en-US"/>
              </w:rPr>
            </w:pPr>
            <w:r>
              <w:rPr>
                <w:lang w:val="en-US"/>
              </w:rPr>
              <w:t>Model fit at aggregate level</w:t>
            </w:r>
          </w:p>
        </w:tc>
        <w:tc>
          <w:tcPr>
            <w:tcW w:w="2627" w:type="dxa"/>
            <w:vAlign w:val="center"/>
          </w:tcPr>
          <w:p w14:paraId="6365F94A" w14:textId="77777777" w:rsidR="00483EC1" w:rsidRPr="0061089E" w:rsidRDefault="00483EC1" w:rsidP="00315FCD">
            <w:pPr>
              <w:spacing w:after="120"/>
              <w:rPr>
                <w:lang w:val="en-US"/>
              </w:rPr>
            </w:pPr>
            <w:r>
              <w:rPr>
                <w:lang w:val="en-US"/>
              </w:rPr>
              <w:t>CFA</w:t>
            </w:r>
          </w:p>
        </w:tc>
        <w:tc>
          <w:tcPr>
            <w:tcW w:w="1690" w:type="dxa"/>
            <w:vAlign w:val="center"/>
          </w:tcPr>
          <w:p w14:paraId="5A196B0A" w14:textId="77777777" w:rsidR="00483EC1" w:rsidRPr="0061089E" w:rsidRDefault="00483EC1" w:rsidP="00315FCD">
            <w:pPr>
              <w:spacing w:after="120"/>
              <w:jc w:val="center"/>
              <w:rPr>
                <w:lang w:val="en-US"/>
              </w:rPr>
            </w:pPr>
            <w:r>
              <w:rPr>
                <w:lang w:val="en-US"/>
              </w:rPr>
              <w:t>11</w:t>
            </w:r>
          </w:p>
        </w:tc>
        <w:tc>
          <w:tcPr>
            <w:tcW w:w="1797" w:type="dxa"/>
            <w:vMerge/>
            <w:vAlign w:val="center"/>
          </w:tcPr>
          <w:p w14:paraId="1C2C52B3" w14:textId="77777777" w:rsidR="00483EC1" w:rsidRPr="0061089E" w:rsidRDefault="00483EC1" w:rsidP="00315FCD">
            <w:pPr>
              <w:spacing w:after="120"/>
              <w:jc w:val="center"/>
              <w:rPr>
                <w:lang w:val="en-US"/>
              </w:rPr>
            </w:pPr>
          </w:p>
        </w:tc>
      </w:tr>
      <w:tr w:rsidR="00483EC1" w:rsidRPr="00714946" w14:paraId="668EE253" w14:textId="77777777" w:rsidTr="00315FCD">
        <w:trPr>
          <w:jc w:val="center"/>
        </w:trPr>
        <w:tc>
          <w:tcPr>
            <w:tcW w:w="2946" w:type="dxa"/>
            <w:vAlign w:val="center"/>
          </w:tcPr>
          <w:p w14:paraId="5DC9FE9C" w14:textId="77777777" w:rsidR="00483EC1" w:rsidRDefault="00483EC1" w:rsidP="00315FCD">
            <w:pPr>
              <w:rPr>
                <w:lang w:val="en-US"/>
              </w:rPr>
            </w:pPr>
            <w:r>
              <w:rPr>
                <w:lang w:val="en-US"/>
              </w:rPr>
              <w:t>Predictive validity</w:t>
            </w:r>
          </w:p>
        </w:tc>
        <w:tc>
          <w:tcPr>
            <w:tcW w:w="2627" w:type="dxa"/>
            <w:vAlign w:val="center"/>
          </w:tcPr>
          <w:p w14:paraId="29398502" w14:textId="77777777" w:rsidR="00483EC1" w:rsidRDefault="00483EC1" w:rsidP="00315FCD">
            <w:pPr>
              <w:spacing w:after="120"/>
              <w:rPr>
                <w:lang w:val="en-US"/>
              </w:rPr>
            </w:pPr>
            <w:r>
              <w:rPr>
                <w:lang w:val="en-US"/>
              </w:rPr>
              <w:t>Hierarchical Linear Modelling (HLM) using McKay et al. (2008) measure</w:t>
            </w:r>
          </w:p>
        </w:tc>
        <w:tc>
          <w:tcPr>
            <w:tcW w:w="1690" w:type="dxa"/>
            <w:vAlign w:val="center"/>
          </w:tcPr>
          <w:p w14:paraId="1EB06B81" w14:textId="77777777" w:rsidR="00483EC1" w:rsidRPr="0061089E" w:rsidRDefault="00483EC1" w:rsidP="00315FCD">
            <w:pPr>
              <w:spacing w:after="120"/>
              <w:jc w:val="center"/>
              <w:rPr>
                <w:lang w:val="en-US"/>
              </w:rPr>
            </w:pPr>
            <w:r>
              <w:rPr>
                <w:lang w:val="en-US"/>
              </w:rPr>
              <w:t>11</w:t>
            </w:r>
          </w:p>
        </w:tc>
        <w:tc>
          <w:tcPr>
            <w:tcW w:w="1797" w:type="dxa"/>
            <w:vMerge/>
            <w:vAlign w:val="center"/>
          </w:tcPr>
          <w:p w14:paraId="7118FC2B" w14:textId="77777777" w:rsidR="00483EC1" w:rsidRDefault="00483EC1" w:rsidP="00315FCD">
            <w:pPr>
              <w:spacing w:after="120"/>
              <w:jc w:val="center"/>
              <w:rPr>
                <w:lang w:val="en-US"/>
              </w:rPr>
            </w:pPr>
          </w:p>
        </w:tc>
      </w:tr>
    </w:tbl>
    <w:p w14:paraId="5EBB78D5" w14:textId="378725EF" w:rsidR="00483EC1" w:rsidRDefault="00483EC1" w:rsidP="00483EC1">
      <w:pPr>
        <w:rPr>
          <w:lang w:val="en-GB" w:eastAsia="en-GB"/>
        </w:rPr>
      </w:pPr>
    </w:p>
    <w:p w14:paraId="56C725B4" w14:textId="30FE491A" w:rsidR="00483EC1" w:rsidRDefault="00483EC1" w:rsidP="00483EC1">
      <w:pPr>
        <w:rPr>
          <w:lang w:val="en-GB" w:eastAsia="en-GB"/>
        </w:rPr>
      </w:pPr>
    </w:p>
    <w:p w14:paraId="05E6B0C8" w14:textId="77777777" w:rsidR="00A96732" w:rsidRDefault="00A96732">
      <w:pPr>
        <w:spacing w:after="200" w:line="276" w:lineRule="auto"/>
        <w:rPr>
          <w:rFonts w:ascii="Open Sans" w:hAnsi="Open Sans" w:cs="Arial"/>
          <w:color w:val="333333"/>
          <w:lang w:val="en-US"/>
        </w:rPr>
      </w:pPr>
      <w:r>
        <w:rPr>
          <w:rFonts w:ascii="Open Sans" w:hAnsi="Open Sans" w:cs="Arial"/>
          <w:color w:val="333333"/>
          <w:lang w:val="en-US"/>
        </w:rPr>
        <w:br w:type="page"/>
      </w:r>
    </w:p>
    <w:p w14:paraId="264734B3" w14:textId="6D72FE9D" w:rsidR="00483EC1" w:rsidRDefault="00483EC1" w:rsidP="00483EC1">
      <w:pPr>
        <w:rPr>
          <w:lang w:val="en-US" w:eastAsia="en-GB"/>
        </w:rPr>
      </w:pPr>
    </w:p>
    <w:p w14:paraId="6F9EBDF3" w14:textId="37EA094A" w:rsidR="00483EC1" w:rsidRDefault="00483EC1" w:rsidP="00483EC1">
      <w:pPr>
        <w:rPr>
          <w:lang w:val="en-US" w:eastAsia="en-GB"/>
        </w:rPr>
      </w:pPr>
    </w:p>
    <w:p w14:paraId="675F4630" w14:textId="77777777" w:rsidR="00483EC1" w:rsidRPr="00F50AB5" w:rsidRDefault="00483EC1" w:rsidP="00483EC1">
      <w:pPr>
        <w:jc w:val="center"/>
        <w:rPr>
          <w:rFonts w:ascii="Open Sans" w:hAnsi="Open Sans" w:cs="Arial"/>
          <w:color w:val="333333"/>
          <w:lang w:val="en-US"/>
        </w:rPr>
      </w:pPr>
      <w:r w:rsidRPr="00E573FC">
        <w:rPr>
          <w:rFonts w:ascii="Open Sans" w:hAnsi="Open Sans" w:cs="Arial"/>
          <w:color w:val="333333"/>
          <w:lang w:val="en-US"/>
        </w:rPr>
        <w:t>Table V: inter-judge agreement on items (closed card-sorting round)</w:t>
      </w:r>
    </w:p>
    <w:p w14:paraId="4D148351" w14:textId="77777777" w:rsidR="00483EC1" w:rsidRPr="00F50AB5" w:rsidRDefault="00483EC1" w:rsidP="00483EC1">
      <w:pPr>
        <w:jc w:val="center"/>
        <w:rPr>
          <w:lang w:val="en-GB" w:eastAsia="en-GB"/>
        </w:rPr>
      </w:pPr>
    </w:p>
    <w:tbl>
      <w:tblPr>
        <w:tblW w:w="0" w:type="auto"/>
        <w:jc w:val="center"/>
        <w:tblLayout w:type="fixed"/>
        <w:tblCellMar>
          <w:left w:w="70" w:type="dxa"/>
          <w:right w:w="70" w:type="dxa"/>
        </w:tblCellMar>
        <w:tblLook w:val="04A0" w:firstRow="1" w:lastRow="0" w:firstColumn="1" w:lastColumn="0" w:noHBand="0" w:noVBand="1"/>
      </w:tblPr>
      <w:tblGrid>
        <w:gridCol w:w="1828"/>
        <w:gridCol w:w="1625"/>
        <w:gridCol w:w="1650"/>
        <w:gridCol w:w="1261"/>
        <w:gridCol w:w="1196"/>
        <w:gridCol w:w="740"/>
        <w:gridCol w:w="740"/>
      </w:tblGrid>
      <w:tr w:rsidR="00483EC1" w:rsidRPr="00D667B4" w14:paraId="318E3AFD" w14:textId="77777777" w:rsidTr="00315FCD">
        <w:trPr>
          <w:trHeight w:val="510"/>
          <w:jc w:val="center"/>
        </w:trPr>
        <w:tc>
          <w:tcPr>
            <w:tcW w:w="1828" w:type="dxa"/>
            <w:tcBorders>
              <w:top w:val="nil"/>
              <w:left w:val="nil"/>
              <w:bottom w:val="nil"/>
              <w:right w:val="nil"/>
            </w:tcBorders>
            <w:shd w:val="clear" w:color="auto" w:fill="auto"/>
            <w:noWrap/>
            <w:vAlign w:val="bottom"/>
            <w:hideMark/>
          </w:tcPr>
          <w:p w14:paraId="26FE9923" w14:textId="77777777" w:rsidR="00483EC1" w:rsidRPr="00D667B4" w:rsidRDefault="00483EC1" w:rsidP="00315FCD">
            <w:pPr>
              <w:rPr>
                <w:color w:val="000000"/>
                <w:lang w:val="en-GB"/>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59DF9" w14:textId="77777777" w:rsidR="00483EC1" w:rsidRPr="00D667B4" w:rsidRDefault="00483EC1" w:rsidP="00315FCD">
            <w:pPr>
              <w:jc w:val="center"/>
              <w:rPr>
                <w:b/>
                <w:bCs/>
                <w:color w:val="000000"/>
                <w:lang w:val="en-US"/>
              </w:rPr>
            </w:pPr>
            <w:r>
              <w:rPr>
                <w:b/>
                <w:bCs/>
                <w:color w:val="000000"/>
                <w:lang w:val="en-US"/>
              </w:rPr>
              <w:t>Intentionality</w:t>
            </w:r>
          </w:p>
        </w:tc>
        <w:tc>
          <w:tcPr>
            <w:tcW w:w="1650" w:type="dxa"/>
            <w:tcBorders>
              <w:top w:val="single" w:sz="4" w:space="0" w:color="auto"/>
              <w:left w:val="nil"/>
              <w:bottom w:val="single" w:sz="4" w:space="0" w:color="auto"/>
              <w:right w:val="single" w:sz="4" w:space="0" w:color="auto"/>
            </w:tcBorders>
            <w:shd w:val="clear" w:color="auto" w:fill="auto"/>
            <w:vAlign w:val="center"/>
            <w:hideMark/>
          </w:tcPr>
          <w:p w14:paraId="59CA0D28" w14:textId="77777777" w:rsidR="00483EC1" w:rsidRPr="00D667B4" w:rsidRDefault="00483EC1" w:rsidP="00315FCD">
            <w:pPr>
              <w:jc w:val="center"/>
              <w:rPr>
                <w:b/>
                <w:bCs/>
                <w:color w:val="000000"/>
                <w:lang w:val="en-US"/>
              </w:rPr>
            </w:pPr>
            <w:r>
              <w:rPr>
                <w:b/>
                <w:bCs/>
                <w:color w:val="000000"/>
                <w:lang w:val="en-US"/>
              </w:rPr>
              <w:t>Programmatic</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14:paraId="37679E1C" w14:textId="77777777" w:rsidR="00483EC1" w:rsidRPr="00D667B4" w:rsidRDefault="00483EC1" w:rsidP="00315FCD">
            <w:pPr>
              <w:jc w:val="center"/>
              <w:rPr>
                <w:b/>
                <w:bCs/>
                <w:color w:val="000000"/>
                <w:lang w:val="en-US"/>
              </w:rPr>
            </w:pPr>
            <w:r w:rsidRPr="00D667B4">
              <w:rPr>
                <w:b/>
                <w:bCs/>
                <w:color w:val="000000"/>
                <w:lang w:val="en-US"/>
              </w:rPr>
              <w:t>Praxis</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1D296533" w14:textId="77777777" w:rsidR="00483EC1" w:rsidRPr="00D667B4" w:rsidRDefault="00483EC1" w:rsidP="00315FCD">
            <w:pPr>
              <w:jc w:val="center"/>
              <w:rPr>
                <w:b/>
                <w:bCs/>
                <w:color w:val="000000"/>
                <w:lang w:val="en-US"/>
              </w:rPr>
            </w:pPr>
            <w:r w:rsidRPr="00D667B4">
              <w:rPr>
                <w:b/>
                <w:bCs/>
                <w:color w:val="000000"/>
                <w:lang w:val="en-US"/>
              </w:rPr>
              <w:t>Not adapted or unclear</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581C24E0" w14:textId="77777777" w:rsidR="00483EC1" w:rsidRPr="00D667B4" w:rsidRDefault="00483EC1" w:rsidP="00315FCD">
            <w:pPr>
              <w:jc w:val="center"/>
              <w:rPr>
                <w:b/>
                <w:color w:val="000000"/>
                <w:lang w:val="en-US"/>
              </w:rPr>
            </w:pPr>
            <w:r w:rsidRPr="00D667B4">
              <w:rPr>
                <w:b/>
                <w:color w:val="000000"/>
                <w:lang w:val="en-US"/>
              </w:rPr>
              <w:t>Total</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4ABF8CED" w14:textId="77777777" w:rsidR="00483EC1" w:rsidRPr="00D667B4" w:rsidRDefault="00483EC1" w:rsidP="00315FCD">
            <w:pPr>
              <w:jc w:val="center"/>
              <w:rPr>
                <w:b/>
                <w:bCs/>
                <w:color w:val="000000"/>
                <w:lang w:val="en-US"/>
              </w:rPr>
            </w:pPr>
            <w:r w:rsidRPr="00D667B4">
              <w:rPr>
                <w:b/>
                <w:bCs/>
                <w:color w:val="000000"/>
                <w:lang w:val="en-US"/>
              </w:rPr>
              <w:t>% Fit</w:t>
            </w:r>
          </w:p>
        </w:tc>
      </w:tr>
      <w:tr w:rsidR="00483EC1" w:rsidRPr="00D667B4" w14:paraId="22E72567" w14:textId="77777777" w:rsidTr="00315FCD">
        <w:trPr>
          <w:trHeight w:val="576"/>
          <w:jc w:val="center"/>
        </w:trPr>
        <w:tc>
          <w:tcPr>
            <w:tcW w:w="1828" w:type="dxa"/>
            <w:tcBorders>
              <w:top w:val="single" w:sz="4" w:space="0" w:color="auto"/>
              <w:left w:val="single" w:sz="4" w:space="0" w:color="auto"/>
              <w:bottom w:val="single" w:sz="4" w:space="0" w:color="auto"/>
              <w:right w:val="nil"/>
            </w:tcBorders>
            <w:shd w:val="clear" w:color="auto" w:fill="auto"/>
            <w:vAlign w:val="center"/>
            <w:hideMark/>
          </w:tcPr>
          <w:p w14:paraId="3879BC0D" w14:textId="77777777" w:rsidR="00483EC1" w:rsidRPr="00D667B4" w:rsidRDefault="00483EC1" w:rsidP="00315FCD">
            <w:pPr>
              <w:rPr>
                <w:b/>
                <w:bCs/>
                <w:color w:val="000000"/>
                <w:lang w:val="en-US"/>
              </w:rPr>
            </w:pPr>
            <w:r>
              <w:rPr>
                <w:b/>
                <w:bCs/>
                <w:color w:val="000000"/>
                <w:lang w:val="en-US"/>
              </w:rPr>
              <w:t>Intentionality</w:t>
            </w:r>
          </w:p>
        </w:tc>
        <w:tc>
          <w:tcPr>
            <w:tcW w:w="1625" w:type="dxa"/>
            <w:tcBorders>
              <w:top w:val="nil"/>
              <w:left w:val="single" w:sz="4" w:space="0" w:color="auto"/>
              <w:bottom w:val="single" w:sz="4" w:space="0" w:color="auto"/>
              <w:right w:val="single" w:sz="4" w:space="0" w:color="auto"/>
            </w:tcBorders>
            <w:shd w:val="clear" w:color="auto" w:fill="auto"/>
            <w:noWrap/>
            <w:vAlign w:val="center"/>
            <w:hideMark/>
          </w:tcPr>
          <w:p w14:paraId="313004C8" w14:textId="77777777" w:rsidR="00483EC1" w:rsidRPr="00D667B4" w:rsidRDefault="00483EC1" w:rsidP="00315FCD">
            <w:pPr>
              <w:jc w:val="center"/>
              <w:rPr>
                <w:b/>
                <w:color w:val="000000"/>
                <w:lang w:val="en-US"/>
              </w:rPr>
            </w:pPr>
            <w:r w:rsidRPr="00D667B4">
              <w:rPr>
                <w:color w:val="000000"/>
              </w:rPr>
              <w:t>30</w:t>
            </w:r>
          </w:p>
        </w:tc>
        <w:tc>
          <w:tcPr>
            <w:tcW w:w="1650" w:type="dxa"/>
            <w:tcBorders>
              <w:top w:val="nil"/>
              <w:left w:val="nil"/>
              <w:bottom w:val="single" w:sz="4" w:space="0" w:color="auto"/>
              <w:right w:val="single" w:sz="4" w:space="0" w:color="auto"/>
            </w:tcBorders>
            <w:shd w:val="clear" w:color="auto" w:fill="auto"/>
            <w:noWrap/>
            <w:vAlign w:val="center"/>
            <w:hideMark/>
          </w:tcPr>
          <w:p w14:paraId="1A344021" w14:textId="77777777" w:rsidR="00483EC1" w:rsidRPr="00D667B4" w:rsidRDefault="00483EC1" w:rsidP="00315FCD">
            <w:pPr>
              <w:jc w:val="center"/>
              <w:rPr>
                <w:color w:val="000000"/>
                <w:lang w:val="en-US"/>
              </w:rPr>
            </w:pPr>
            <w:r w:rsidRPr="00D667B4">
              <w:rPr>
                <w:color w:val="000000"/>
              </w:rPr>
              <w:t>0</w:t>
            </w:r>
          </w:p>
        </w:tc>
        <w:tc>
          <w:tcPr>
            <w:tcW w:w="1261" w:type="dxa"/>
            <w:tcBorders>
              <w:top w:val="nil"/>
              <w:left w:val="nil"/>
              <w:bottom w:val="single" w:sz="4" w:space="0" w:color="auto"/>
              <w:right w:val="single" w:sz="4" w:space="0" w:color="auto"/>
            </w:tcBorders>
            <w:shd w:val="clear" w:color="auto" w:fill="auto"/>
            <w:noWrap/>
            <w:vAlign w:val="center"/>
            <w:hideMark/>
          </w:tcPr>
          <w:p w14:paraId="618CF2CD" w14:textId="77777777" w:rsidR="00483EC1" w:rsidRPr="00D667B4" w:rsidRDefault="00483EC1" w:rsidP="00315FCD">
            <w:pPr>
              <w:jc w:val="center"/>
              <w:rPr>
                <w:color w:val="000000"/>
                <w:lang w:val="en-US"/>
              </w:rPr>
            </w:pPr>
            <w:r w:rsidRPr="00D667B4">
              <w:rPr>
                <w:color w:val="000000"/>
              </w:rPr>
              <w:t>2</w:t>
            </w:r>
          </w:p>
        </w:tc>
        <w:tc>
          <w:tcPr>
            <w:tcW w:w="1196" w:type="dxa"/>
            <w:tcBorders>
              <w:top w:val="nil"/>
              <w:left w:val="nil"/>
              <w:bottom w:val="single" w:sz="4" w:space="0" w:color="auto"/>
              <w:right w:val="single" w:sz="4" w:space="0" w:color="auto"/>
            </w:tcBorders>
            <w:shd w:val="clear" w:color="auto" w:fill="auto"/>
            <w:noWrap/>
            <w:vAlign w:val="center"/>
            <w:hideMark/>
          </w:tcPr>
          <w:p w14:paraId="774B80E1" w14:textId="77777777" w:rsidR="00483EC1" w:rsidRPr="00D667B4" w:rsidRDefault="00483EC1" w:rsidP="00315FCD">
            <w:pPr>
              <w:jc w:val="center"/>
              <w:rPr>
                <w:color w:val="000000"/>
                <w:lang w:val="en-US"/>
              </w:rPr>
            </w:pPr>
            <w:r w:rsidRPr="00D667B4">
              <w:rPr>
                <w:color w:val="000000"/>
              </w:rPr>
              <w:t>2</w:t>
            </w:r>
          </w:p>
        </w:tc>
        <w:tc>
          <w:tcPr>
            <w:tcW w:w="740" w:type="dxa"/>
            <w:tcBorders>
              <w:top w:val="nil"/>
              <w:left w:val="nil"/>
              <w:bottom w:val="single" w:sz="4" w:space="0" w:color="auto"/>
              <w:right w:val="single" w:sz="4" w:space="0" w:color="auto"/>
            </w:tcBorders>
            <w:shd w:val="clear" w:color="auto" w:fill="auto"/>
            <w:noWrap/>
            <w:vAlign w:val="center"/>
            <w:hideMark/>
          </w:tcPr>
          <w:p w14:paraId="269C32D9" w14:textId="77777777" w:rsidR="00483EC1" w:rsidRPr="00D667B4" w:rsidRDefault="00483EC1" w:rsidP="00315FCD">
            <w:pPr>
              <w:jc w:val="center"/>
              <w:rPr>
                <w:color w:val="000000"/>
                <w:lang w:val="en-US"/>
              </w:rPr>
            </w:pPr>
            <w:r w:rsidRPr="00D667B4">
              <w:rPr>
                <w:color w:val="000000"/>
              </w:rPr>
              <w:t>34</w:t>
            </w:r>
          </w:p>
        </w:tc>
        <w:tc>
          <w:tcPr>
            <w:tcW w:w="740" w:type="dxa"/>
            <w:tcBorders>
              <w:top w:val="nil"/>
              <w:left w:val="nil"/>
              <w:bottom w:val="single" w:sz="4" w:space="0" w:color="auto"/>
              <w:right w:val="single" w:sz="4" w:space="0" w:color="auto"/>
            </w:tcBorders>
            <w:shd w:val="clear" w:color="auto" w:fill="auto"/>
            <w:noWrap/>
            <w:vAlign w:val="center"/>
            <w:hideMark/>
          </w:tcPr>
          <w:p w14:paraId="51577317" w14:textId="77777777" w:rsidR="00483EC1" w:rsidRPr="00D667B4" w:rsidRDefault="00483EC1" w:rsidP="00315FCD">
            <w:pPr>
              <w:jc w:val="center"/>
              <w:rPr>
                <w:bCs/>
                <w:color w:val="000000"/>
                <w:lang w:val="en-US"/>
              </w:rPr>
            </w:pPr>
            <w:r w:rsidRPr="00D667B4">
              <w:rPr>
                <w:b/>
                <w:bCs/>
                <w:color w:val="000000"/>
              </w:rPr>
              <w:t>88%</w:t>
            </w:r>
          </w:p>
        </w:tc>
      </w:tr>
      <w:tr w:rsidR="00483EC1" w:rsidRPr="00D667B4" w14:paraId="342027D1" w14:textId="77777777" w:rsidTr="00315FCD">
        <w:trPr>
          <w:trHeight w:val="576"/>
          <w:jc w:val="center"/>
        </w:trPr>
        <w:tc>
          <w:tcPr>
            <w:tcW w:w="1828" w:type="dxa"/>
            <w:tcBorders>
              <w:top w:val="nil"/>
              <w:left w:val="single" w:sz="4" w:space="0" w:color="auto"/>
              <w:bottom w:val="single" w:sz="4" w:space="0" w:color="auto"/>
              <w:right w:val="nil"/>
            </w:tcBorders>
            <w:shd w:val="clear" w:color="auto" w:fill="auto"/>
            <w:vAlign w:val="center"/>
            <w:hideMark/>
          </w:tcPr>
          <w:p w14:paraId="1892B76A" w14:textId="77777777" w:rsidR="00483EC1" w:rsidRPr="00D667B4" w:rsidRDefault="00483EC1" w:rsidP="00315FCD">
            <w:pPr>
              <w:rPr>
                <w:b/>
                <w:bCs/>
                <w:color w:val="000000"/>
                <w:lang w:val="en-US"/>
              </w:rPr>
            </w:pPr>
            <w:r>
              <w:rPr>
                <w:b/>
                <w:bCs/>
                <w:color w:val="000000"/>
                <w:lang w:val="en-US"/>
              </w:rPr>
              <w:t>Programmatic</w:t>
            </w:r>
          </w:p>
        </w:tc>
        <w:tc>
          <w:tcPr>
            <w:tcW w:w="1625" w:type="dxa"/>
            <w:tcBorders>
              <w:top w:val="nil"/>
              <w:left w:val="single" w:sz="4" w:space="0" w:color="auto"/>
              <w:bottom w:val="single" w:sz="4" w:space="0" w:color="auto"/>
              <w:right w:val="single" w:sz="4" w:space="0" w:color="auto"/>
            </w:tcBorders>
            <w:shd w:val="clear" w:color="auto" w:fill="auto"/>
            <w:noWrap/>
            <w:vAlign w:val="center"/>
            <w:hideMark/>
          </w:tcPr>
          <w:p w14:paraId="4F930C90" w14:textId="77777777" w:rsidR="00483EC1" w:rsidRPr="00D667B4" w:rsidRDefault="00483EC1" w:rsidP="00315FCD">
            <w:pPr>
              <w:jc w:val="center"/>
              <w:rPr>
                <w:color w:val="000000"/>
                <w:lang w:val="en-US"/>
              </w:rPr>
            </w:pPr>
            <w:r w:rsidRPr="00D667B4">
              <w:rPr>
                <w:color w:val="000000"/>
              </w:rPr>
              <w:t>1</w:t>
            </w:r>
          </w:p>
        </w:tc>
        <w:tc>
          <w:tcPr>
            <w:tcW w:w="1650" w:type="dxa"/>
            <w:tcBorders>
              <w:top w:val="nil"/>
              <w:left w:val="nil"/>
              <w:bottom w:val="single" w:sz="4" w:space="0" w:color="auto"/>
              <w:right w:val="single" w:sz="4" w:space="0" w:color="auto"/>
            </w:tcBorders>
            <w:shd w:val="clear" w:color="auto" w:fill="auto"/>
            <w:noWrap/>
            <w:vAlign w:val="center"/>
            <w:hideMark/>
          </w:tcPr>
          <w:p w14:paraId="5755CCD9" w14:textId="77777777" w:rsidR="00483EC1" w:rsidRPr="00D667B4" w:rsidRDefault="00483EC1" w:rsidP="00315FCD">
            <w:pPr>
              <w:jc w:val="center"/>
              <w:rPr>
                <w:b/>
                <w:color w:val="000000"/>
                <w:lang w:val="en-US"/>
              </w:rPr>
            </w:pPr>
            <w:r w:rsidRPr="00D667B4">
              <w:rPr>
                <w:color w:val="000000"/>
              </w:rPr>
              <w:t>49</w:t>
            </w:r>
          </w:p>
        </w:tc>
        <w:tc>
          <w:tcPr>
            <w:tcW w:w="1261" w:type="dxa"/>
            <w:tcBorders>
              <w:top w:val="nil"/>
              <w:left w:val="nil"/>
              <w:bottom w:val="single" w:sz="4" w:space="0" w:color="auto"/>
              <w:right w:val="single" w:sz="4" w:space="0" w:color="auto"/>
            </w:tcBorders>
            <w:shd w:val="clear" w:color="auto" w:fill="auto"/>
            <w:noWrap/>
            <w:vAlign w:val="center"/>
            <w:hideMark/>
          </w:tcPr>
          <w:p w14:paraId="11A08730" w14:textId="77777777" w:rsidR="00483EC1" w:rsidRPr="00D667B4" w:rsidRDefault="00483EC1" w:rsidP="00315FCD">
            <w:pPr>
              <w:jc w:val="center"/>
              <w:rPr>
                <w:color w:val="000000"/>
                <w:lang w:val="en-US"/>
              </w:rPr>
            </w:pPr>
            <w:r w:rsidRPr="00D667B4">
              <w:rPr>
                <w:color w:val="000000"/>
              </w:rPr>
              <w:t>4</w:t>
            </w:r>
          </w:p>
        </w:tc>
        <w:tc>
          <w:tcPr>
            <w:tcW w:w="1196" w:type="dxa"/>
            <w:tcBorders>
              <w:top w:val="nil"/>
              <w:left w:val="nil"/>
              <w:bottom w:val="single" w:sz="4" w:space="0" w:color="auto"/>
              <w:right w:val="single" w:sz="4" w:space="0" w:color="auto"/>
            </w:tcBorders>
            <w:shd w:val="clear" w:color="auto" w:fill="auto"/>
            <w:noWrap/>
            <w:vAlign w:val="center"/>
            <w:hideMark/>
          </w:tcPr>
          <w:p w14:paraId="566EF48F" w14:textId="77777777" w:rsidR="00483EC1" w:rsidRPr="00D667B4" w:rsidRDefault="00483EC1" w:rsidP="00315FCD">
            <w:pPr>
              <w:jc w:val="center"/>
              <w:rPr>
                <w:color w:val="000000"/>
                <w:lang w:val="en-US"/>
              </w:rPr>
            </w:pPr>
            <w:r w:rsidRPr="00D667B4">
              <w:rPr>
                <w:color w:val="000000"/>
              </w:rPr>
              <w:t>0</w:t>
            </w:r>
          </w:p>
        </w:tc>
        <w:tc>
          <w:tcPr>
            <w:tcW w:w="740" w:type="dxa"/>
            <w:tcBorders>
              <w:top w:val="nil"/>
              <w:left w:val="nil"/>
              <w:bottom w:val="single" w:sz="4" w:space="0" w:color="auto"/>
              <w:right w:val="single" w:sz="4" w:space="0" w:color="auto"/>
            </w:tcBorders>
            <w:shd w:val="clear" w:color="auto" w:fill="auto"/>
            <w:noWrap/>
            <w:vAlign w:val="center"/>
            <w:hideMark/>
          </w:tcPr>
          <w:p w14:paraId="79A8EDA9" w14:textId="77777777" w:rsidR="00483EC1" w:rsidRPr="00D667B4" w:rsidRDefault="00483EC1" w:rsidP="00315FCD">
            <w:pPr>
              <w:jc w:val="center"/>
              <w:rPr>
                <w:color w:val="000000"/>
                <w:lang w:val="en-US"/>
              </w:rPr>
            </w:pPr>
            <w:r w:rsidRPr="00D667B4">
              <w:rPr>
                <w:color w:val="000000"/>
              </w:rPr>
              <w:t>54</w:t>
            </w:r>
          </w:p>
        </w:tc>
        <w:tc>
          <w:tcPr>
            <w:tcW w:w="740" w:type="dxa"/>
            <w:tcBorders>
              <w:top w:val="nil"/>
              <w:left w:val="nil"/>
              <w:bottom w:val="single" w:sz="4" w:space="0" w:color="auto"/>
              <w:right w:val="single" w:sz="4" w:space="0" w:color="auto"/>
            </w:tcBorders>
            <w:shd w:val="clear" w:color="auto" w:fill="auto"/>
            <w:noWrap/>
            <w:vAlign w:val="center"/>
            <w:hideMark/>
          </w:tcPr>
          <w:p w14:paraId="60B252D2" w14:textId="77777777" w:rsidR="00483EC1" w:rsidRPr="00D667B4" w:rsidRDefault="00483EC1" w:rsidP="00315FCD">
            <w:pPr>
              <w:jc w:val="center"/>
              <w:rPr>
                <w:bCs/>
                <w:color w:val="000000"/>
                <w:lang w:val="en-US"/>
              </w:rPr>
            </w:pPr>
            <w:r w:rsidRPr="00D667B4">
              <w:rPr>
                <w:b/>
                <w:bCs/>
                <w:color w:val="000000"/>
              </w:rPr>
              <w:t>91%</w:t>
            </w:r>
          </w:p>
        </w:tc>
      </w:tr>
      <w:tr w:rsidR="00483EC1" w:rsidRPr="00D667B4" w14:paraId="6D0D55A3" w14:textId="77777777" w:rsidTr="00315FCD">
        <w:trPr>
          <w:trHeight w:val="576"/>
          <w:jc w:val="center"/>
        </w:trPr>
        <w:tc>
          <w:tcPr>
            <w:tcW w:w="1828" w:type="dxa"/>
            <w:tcBorders>
              <w:top w:val="nil"/>
              <w:left w:val="single" w:sz="4" w:space="0" w:color="auto"/>
              <w:bottom w:val="single" w:sz="4" w:space="0" w:color="auto"/>
              <w:right w:val="nil"/>
            </w:tcBorders>
            <w:shd w:val="clear" w:color="auto" w:fill="auto"/>
            <w:vAlign w:val="center"/>
            <w:hideMark/>
          </w:tcPr>
          <w:p w14:paraId="50A45B7C" w14:textId="77777777" w:rsidR="00483EC1" w:rsidRPr="00D667B4" w:rsidRDefault="00483EC1" w:rsidP="00315FCD">
            <w:pPr>
              <w:rPr>
                <w:b/>
                <w:bCs/>
                <w:color w:val="000000"/>
                <w:lang w:val="en-US"/>
              </w:rPr>
            </w:pPr>
            <w:r w:rsidRPr="00D667B4">
              <w:rPr>
                <w:b/>
                <w:bCs/>
                <w:color w:val="000000"/>
                <w:lang w:val="en-US"/>
              </w:rPr>
              <w:t>Praxis</w:t>
            </w:r>
          </w:p>
        </w:tc>
        <w:tc>
          <w:tcPr>
            <w:tcW w:w="1625" w:type="dxa"/>
            <w:tcBorders>
              <w:top w:val="nil"/>
              <w:left w:val="single" w:sz="4" w:space="0" w:color="auto"/>
              <w:bottom w:val="single" w:sz="4" w:space="0" w:color="auto"/>
              <w:right w:val="single" w:sz="4" w:space="0" w:color="auto"/>
            </w:tcBorders>
            <w:shd w:val="clear" w:color="auto" w:fill="auto"/>
            <w:noWrap/>
            <w:vAlign w:val="center"/>
            <w:hideMark/>
          </w:tcPr>
          <w:p w14:paraId="4C5686BA" w14:textId="77777777" w:rsidR="00483EC1" w:rsidRPr="00D667B4" w:rsidRDefault="00483EC1" w:rsidP="00315FCD">
            <w:pPr>
              <w:jc w:val="center"/>
              <w:rPr>
                <w:color w:val="000000"/>
                <w:lang w:val="en-US"/>
              </w:rPr>
            </w:pPr>
            <w:r w:rsidRPr="00D667B4">
              <w:rPr>
                <w:color w:val="000000"/>
              </w:rPr>
              <w:t>6</w:t>
            </w:r>
          </w:p>
        </w:tc>
        <w:tc>
          <w:tcPr>
            <w:tcW w:w="1650" w:type="dxa"/>
            <w:tcBorders>
              <w:top w:val="nil"/>
              <w:left w:val="nil"/>
              <w:bottom w:val="single" w:sz="4" w:space="0" w:color="auto"/>
              <w:right w:val="single" w:sz="4" w:space="0" w:color="auto"/>
            </w:tcBorders>
            <w:shd w:val="clear" w:color="auto" w:fill="auto"/>
            <w:noWrap/>
            <w:vAlign w:val="center"/>
            <w:hideMark/>
          </w:tcPr>
          <w:p w14:paraId="2E7B6FE1" w14:textId="77777777" w:rsidR="00483EC1" w:rsidRPr="00D667B4" w:rsidRDefault="00483EC1" w:rsidP="00315FCD">
            <w:pPr>
              <w:jc w:val="center"/>
              <w:rPr>
                <w:color w:val="000000"/>
                <w:lang w:val="en-US"/>
              </w:rPr>
            </w:pPr>
            <w:r w:rsidRPr="00D667B4">
              <w:rPr>
                <w:color w:val="000000"/>
              </w:rPr>
              <w:t>11</w:t>
            </w:r>
          </w:p>
        </w:tc>
        <w:tc>
          <w:tcPr>
            <w:tcW w:w="1261" w:type="dxa"/>
            <w:tcBorders>
              <w:top w:val="nil"/>
              <w:left w:val="nil"/>
              <w:bottom w:val="single" w:sz="4" w:space="0" w:color="auto"/>
              <w:right w:val="single" w:sz="4" w:space="0" w:color="auto"/>
            </w:tcBorders>
            <w:shd w:val="clear" w:color="auto" w:fill="auto"/>
            <w:noWrap/>
            <w:vAlign w:val="center"/>
            <w:hideMark/>
          </w:tcPr>
          <w:p w14:paraId="507FCA34" w14:textId="77777777" w:rsidR="00483EC1" w:rsidRPr="00D667B4" w:rsidRDefault="00483EC1" w:rsidP="00315FCD">
            <w:pPr>
              <w:jc w:val="center"/>
              <w:rPr>
                <w:b/>
                <w:color w:val="000000"/>
                <w:lang w:val="en-US"/>
              </w:rPr>
            </w:pPr>
            <w:r w:rsidRPr="00D667B4">
              <w:rPr>
                <w:color w:val="000000"/>
              </w:rPr>
              <w:t>55</w:t>
            </w:r>
          </w:p>
        </w:tc>
        <w:tc>
          <w:tcPr>
            <w:tcW w:w="1196" w:type="dxa"/>
            <w:tcBorders>
              <w:top w:val="nil"/>
              <w:left w:val="nil"/>
              <w:bottom w:val="single" w:sz="4" w:space="0" w:color="auto"/>
              <w:right w:val="single" w:sz="4" w:space="0" w:color="auto"/>
            </w:tcBorders>
            <w:shd w:val="clear" w:color="auto" w:fill="auto"/>
            <w:noWrap/>
            <w:vAlign w:val="center"/>
            <w:hideMark/>
          </w:tcPr>
          <w:p w14:paraId="517D00F6" w14:textId="77777777" w:rsidR="00483EC1" w:rsidRPr="00D667B4" w:rsidRDefault="00483EC1" w:rsidP="00315FCD">
            <w:pPr>
              <w:jc w:val="center"/>
              <w:rPr>
                <w:color w:val="000000"/>
                <w:lang w:val="en-US"/>
              </w:rPr>
            </w:pPr>
            <w:r w:rsidRPr="00D667B4">
              <w:rPr>
                <w:color w:val="000000"/>
              </w:rPr>
              <w:t>2</w:t>
            </w:r>
          </w:p>
        </w:tc>
        <w:tc>
          <w:tcPr>
            <w:tcW w:w="740" w:type="dxa"/>
            <w:tcBorders>
              <w:top w:val="nil"/>
              <w:left w:val="nil"/>
              <w:bottom w:val="single" w:sz="4" w:space="0" w:color="auto"/>
              <w:right w:val="single" w:sz="4" w:space="0" w:color="auto"/>
            </w:tcBorders>
            <w:shd w:val="clear" w:color="auto" w:fill="auto"/>
            <w:noWrap/>
            <w:vAlign w:val="center"/>
            <w:hideMark/>
          </w:tcPr>
          <w:p w14:paraId="439AAF90" w14:textId="77777777" w:rsidR="00483EC1" w:rsidRPr="00D667B4" w:rsidRDefault="00483EC1" w:rsidP="00315FCD">
            <w:pPr>
              <w:jc w:val="center"/>
              <w:rPr>
                <w:color w:val="000000"/>
                <w:lang w:val="en-US"/>
              </w:rPr>
            </w:pPr>
            <w:r w:rsidRPr="00D667B4">
              <w:rPr>
                <w:color w:val="000000"/>
              </w:rPr>
              <w:t>74</w:t>
            </w:r>
          </w:p>
        </w:tc>
        <w:tc>
          <w:tcPr>
            <w:tcW w:w="740" w:type="dxa"/>
            <w:tcBorders>
              <w:top w:val="nil"/>
              <w:left w:val="nil"/>
              <w:bottom w:val="single" w:sz="4" w:space="0" w:color="auto"/>
              <w:right w:val="single" w:sz="4" w:space="0" w:color="auto"/>
            </w:tcBorders>
            <w:shd w:val="clear" w:color="auto" w:fill="auto"/>
            <w:noWrap/>
            <w:vAlign w:val="center"/>
            <w:hideMark/>
          </w:tcPr>
          <w:p w14:paraId="204E0B1F" w14:textId="77777777" w:rsidR="00483EC1" w:rsidRPr="00D667B4" w:rsidRDefault="00483EC1" w:rsidP="00315FCD">
            <w:pPr>
              <w:jc w:val="center"/>
              <w:rPr>
                <w:bCs/>
                <w:color w:val="000000"/>
                <w:lang w:val="en-US"/>
              </w:rPr>
            </w:pPr>
            <w:r w:rsidRPr="00D667B4">
              <w:rPr>
                <w:b/>
                <w:bCs/>
                <w:color w:val="000000"/>
              </w:rPr>
              <w:t>74%</w:t>
            </w:r>
          </w:p>
        </w:tc>
      </w:tr>
      <w:tr w:rsidR="00483EC1" w:rsidRPr="00D667B4" w14:paraId="752BC867" w14:textId="77777777" w:rsidTr="00315FCD">
        <w:trPr>
          <w:trHeight w:val="576"/>
          <w:jc w:val="center"/>
        </w:trPr>
        <w:tc>
          <w:tcPr>
            <w:tcW w:w="1828" w:type="dxa"/>
            <w:tcBorders>
              <w:top w:val="nil"/>
              <w:left w:val="single" w:sz="4" w:space="0" w:color="auto"/>
              <w:bottom w:val="single" w:sz="4" w:space="0" w:color="auto"/>
              <w:right w:val="single" w:sz="4" w:space="0" w:color="auto"/>
            </w:tcBorders>
            <w:shd w:val="clear" w:color="auto" w:fill="auto"/>
            <w:vAlign w:val="center"/>
            <w:hideMark/>
          </w:tcPr>
          <w:p w14:paraId="339B42F4" w14:textId="77777777" w:rsidR="00483EC1" w:rsidRPr="00D667B4" w:rsidRDefault="00483EC1" w:rsidP="00315FCD">
            <w:pPr>
              <w:rPr>
                <w:b/>
                <w:bCs/>
                <w:color w:val="000000"/>
                <w:lang w:val="en-US"/>
              </w:rPr>
            </w:pPr>
            <w:r w:rsidRPr="00D667B4">
              <w:rPr>
                <w:b/>
                <w:bCs/>
                <w:color w:val="000000"/>
                <w:lang w:val="en-US"/>
              </w:rPr>
              <w:t>Not adapted or unclear</w:t>
            </w:r>
          </w:p>
        </w:tc>
        <w:tc>
          <w:tcPr>
            <w:tcW w:w="1625" w:type="dxa"/>
            <w:tcBorders>
              <w:top w:val="nil"/>
              <w:left w:val="nil"/>
              <w:bottom w:val="single" w:sz="4" w:space="0" w:color="auto"/>
              <w:right w:val="single" w:sz="4" w:space="0" w:color="auto"/>
            </w:tcBorders>
            <w:shd w:val="clear" w:color="auto" w:fill="auto"/>
            <w:noWrap/>
            <w:vAlign w:val="center"/>
            <w:hideMark/>
          </w:tcPr>
          <w:p w14:paraId="6664647A" w14:textId="77777777" w:rsidR="00483EC1" w:rsidRPr="00D667B4" w:rsidRDefault="00483EC1" w:rsidP="00315FCD">
            <w:pPr>
              <w:jc w:val="center"/>
              <w:rPr>
                <w:color w:val="000000"/>
                <w:lang w:val="en-US"/>
              </w:rPr>
            </w:pPr>
            <w:r w:rsidRPr="00D667B4">
              <w:rPr>
                <w:color w:val="000000"/>
              </w:rPr>
              <w:t>3</w:t>
            </w:r>
          </w:p>
        </w:tc>
        <w:tc>
          <w:tcPr>
            <w:tcW w:w="1650" w:type="dxa"/>
            <w:tcBorders>
              <w:top w:val="nil"/>
              <w:left w:val="nil"/>
              <w:bottom w:val="single" w:sz="4" w:space="0" w:color="auto"/>
              <w:right w:val="single" w:sz="4" w:space="0" w:color="auto"/>
            </w:tcBorders>
            <w:shd w:val="clear" w:color="auto" w:fill="auto"/>
            <w:noWrap/>
            <w:vAlign w:val="center"/>
            <w:hideMark/>
          </w:tcPr>
          <w:p w14:paraId="346F945B" w14:textId="77777777" w:rsidR="00483EC1" w:rsidRPr="00D667B4" w:rsidRDefault="00483EC1" w:rsidP="00315FCD">
            <w:pPr>
              <w:jc w:val="center"/>
              <w:rPr>
                <w:color w:val="000000"/>
                <w:lang w:val="en-US"/>
              </w:rPr>
            </w:pPr>
            <w:r w:rsidRPr="00D667B4">
              <w:rPr>
                <w:color w:val="000000"/>
              </w:rPr>
              <w:t>10</w:t>
            </w:r>
          </w:p>
        </w:tc>
        <w:tc>
          <w:tcPr>
            <w:tcW w:w="1261" w:type="dxa"/>
            <w:tcBorders>
              <w:top w:val="nil"/>
              <w:left w:val="nil"/>
              <w:bottom w:val="single" w:sz="4" w:space="0" w:color="auto"/>
              <w:right w:val="single" w:sz="4" w:space="0" w:color="auto"/>
            </w:tcBorders>
            <w:shd w:val="clear" w:color="auto" w:fill="auto"/>
            <w:noWrap/>
            <w:vAlign w:val="center"/>
            <w:hideMark/>
          </w:tcPr>
          <w:p w14:paraId="379B4073" w14:textId="77777777" w:rsidR="00483EC1" w:rsidRPr="00D667B4" w:rsidRDefault="00483EC1" w:rsidP="00315FCD">
            <w:pPr>
              <w:jc w:val="center"/>
              <w:rPr>
                <w:color w:val="000000"/>
                <w:lang w:val="en-US"/>
              </w:rPr>
            </w:pPr>
            <w:r w:rsidRPr="00D667B4">
              <w:rPr>
                <w:color w:val="000000"/>
              </w:rPr>
              <w:t>15</w:t>
            </w:r>
          </w:p>
        </w:tc>
        <w:tc>
          <w:tcPr>
            <w:tcW w:w="1196" w:type="dxa"/>
            <w:tcBorders>
              <w:top w:val="nil"/>
              <w:left w:val="nil"/>
              <w:bottom w:val="single" w:sz="4" w:space="0" w:color="auto"/>
              <w:right w:val="single" w:sz="4" w:space="0" w:color="auto"/>
            </w:tcBorders>
            <w:shd w:val="clear" w:color="auto" w:fill="auto"/>
            <w:noWrap/>
            <w:vAlign w:val="center"/>
            <w:hideMark/>
          </w:tcPr>
          <w:p w14:paraId="5A044A00" w14:textId="77777777" w:rsidR="00483EC1" w:rsidRPr="00D667B4" w:rsidRDefault="00483EC1" w:rsidP="00315FCD">
            <w:pPr>
              <w:jc w:val="center"/>
              <w:rPr>
                <w:b/>
                <w:color w:val="000000"/>
                <w:lang w:val="en-US"/>
              </w:rPr>
            </w:pPr>
            <w:r w:rsidRPr="00D667B4">
              <w:rPr>
                <w:color w:val="000000"/>
              </w:rPr>
              <w:t>38</w:t>
            </w:r>
          </w:p>
        </w:tc>
        <w:tc>
          <w:tcPr>
            <w:tcW w:w="740" w:type="dxa"/>
            <w:tcBorders>
              <w:top w:val="nil"/>
              <w:left w:val="nil"/>
              <w:bottom w:val="single" w:sz="4" w:space="0" w:color="auto"/>
              <w:right w:val="single" w:sz="4" w:space="0" w:color="auto"/>
            </w:tcBorders>
            <w:shd w:val="clear" w:color="auto" w:fill="auto"/>
            <w:noWrap/>
            <w:vAlign w:val="center"/>
            <w:hideMark/>
          </w:tcPr>
          <w:p w14:paraId="7197D41D" w14:textId="77777777" w:rsidR="00483EC1" w:rsidRPr="00D667B4" w:rsidRDefault="00483EC1" w:rsidP="00315FCD">
            <w:pPr>
              <w:jc w:val="center"/>
              <w:rPr>
                <w:color w:val="000000"/>
                <w:lang w:val="en-US"/>
              </w:rPr>
            </w:pPr>
            <w:r w:rsidRPr="00D667B4">
              <w:rPr>
                <w:color w:val="000000"/>
              </w:rPr>
              <w:t>66</w:t>
            </w:r>
          </w:p>
        </w:tc>
        <w:tc>
          <w:tcPr>
            <w:tcW w:w="740" w:type="dxa"/>
            <w:tcBorders>
              <w:top w:val="nil"/>
              <w:left w:val="nil"/>
              <w:bottom w:val="single" w:sz="4" w:space="0" w:color="auto"/>
              <w:right w:val="single" w:sz="4" w:space="0" w:color="auto"/>
            </w:tcBorders>
            <w:shd w:val="clear" w:color="auto" w:fill="auto"/>
            <w:noWrap/>
            <w:vAlign w:val="center"/>
            <w:hideMark/>
          </w:tcPr>
          <w:p w14:paraId="68B14EE0" w14:textId="77777777" w:rsidR="00483EC1" w:rsidRPr="00D667B4" w:rsidRDefault="00483EC1" w:rsidP="00315FCD">
            <w:pPr>
              <w:jc w:val="center"/>
              <w:rPr>
                <w:bCs/>
                <w:color w:val="000000"/>
                <w:lang w:val="en-US"/>
              </w:rPr>
            </w:pPr>
            <w:r w:rsidRPr="00D667B4">
              <w:rPr>
                <w:b/>
                <w:bCs/>
                <w:color w:val="000000"/>
              </w:rPr>
              <w:t>58%</w:t>
            </w:r>
          </w:p>
        </w:tc>
      </w:tr>
      <w:tr w:rsidR="00483EC1" w:rsidRPr="00D667B4" w14:paraId="77B73CC8" w14:textId="77777777" w:rsidTr="00315FCD">
        <w:trPr>
          <w:trHeight w:val="576"/>
          <w:jc w:val="center"/>
        </w:trPr>
        <w:tc>
          <w:tcPr>
            <w:tcW w:w="1828" w:type="dxa"/>
            <w:tcBorders>
              <w:top w:val="nil"/>
              <w:left w:val="nil"/>
              <w:bottom w:val="nil"/>
              <w:right w:val="nil"/>
            </w:tcBorders>
            <w:shd w:val="clear" w:color="auto" w:fill="auto"/>
            <w:noWrap/>
            <w:vAlign w:val="bottom"/>
            <w:hideMark/>
          </w:tcPr>
          <w:p w14:paraId="2BB4203D" w14:textId="77777777" w:rsidR="00483EC1" w:rsidRPr="00D667B4" w:rsidRDefault="00483EC1" w:rsidP="00315FCD">
            <w:pPr>
              <w:rPr>
                <w:color w:val="000000"/>
                <w:lang w:val="en-US"/>
              </w:rPr>
            </w:pPr>
          </w:p>
        </w:tc>
        <w:tc>
          <w:tcPr>
            <w:tcW w:w="1625" w:type="dxa"/>
            <w:tcBorders>
              <w:top w:val="nil"/>
              <w:left w:val="single" w:sz="4" w:space="0" w:color="auto"/>
              <w:bottom w:val="single" w:sz="4" w:space="0" w:color="auto"/>
              <w:right w:val="single" w:sz="4" w:space="0" w:color="auto"/>
            </w:tcBorders>
            <w:shd w:val="clear" w:color="auto" w:fill="auto"/>
            <w:noWrap/>
            <w:vAlign w:val="center"/>
            <w:hideMark/>
          </w:tcPr>
          <w:p w14:paraId="384591B6" w14:textId="77777777" w:rsidR="00483EC1" w:rsidRPr="00D667B4" w:rsidRDefault="00483EC1" w:rsidP="00315FCD">
            <w:pPr>
              <w:jc w:val="center"/>
              <w:rPr>
                <w:bCs/>
                <w:color w:val="000000"/>
                <w:lang w:val="en-US"/>
              </w:rPr>
            </w:pPr>
            <w:r w:rsidRPr="00D667B4">
              <w:rPr>
                <w:b/>
                <w:bCs/>
                <w:color w:val="000000"/>
              </w:rPr>
              <w:t>Total fit</w:t>
            </w:r>
          </w:p>
        </w:tc>
        <w:tc>
          <w:tcPr>
            <w:tcW w:w="1650" w:type="dxa"/>
            <w:tcBorders>
              <w:top w:val="nil"/>
              <w:left w:val="nil"/>
              <w:bottom w:val="single" w:sz="4" w:space="0" w:color="auto"/>
              <w:right w:val="single" w:sz="4" w:space="0" w:color="auto"/>
            </w:tcBorders>
            <w:shd w:val="clear" w:color="auto" w:fill="auto"/>
            <w:noWrap/>
            <w:vAlign w:val="center"/>
            <w:hideMark/>
          </w:tcPr>
          <w:p w14:paraId="5FF3CCE1" w14:textId="77777777" w:rsidR="00483EC1" w:rsidRPr="00D667B4" w:rsidRDefault="00483EC1" w:rsidP="00315FCD">
            <w:pPr>
              <w:jc w:val="center"/>
              <w:rPr>
                <w:bCs/>
                <w:color w:val="000000"/>
                <w:lang w:val="en-US"/>
              </w:rPr>
            </w:pPr>
            <w:r w:rsidRPr="00D667B4">
              <w:rPr>
                <w:b/>
                <w:bCs/>
                <w:color w:val="000000"/>
              </w:rPr>
              <w:t>172</w:t>
            </w:r>
          </w:p>
        </w:tc>
        <w:tc>
          <w:tcPr>
            <w:tcW w:w="1261" w:type="dxa"/>
            <w:tcBorders>
              <w:top w:val="nil"/>
              <w:left w:val="nil"/>
              <w:bottom w:val="single" w:sz="4" w:space="0" w:color="auto"/>
              <w:right w:val="single" w:sz="4" w:space="0" w:color="auto"/>
            </w:tcBorders>
            <w:shd w:val="clear" w:color="auto" w:fill="auto"/>
            <w:noWrap/>
            <w:vAlign w:val="bottom"/>
            <w:hideMark/>
          </w:tcPr>
          <w:p w14:paraId="2707C4CF" w14:textId="77777777" w:rsidR="00483EC1" w:rsidRPr="00D667B4" w:rsidRDefault="00483EC1" w:rsidP="00315FCD">
            <w:pPr>
              <w:rPr>
                <w:color w:val="000000"/>
                <w:lang w:val="en-US"/>
              </w:rPr>
            </w:pPr>
            <w:r w:rsidRPr="00D667B4">
              <w:rPr>
                <w:color w:val="000000"/>
              </w:rPr>
              <w:t> </w:t>
            </w:r>
          </w:p>
        </w:tc>
        <w:tc>
          <w:tcPr>
            <w:tcW w:w="1196" w:type="dxa"/>
            <w:tcBorders>
              <w:top w:val="nil"/>
              <w:left w:val="nil"/>
              <w:bottom w:val="single" w:sz="4" w:space="0" w:color="auto"/>
              <w:right w:val="single" w:sz="4" w:space="0" w:color="auto"/>
            </w:tcBorders>
            <w:shd w:val="clear" w:color="auto" w:fill="auto"/>
            <w:vAlign w:val="center"/>
            <w:hideMark/>
          </w:tcPr>
          <w:p w14:paraId="7015F058" w14:textId="77777777" w:rsidR="00483EC1" w:rsidRPr="00D667B4" w:rsidRDefault="00483EC1" w:rsidP="00315FCD">
            <w:pPr>
              <w:jc w:val="center"/>
              <w:rPr>
                <w:bCs/>
                <w:color w:val="000000"/>
                <w:lang w:val="en-US"/>
              </w:rPr>
            </w:pPr>
            <w:r w:rsidRPr="00D667B4">
              <w:rPr>
                <w:b/>
                <w:bCs/>
                <w:color w:val="000000"/>
              </w:rPr>
              <w:t>Total placement</w:t>
            </w:r>
          </w:p>
        </w:tc>
        <w:tc>
          <w:tcPr>
            <w:tcW w:w="740" w:type="dxa"/>
            <w:tcBorders>
              <w:top w:val="nil"/>
              <w:left w:val="nil"/>
              <w:bottom w:val="single" w:sz="4" w:space="0" w:color="auto"/>
              <w:right w:val="single" w:sz="4" w:space="0" w:color="auto"/>
            </w:tcBorders>
            <w:shd w:val="clear" w:color="auto" w:fill="auto"/>
            <w:noWrap/>
            <w:vAlign w:val="center"/>
            <w:hideMark/>
          </w:tcPr>
          <w:p w14:paraId="14B2542F" w14:textId="77777777" w:rsidR="00483EC1" w:rsidRPr="00D667B4" w:rsidRDefault="00483EC1" w:rsidP="00315FCD">
            <w:pPr>
              <w:jc w:val="center"/>
              <w:rPr>
                <w:bCs/>
                <w:color w:val="000000"/>
                <w:lang w:val="en-US"/>
              </w:rPr>
            </w:pPr>
            <w:r w:rsidRPr="00D667B4">
              <w:rPr>
                <w:b/>
                <w:bCs/>
                <w:color w:val="000000"/>
              </w:rPr>
              <w:t>228</w:t>
            </w:r>
          </w:p>
        </w:tc>
        <w:tc>
          <w:tcPr>
            <w:tcW w:w="740" w:type="dxa"/>
            <w:tcBorders>
              <w:top w:val="nil"/>
              <w:left w:val="nil"/>
              <w:bottom w:val="single" w:sz="4" w:space="0" w:color="auto"/>
              <w:right w:val="single" w:sz="4" w:space="0" w:color="auto"/>
            </w:tcBorders>
            <w:shd w:val="clear" w:color="auto" w:fill="auto"/>
            <w:noWrap/>
            <w:vAlign w:val="center"/>
            <w:hideMark/>
          </w:tcPr>
          <w:p w14:paraId="18545E6D" w14:textId="77777777" w:rsidR="00483EC1" w:rsidRPr="00D667B4" w:rsidRDefault="00483EC1" w:rsidP="00315FCD">
            <w:pPr>
              <w:jc w:val="center"/>
              <w:rPr>
                <w:bCs/>
                <w:color w:val="000000"/>
                <w:lang w:val="en-US"/>
              </w:rPr>
            </w:pPr>
            <w:r w:rsidRPr="00D667B4">
              <w:rPr>
                <w:b/>
                <w:bCs/>
                <w:color w:val="000000"/>
              </w:rPr>
              <w:t>75,4%</w:t>
            </w:r>
          </w:p>
        </w:tc>
      </w:tr>
    </w:tbl>
    <w:p w14:paraId="28733905" w14:textId="2A630809" w:rsidR="00483EC1" w:rsidRDefault="00483EC1" w:rsidP="00483EC1">
      <w:pPr>
        <w:rPr>
          <w:lang w:val="en-US" w:eastAsia="en-GB"/>
        </w:rPr>
      </w:pPr>
    </w:p>
    <w:p w14:paraId="34380A8D" w14:textId="64F99AED" w:rsidR="00483EC1" w:rsidRDefault="00483EC1" w:rsidP="00483EC1">
      <w:pPr>
        <w:rPr>
          <w:lang w:val="en-US" w:eastAsia="en-GB"/>
        </w:rPr>
      </w:pPr>
    </w:p>
    <w:p w14:paraId="1EDEE484" w14:textId="77777777" w:rsidR="00483EC1" w:rsidRDefault="00483EC1" w:rsidP="00483EC1">
      <w:pPr>
        <w:jc w:val="center"/>
        <w:rPr>
          <w:color w:val="333333"/>
          <w:lang w:val="en-US"/>
        </w:rPr>
      </w:pPr>
      <w:r w:rsidRPr="0015760D">
        <w:rPr>
          <w:color w:val="333333"/>
          <w:lang w:val="en-US"/>
        </w:rPr>
        <w:t>Table VI: Reliability and Average Variance Extracted</w:t>
      </w:r>
    </w:p>
    <w:p w14:paraId="67F16F32" w14:textId="77777777" w:rsidR="00483EC1" w:rsidRPr="00F50AB5" w:rsidRDefault="00483EC1" w:rsidP="00483EC1">
      <w:pPr>
        <w:jc w:val="center"/>
        <w:rPr>
          <w:lang w:val="en-US" w:eastAsia="en-GB"/>
        </w:rPr>
      </w:pPr>
    </w:p>
    <w:tbl>
      <w:tblPr>
        <w:tblW w:w="5544" w:type="dxa"/>
        <w:jc w:val="center"/>
        <w:tblLayout w:type="fixed"/>
        <w:tblCellMar>
          <w:left w:w="70" w:type="dxa"/>
          <w:right w:w="70" w:type="dxa"/>
        </w:tblCellMar>
        <w:tblLook w:val="04A0" w:firstRow="1" w:lastRow="0" w:firstColumn="1" w:lastColumn="0" w:noHBand="0" w:noVBand="1"/>
      </w:tblPr>
      <w:tblGrid>
        <w:gridCol w:w="1074"/>
        <w:gridCol w:w="1117"/>
        <w:gridCol w:w="1118"/>
        <w:gridCol w:w="1117"/>
        <w:gridCol w:w="1118"/>
      </w:tblGrid>
      <w:tr w:rsidR="00483EC1" w:rsidRPr="00167FEB" w14:paraId="29744B5A" w14:textId="77777777" w:rsidTr="00315FCD">
        <w:trPr>
          <w:trHeight w:val="492"/>
          <w:jc w:val="center"/>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3C9CD" w14:textId="77777777" w:rsidR="00483EC1" w:rsidRPr="00167FEB" w:rsidRDefault="00483EC1" w:rsidP="00315FCD">
            <w:pPr>
              <w:rPr>
                <w:color w:val="000000"/>
                <w:lang w:val="en-US"/>
              </w:rPr>
            </w:pPr>
          </w:p>
        </w:tc>
        <w:tc>
          <w:tcPr>
            <w:tcW w:w="1117" w:type="dxa"/>
            <w:tcBorders>
              <w:top w:val="single" w:sz="4" w:space="0" w:color="auto"/>
              <w:left w:val="nil"/>
              <w:bottom w:val="single" w:sz="4" w:space="0" w:color="auto"/>
              <w:right w:val="single" w:sz="4" w:space="0" w:color="auto"/>
            </w:tcBorders>
            <w:shd w:val="clear" w:color="auto" w:fill="auto"/>
            <w:vAlign w:val="center"/>
            <w:hideMark/>
          </w:tcPr>
          <w:p w14:paraId="27A181E2" w14:textId="77777777" w:rsidR="00483EC1" w:rsidRPr="00167FEB" w:rsidRDefault="00483EC1" w:rsidP="00315FCD">
            <w:pPr>
              <w:jc w:val="center"/>
              <w:rPr>
                <w:color w:val="000000"/>
              </w:rPr>
            </w:pPr>
            <w:r w:rsidRPr="00167FEB">
              <w:rPr>
                <w:color w:val="000000"/>
              </w:rPr>
              <w:t>CR</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08EB8" w14:textId="77777777" w:rsidR="00483EC1" w:rsidRPr="00167FEB" w:rsidRDefault="00483EC1" w:rsidP="00315FCD">
            <w:pPr>
              <w:jc w:val="center"/>
              <w:rPr>
                <w:color w:val="000000"/>
              </w:rPr>
            </w:pPr>
            <w:r w:rsidRPr="00167FEB">
              <w:rPr>
                <w:color w:val="000000"/>
              </w:rPr>
              <w:t>C’s α</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01DF6" w14:textId="77777777" w:rsidR="00483EC1" w:rsidRPr="00167FEB" w:rsidRDefault="00483EC1" w:rsidP="00315FCD">
            <w:pPr>
              <w:jc w:val="center"/>
              <w:rPr>
                <w:color w:val="000000"/>
              </w:rPr>
            </w:pPr>
            <w:r w:rsidRPr="00167FEB">
              <w:rPr>
                <w:color w:val="000000"/>
              </w:rPr>
              <w:t>Rho</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A1640" w14:textId="77777777" w:rsidR="00483EC1" w:rsidRPr="00167FEB" w:rsidRDefault="00483EC1" w:rsidP="00315FCD">
            <w:pPr>
              <w:jc w:val="center"/>
              <w:rPr>
                <w:color w:val="000000"/>
              </w:rPr>
            </w:pPr>
            <w:r w:rsidRPr="00167FEB">
              <w:rPr>
                <w:color w:val="000000"/>
              </w:rPr>
              <w:t>AVE</w:t>
            </w:r>
          </w:p>
        </w:tc>
      </w:tr>
      <w:tr w:rsidR="00483EC1" w:rsidRPr="00167FEB" w14:paraId="5DAC144C" w14:textId="77777777" w:rsidTr="00315FCD">
        <w:trPr>
          <w:trHeight w:val="413"/>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B8BB7" w14:textId="77777777" w:rsidR="00483EC1" w:rsidRPr="00167FEB" w:rsidRDefault="00483EC1" w:rsidP="00315FCD">
            <w:pPr>
              <w:rPr>
                <w:color w:val="000000"/>
              </w:rPr>
            </w:pPr>
            <w:r w:rsidRPr="00167FEB">
              <w:rPr>
                <w:color w:val="000000"/>
                <w:lang w:val="en-US"/>
              </w:rPr>
              <w:t>INT</w:t>
            </w:r>
          </w:p>
        </w:tc>
        <w:tc>
          <w:tcPr>
            <w:tcW w:w="1117" w:type="dxa"/>
            <w:tcBorders>
              <w:top w:val="single" w:sz="4" w:space="0" w:color="auto"/>
              <w:left w:val="nil"/>
              <w:bottom w:val="single" w:sz="4" w:space="0" w:color="auto"/>
              <w:right w:val="single" w:sz="4" w:space="0" w:color="auto"/>
            </w:tcBorders>
            <w:shd w:val="clear" w:color="auto" w:fill="auto"/>
            <w:noWrap/>
            <w:hideMark/>
          </w:tcPr>
          <w:p w14:paraId="37ABEB62" w14:textId="77777777" w:rsidR="00483EC1" w:rsidRPr="00E5074A" w:rsidRDefault="00483EC1" w:rsidP="00315FCD">
            <w:pPr>
              <w:jc w:val="center"/>
              <w:rPr>
                <w:color w:val="000000"/>
              </w:rPr>
            </w:pPr>
            <w:r w:rsidRPr="00E5074A">
              <w:t>0.860</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5971EAD6" w14:textId="77777777" w:rsidR="00483EC1" w:rsidRPr="00E5074A" w:rsidRDefault="00483EC1" w:rsidP="00315FCD">
            <w:pPr>
              <w:jc w:val="center"/>
              <w:rPr>
                <w:color w:val="000000"/>
              </w:rPr>
            </w:pPr>
            <w:r w:rsidRPr="00E5074A">
              <w:t>0.782</w:t>
            </w:r>
          </w:p>
        </w:tc>
        <w:tc>
          <w:tcPr>
            <w:tcW w:w="1117" w:type="dxa"/>
            <w:tcBorders>
              <w:top w:val="single" w:sz="4" w:space="0" w:color="auto"/>
              <w:left w:val="single" w:sz="4" w:space="0" w:color="auto"/>
              <w:bottom w:val="single" w:sz="4" w:space="0" w:color="auto"/>
              <w:right w:val="single" w:sz="4" w:space="0" w:color="auto"/>
            </w:tcBorders>
            <w:shd w:val="clear" w:color="auto" w:fill="auto"/>
            <w:noWrap/>
            <w:hideMark/>
          </w:tcPr>
          <w:p w14:paraId="024B0497" w14:textId="77777777" w:rsidR="00483EC1" w:rsidRPr="00E5074A" w:rsidRDefault="00483EC1" w:rsidP="00315FCD">
            <w:pPr>
              <w:jc w:val="center"/>
              <w:rPr>
                <w:color w:val="000000"/>
              </w:rPr>
            </w:pPr>
            <w:r w:rsidRPr="00E5074A">
              <w:t>0.795</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12FBB71A" w14:textId="77777777" w:rsidR="00483EC1" w:rsidRPr="00E5074A" w:rsidRDefault="00483EC1" w:rsidP="00315FCD">
            <w:pPr>
              <w:jc w:val="center"/>
              <w:rPr>
                <w:color w:val="000000"/>
              </w:rPr>
            </w:pPr>
            <w:r w:rsidRPr="00E5074A">
              <w:t>0.607</w:t>
            </w:r>
          </w:p>
        </w:tc>
      </w:tr>
      <w:tr w:rsidR="00483EC1" w:rsidRPr="00167FEB" w14:paraId="4576B77E" w14:textId="77777777" w:rsidTr="00315FCD">
        <w:trPr>
          <w:trHeight w:val="390"/>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38CC4" w14:textId="77777777" w:rsidR="00483EC1" w:rsidRPr="00167FEB" w:rsidRDefault="00483EC1" w:rsidP="00315FCD">
            <w:pPr>
              <w:rPr>
                <w:color w:val="000000"/>
              </w:rPr>
            </w:pPr>
            <w:r w:rsidRPr="00167FEB">
              <w:rPr>
                <w:color w:val="000000"/>
              </w:rPr>
              <w:t>PRAX</w:t>
            </w:r>
          </w:p>
        </w:tc>
        <w:tc>
          <w:tcPr>
            <w:tcW w:w="1117" w:type="dxa"/>
            <w:tcBorders>
              <w:top w:val="single" w:sz="4" w:space="0" w:color="auto"/>
              <w:left w:val="nil"/>
              <w:bottom w:val="single" w:sz="4" w:space="0" w:color="auto"/>
              <w:right w:val="single" w:sz="4" w:space="0" w:color="auto"/>
            </w:tcBorders>
            <w:shd w:val="clear" w:color="auto" w:fill="auto"/>
            <w:noWrap/>
            <w:hideMark/>
          </w:tcPr>
          <w:p w14:paraId="108BF6ED" w14:textId="77777777" w:rsidR="00483EC1" w:rsidRPr="00E5074A" w:rsidRDefault="00483EC1" w:rsidP="00315FCD">
            <w:pPr>
              <w:jc w:val="center"/>
              <w:rPr>
                <w:color w:val="000000"/>
              </w:rPr>
            </w:pPr>
            <w:r w:rsidRPr="00E5074A">
              <w:t>0.846</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648C8CA8" w14:textId="77777777" w:rsidR="00483EC1" w:rsidRPr="00E5074A" w:rsidRDefault="00483EC1" w:rsidP="00315FCD">
            <w:pPr>
              <w:jc w:val="center"/>
              <w:rPr>
                <w:color w:val="000000"/>
              </w:rPr>
            </w:pPr>
            <w:r w:rsidRPr="00E5074A">
              <w:t>0.757</w:t>
            </w:r>
          </w:p>
        </w:tc>
        <w:tc>
          <w:tcPr>
            <w:tcW w:w="1117" w:type="dxa"/>
            <w:tcBorders>
              <w:top w:val="single" w:sz="4" w:space="0" w:color="auto"/>
              <w:left w:val="single" w:sz="4" w:space="0" w:color="auto"/>
              <w:bottom w:val="single" w:sz="4" w:space="0" w:color="auto"/>
              <w:right w:val="single" w:sz="4" w:space="0" w:color="auto"/>
            </w:tcBorders>
            <w:shd w:val="clear" w:color="auto" w:fill="auto"/>
            <w:noWrap/>
            <w:hideMark/>
          </w:tcPr>
          <w:p w14:paraId="7EFCE976" w14:textId="77777777" w:rsidR="00483EC1" w:rsidRPr="00E5074A" w:rsidRDefault="00483EC1" w:rsidP="00315FCD">
            <w:pPr>
              <w:jc w:val="center"/>
              <w:rPr>
                <w:color w:val="000000"/>
              </w:rPr>
            </w:pPr>
            <w:r w:rsidRPr="00E5074A">
              <w:t>0.760</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47954B4E" w14:textId="77777777" w:rsidR="00483EC1" w:rsidRPr="00E5074A" w:rsidRDefault="00483EC1" w:rsidP="00315FCD">
            <w:pPr>
              <w:jc w:val="center"/>
              <w:rPr>
                <w:color w:val="000000"/>
              </w:rPr>
            </w:pPr>
            <w:r w:rsidRPr="00E5074A">
              <w:t>0.579</w:t>
            </w:r>
          </w:p>
        </w:tc>
      </w:tr>
      <w:tr w:rsidR="00483EC1" w:rsidRPr="00167FEB" w14:paraId="646D6977" w14:textId="77777777" w:rsidTr="00315FCD">
        <w:trPr>
          <w:trHeight w:val="440"/>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A338A" w14:textId="77777777" w:rsidR="00483EC1" w:rsidRPr="00167FEB" w:rsidRDefault="00483EC1" w:rsidP="00315FCD">
            <w:pPr>
              <w:rPr>
                <w:color w:val="000000"/>
              </w:rPr>
            </w:pPr>
            <w:r w:rsidRPr="00167FEB">
              <w:rPr>
                <w:color w:val="000000"/>
              </w:rPr>
              <w:t>PROG</w:t>
            </w:r>
          </w:p>
        </w:tc>
        <w:tc>
          <w:tcPr>
            <w:tcW w:w="1117" w:type="dxa"/>
            <w:tcBorders>
              <w:top w:val="single" w:sz="4" w:space="0" w:color="auto"/>
              <w:left w:val="nil"/>
              <w:bottom w:val="single" w:sz="4" w:space="0" w:color="auto"/>
              <w:right w:val="single" w:sz="4" w:space="0" w:color="auto"/>
            </w:tcBorders>
            <w:shd w:val="clear" w:color="auto" w:fill="auto"/>
            <w:noWrap/>
            <w:hideMark/>
          </w:tcPr>
          <w:p w14:paraId="63481C02" w14:textId="77777777" w:rsidR="00483EC1" w:rsidRPr="00E5074A" w:rsidRDefault="00483EC1" w:rsidP="00315FCD">
            <w:pPr>
              <w:jc w:val="center"/>
              <w:rPr>
                <w:color w:val="000000"/>
              </w:rPr>
            </w:pPr>
            <w:r w:rsidRPr="00E5074A">
              <w:t>0.892</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606761B3" w14:textId="77777777" w:rsidR="00483EC1" w:rsidRPr="00E5074A" w:rsidRDefault="00483EC1" w:rsidP="00315FCD">
            <w:pPr>
              <w:jc w:val="center"/>
              <w:rPr>
                <w:color w:val="000000"/>
              </w:rPr>
            </w:pPr>
            <w:r w:rsidRPr="00E5074A">
              <w:t>0.839</w:t>
            </w:r>
          </w:p>
        </w:tc>
        <w:tc>
          <w:tcPr>
            <w:tcW w:w="1117" w:type="dxa"/>
            <w:tcBorders>
              <w:top w:val="single" w:sz="4" w:space="0" w:color="auto"/>
              <w:left w:val="single" w:sz="4" w:space="0" w:color="auto"/>
              <w:bottom w:val="single" w:sz="4" w:space="0" w:color="auto"/>
              <w:right w:val="single" w:sz="4" w:space="0" w:color="auto"/>
            </w:tcBorders>
            <w:shd w:val="clear" w:color="auto" w:fill="auto"/>
            <w:noWrap/>
            <w:hideMark/>
          </w:tcPr>
          <w:p w14:paraId="791BFC38" w14:textId="77777777" w:rsidR="00483EC1" w:rsidRPr="00E5074A" w:rsidRDefault="00483EC1" w:rsidP="00315FCD">
            <w:pPr>
              <w:jc w:val="center"/>
              <w:rPr>
                <w:color w:val="000000"/>
              </w:rPr>
            </w:pPr>
            <w:r w:rsidRPr="00E5074A">
              <w:t>0.842</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41A7FBA3" w14:textId="77777777" w:rsidR="00483EC1" w:rsidRPr="00E5074A" w:rsidRDefault="00483EC1" w:rsidP="00315FCD">
            <w:pPr>
              <w:jc w:val="center"/>
              <w:rPr>
                <w:color w:val="000000"/>
              </w:rPr>
            </w:pPr>
            <w:r w:rsidRPr="00E5074A">
              <w:t>0.674</w:t>
            </w:r>
          </w:p>
        </w:tc>
      </w:tr>
    </w:tbl>
    <w:p w14:paraId="56B9542B" w14:textId="67C154EB" w:rsidR="00483EC1" w:rsidRDefault="00483EC1" w:rsidP="00483EC1">
      <w:pPr>
        <w:rPr>
          <w:lang w:val="en-US" w:eastAsia="en-GB"/>
        </w:rPr>
      </w:pPr>
    </w:p>
    <w:p w14:paraId="7EE3B7F9" w14:textId="0115CE49" w:rsidR="00483EC1" w:rsidRDefault="00483EC1" w:rsidP="00483EC1">
      <w:pPr>
        <w:rPr>
          <w:lang w:val="en-US" w:eastAsia="en-GB"/>
        </w:rPr>
      </w:pPr>
    </w:p>
    <w:p w14:paraId="13413DF9" w14:textId="77777777" w:rsidR="00A96732" w:rsidRDefault="00A96732">
      <w:pPr>
        <w:spacing w:after="200" w:line="276" w:lineRule="auto"/>
        <w:rPr>
          <w:color w:val="333333"/>
          <w:lang w:val="en-US"/>
        </w:rPr>
      </w:pPr>
      <w:r>
        <w:rPr>
          <w:color w:val="333333"/>
          <w:lang w:val="en-US"/>
        </w:rPr>
        <w:br w:type="page"/>
      </w:r>
    </w:p>
    <w:p w14:paraId="1B0A737C" w14:textId="7E18AA11" w:rsidR="00483EC1" w:rsidRPr="00F50AB5" w:rsidRDefault="00483EC1" w:rsidP="00483EC1">
      <w:pPr>
        <w:jc w:val="center"/>
        <w:rPr>
          <w:color w:val="333333"/>
          <w:lang w:val="en-US"/>
        </w:rPr>
      </w:pPr>
      <w:r w:rsidRPr="0015760D">
        <w:rPr>
          <w:color w:val="333333"/>
          <w:lang w:val="en-US"/>
        </w:rPr>
        <w:lastRenderedPageBreak/>
        <w:t>Table VII: Item loadings</w:t>
      </w:r>
    </w:p>
    <w:p w14:paraId="7AFD143D" w14:textId="77777777" w:rsidR="00483EC1" w:rsidRPr="00F50AB5" w:rsidRDefault="00483EC1" w:rsidP="00483EC1">
      <w:pPr>
        <w:jc w:val="center"/>
        <w:rPr>
          <w:lang w:val="en-GB" w:eastAsia="en-GB"/>
        </w:rPr>
      </w:pPr>
    </w:p>
    <w:tbl>
      <w:tblPr>
        <w:tblStyle w:val="Grilledutableau"/>
        <w:tblW w:w="9000" w:type="dxa"/>
        <w:jc w:val="center"/>
        <w:tblLayout w:type="fixed"/>
        <w:tblLook w:val="04A0" w:firstRow="1" w:lastRow="0" w:firstColumn="1" w:lastColumn="0" w:noHBand="0" w:noVBand="1"/>
      </w:tblPr>
      <w:tblGrid>
        <w:gridCol w:w="1098"/>
        <w:gridCol w:w="4356"/>
        <w:gridCol w:w="1278"/>
        <w:gridCol w:w="1132"/>
        <w:gridCol w:w="1136"/>
      </w:tblGrid>
      <w:tr w:rsidR="00483EC1" w:rsidRPr="00FF3563" w14:paraId="74808D6E" w14:textId="77777777" w:rsidTr="00315FCD">
        <w:trPr>
          <w:trHeight w:val="304"/>
          <w:jc w:val="center"/>
        </w:trPr>
        <w:tc>
          <w:tcPr>
            <w:tcW w:w="1098" w:type="dxa"/>
            <w:noWrap/>
            <w:vAlign w:val="center"/>
            <w:hideMark/>
          </w:tcPr>
          <w:p w14:paraId="59FE7134" w14:textId="77777777" w:rsidR="00483EC1" w:rsidRPr="00FF3563" w:rsidRDefault="00483EC1" w:rsidP="00315FCD">
            <w:pPr>
              <w:jc w:val="both"/>
              <w:rPr>
                <w:b/>
                <w:lang w:val="en-US"/>
              </w:rPr>
            </w:pPr>
            <w:r w:rsidRPr="00FF3563">
              <w:rPr>
                <w:b/>
                <w:lang w:val="en-US"/>
              </w:rPr>
              <w:t xml:space="preserve">Item </w:t>
            </w:r>
            <w:r>
              <w:rPr>
                <w:b/>
                <w:lang w:val="en-US"/>
              </w:rPr>
              <w:t>Code</w:t>
            </w:r>
          </w:p>
        </w:tc>
        <w:tc>
          <w:tcPr>
            <w:tcW w:w="4356" w:type="dxa"/>
            <w:vAlign w:val="center"/>
          </w:tcPr>
          <w:p w14:paraId="1149BA46" w14:textId="77777777" w:rsidR="00483EC1" w:rsidRPr="00FF3563" w:rsidRDefault="00483EC1" w:rsidP="00315FCD">
            <w:pPr>
              <w:rPr>
                <w:b/>
                <w:bCs/>
                <w:lang w:val="en-US"/>
              </w:rPr>
            </w:pPr>
            <w:r w:rsidRPr="00FF3563">
              <w:rPr>
                <w:b/>
                <w:bCs/>
                <w:lang w:val="en-US"/>
              </w:rPr>
              <w:t>Item</w:t>
            </w:r>
          </w:p>
        </w:tc>
        <w:tc>
          <w:tcPr>
            <w:tcW w:w="1278" w:type="dxa"/>
            <w:noWrap/>
            <w:vAlign w:val="center"/>
            <w:hideMark/>
          </w:tcPr>
          <w:p w14:paraId="547BD5DD" w14:textId="77777777" w:rsidR="00483EC1" w:rsidRPr="00FF3563" w:rsidRDefault="00483EC1" w:rsidP="00315FCD">
            <w:pPr>
              <w:jc w:val="center"/>
              <w:rPr>
                <w:b/>
                <w:bCs/>
                <w:lang w:val="en-US"/>
              </w:rPr>
            </w:pPr>
            <w:r w:rsidRPr="00FF3563">
              <w:rPr>
                <w:b/>
                <w:bCs/>
                <w:lang w:val="en-US"/>
              </w:rPr>
              <w:t>INT</w:t>
            </w:r>
          </w:p>
        </w:tc>
        <w:tc>
          <w:tcPr>
            <w:tcW w:w="1132" w:type="dxa"/>
            <w:noWrap/>
            <w:vAlign w:val="center"/>
            <w:hideMark/>
          </w:tcPr>
          <w:p w14:paraId="2DC84F3C" w14:textId="77777777" w:rsidR="00483EC1" w:rsidRPr="00FF3563" w:rsidRDefault="00483EC1" w:rsidP="00315FCD">
            <w:pPr>
              <w:jc w:val="center"/>
              <w:rPr>
                <w:b/>
                <w:bCs/>
                <w:lang w:val="en-US"/>
              </w:rPr>
            </w:pPr>
            <w:r w:rsidRPr="00FF3563">
              <w:rPr>
                <w:b/>
                <w:bCs/>
                <w:lang w:val="en-US"/>
              </w:rPr>
              <w:t>PROG</w:t>
            </w:r>
          </w:p>
        </w:tc>
        <w:tc>
          <w:tcPr>
            <w:tcW w:w="1136" w:type="dxa"/>
            <w:vAlign w:val="center"/>
          </w:tcPr>
          <w:p w14:paraId="7894835D" w14:textId="77777777" w:rsidR="00483EC1" w:rsidRPr="00FF3563" w:rsidRDefault="00483EC1" w:rsidP="00315FCD">
            <w:pPr>
              <w:jc w:val="center"/>
              <w:rPr>
                <w:b/>
                <w:bCs/>
                <w:lang w:val="en-US"/>
              </w:rPr>
            </w:pPr>
            <w:r w:rsidRPr="00FF3563">
              <w:rPr>
                <w:b/>
                <w:bCs/>
                <w:lang w:val="en-US"/>
              </w:rPr>
              <w:t>PRAX</w:t>
            </w:r>
          </w:p>
        </w:tc>
      </w:tr>
      <w:tr w:rsidR="00483EC1" w:rsidRPr="00E5074A" w14:paraId="1DEF6AF3" w14:textId="77777777" w:rsidTr="00315FCD">
        <w:trPr>
          <w:trHeight w:val="506"/>
          <w:jc w:val="center"/>
        </w:trPr>
        <w:tc>
          <w:tcPr>
            <w:tcW w:w="1098" w:type="dxa"/>
            <w:noWrap/>
            <w:vAlign w:val="center"/>
            <w:hideMark/>
          </w:tcPr>
          <w:p w14:paraId="02BE9E8A" w14:textId="77777777" w:rsidR="00483EC1" w:rsidRPr="00FF3563" w:rsidRDefault="00483EC1" w:rsidP="00315FCD">
            <w:pPr>
              <w:rPr>
                <w:lang w:val="en-US"/>
              </w:rPr>
            </w:pPr>
            <w:r w:rsidRPr="00FF3563">
              <w:rPr>
                <w:lang w:val="en-US"/>
              </w:rPr>
              <w:t>INT1</w:t>
            </w:r>
          </w:p>
        </w:tc>
        <w:tc>
          <w:tcPr>
            <w:tcW w:w="4356" w:type="dxa"/>
            <w:vAlign w:val="center"/>
          </w:tcPr>
          <w:p w14:paraId="65D4C50F" w14:textId="77777777" w:rsidR="00483EC1" w:rsidRPr="00FF3563" w:rsidRDefault="00483EC1" w:rsidP="00315FCD">
            <w:pPr>
              <w:rPr>
                <w:lang w:val="en-US"/>
              </w:rPr>
            </w:pPr>
            <w:r w:rsidRPr="00FF3563">
              <w:rPr>
                <w:lang w:val="en-US"/>
              </w:rPr>
              <w:t>Top management is visibly committed to diversity</w:t>
            </w:r>
          </w:p>
        </w:tc>
        <w:tc>
          <w:tcPr>
            <w:tcW w:w="1278" w:type="dxa"/>
            <w:noWrap/>
            <w:vAlign w:val="center"/>
            <w:hideMark/>
          </w:tcPr>
          <w:p w14:paraId="2E98C1BF" w14:textId="77777777" w:rsidR="00483EC1" w:rsidRPr="00E5074A" w:rsidRDefault="00483EC1" w:rsidP="00315FCD">
            <w:pPr>
              <w:jc w:val="center"/>
              <w:rPr>
                <w:b/>
                <w:lang w:val="en-US"/>
              </w:rPr>
            </w:pPr>
            <w:r w:rsidRPr="00E5074A">
              <w:rPr>
                <w:b/>
                <w:bCs/>
                <w:color w:val="000000"/>
              </w:rPr>
              <w:t>0.805***</w:t>
            </w:r>
          </w:p>
        </w:tc>
        <w:tc>
          <w:tcPr>
            <w:tcW w:w="1132" w:type="dxa"/>
            <w:noWrap/>
            <w:vAlign w:val="center"/>
            <w:hideMark/>
          </w:tcPr>
          <w:p w14:paraId="354D7914" w14:textId="77777777" w:rsidR="00483EC1" w:rsidRPr="00E5074A" w:rsidRDefault="00483EC1" w:rsidP="00315FCD">
            <w:pPr>
              <w:jc w:val="center"/>
              <w:rPr>
                <w:lang w:val="en-US"/>
              </w:rPr>
            </w:pPr>
            <w:r w:rsidRPr="00E5074A">
              <w:rPr>
                <w:color w:val="000000"/>
              </w:rPr>
              <w:t>0.462</w:t>
            </w:r>
          </w:p>
        </w:tc>
        <w:tc>
          <w:tcPr>
            <w:tcW w:w="1136" w:type="dxa"/>
            <w:vAlign w:val="center"/>
          </w:tcPr>
          <w:p w14:paraId="782AD30C" w14:textId="77777777" w:rsidR="00483EC1" w:rsidRPr="00E5074A" w:rsidRDefault="00483EC1" w:rsidP="00315FCD">
            <w:pPr>
              <w:jc w:val="center"/>
              <w:rPr>
                <w:lang w:val="en-US"/>
              </w:rPr>
            </w:pPr>
            <w:r w:rsidRPr="00E5074A">
              <w:rPr>
                <w:color w:val="000000"/>
              </w:rPr>
              <w:t>0.432</w:t>
            </w:r>
          </w:p>
        </w:tc>
      </w:tr>
      <w:tr w:rsidR="00483EC1" w:rsidRPr="00E5074A" w14:paraId="2598168D" w14:textId="77777777" w:rsidTr="00315FCD">
        <w:trPr>
          <w:trHeight w:val="506"/>
          <w:jc w:val="center"/>
        </w:trPr>
        <w:tc>
          <w:tcPr>
            <w:tcW w:w="1098" w:type="dxa"/>
            <w:noWrap/>
            <w:vAlign w:val="center"/>
            <w:hideMark/>
          </w:tcPr>
          <w:p w14:paraId="04E69BDC" w14:textId="77777777" w:rsidR="00483EC1" w:rsidRPr="00FF3563" w:rsidRDefault="00483EC1" w:rsidP="00315FCD">
            <w:pPr>
              <w:rPr>
                <w:lang w:val="en-US"/>
              </w:rPr>
            </w:pPr>
            <w:r w:rsidRPr="00FF3563">
              <w:rPr>
                <w:lang w:val="en-US"/>
              </w:rPr>
              <w:t>INT2</w:t>
            </w:r>
          </w:p>
        </w:tc>
        <w:tc>
          <w:tcPr>
            <w:tcW w:w="4356" w:type="dxa"/>
            <w:vAlign w:val="center"/>
          </w:tcPr>
          <w:p w14:paraId="1DF60783" w14:textId="77777777" w:rsidR="00483EC1" w:rsidRPr="00FF3563" w:rsidRDefault="00483EC1" w:rsidP="00315FCD">
            <w:pPr>
              <w:rPr>
                <w:lang w:val="en-US"/>
              </w:rPr>
            </w:pPr>
            <w:r w:rsidRPr="00FF3563">
              <w:rPr>
                <w:lang w:val="en-US"/>
              </w:rPr>
              <w:t>Top management intends to have a diverse workforce</w:t>
            </w:r>
          </w:p>
        </w:tc>
        <w:tc>
          <w:tcPr>
            <w:tcW w:w="1278" w:type="dxa"/>
            <w:noWrap/>
            <w:vAlign w:val="center"/>
            <w:hideMark/>
          </w:tcPr>
          <w:p w14:paraId="028AF619" w14:textId="77777777" w:rsidR="00483EC1" w:rsidRPr="00E5074A" w:rsidRDefault="00483EC1" w:rsidP="00315FCD">
            <w:pPr>
              <w:jc w:val="center"/>
              <w:rPr>
                <w:b/>
                <w:lang w:val="en-US"/>
              </w:rPr>
            </w:pPr>
            <w:r w:rsidRPr="00E5074A">
              <w:rPr>
                <w:b/>
                <w:bCs/>
                <w:color w:val="000000"/>
              </w:rPr>
              <w:t>0.860***</w:t>
            </w:r>
          </w:p>
        </w:tc>
        <w:tc>
          <w:tcPr>
            <w:tcW w:w="1132" w:type="dxa"/>
            <w:noWrap/>
            <w:vAlign w:val="center"/>
            <w:hideMark/>
          </w:tcPr>
          <w:p w14:paraId="280FD7D4" w14:textId="77777777" w:rsidR="00483EC1" w:rsidRPr="00E5074A" w:rsidRDefault="00483EC1" w:rsidP="00315FCD">
            <w:pPr>
              <w:jc w:val="center"/>
              <w:rPr>
                <w:lang w:val="en-US"/>
              </w:rPr>
            </w:pPr>
            <w:r w:rsidRPr="00E5074A">
              <w:rPr>
                <w:color w:val="000000"/>
              </w:rPr>
              <w:t>0.333</w:t>
            </w:r>
          </w:p>
        </w:tc>
        <w:tc>
          <w:tcPr>
            <w:tcW w:w="1136" w:type="dxa"/>
            <w:vAlign w:val="center"/>
          </w:tcPr>
          <w:p w14:paraId="02D7A315" w14:textId="77777777" w:rsidR="00483EC1" w:rsidRPr="00E5074A" w:rsidRDefault="00483EC1" w:rsidP="00315FCD">
            <w:pPr>
              <w:jc w:val="center"/>
              <w:rPr>
                <w:lang w:val="en-US"/>
              </w:rPr>
            </w:pPr>
            <w:r w:rsidRPr="00E5074A">
              <w:rPr>
                <w:color w:val="000000"/>
              </w:rPr>
              <w:t>0.446</w:t>
            </w:r>
          </w:p>
        </w:tc>
      </w:tr>
      <w:tr w:rsidR="00483EC1" w:rsidRPr="00E5074A" w14:paraId="12A45E73" w14:textId="77777777" w:rsidTr="00315FCD">
        <w:trPr>
          <w:trHeight w:val="506"/>
          <w:jc w:val="center"/>
        </w:trPr>
        <w:tc>
          <w:tcPr>
            <w:tcW w:w="1098" w:type="dxa"/>
            <w:noWrap/>
            <w:vAlign w:val="center"/>
            <w:hideMark/>
          </w:tcPr>
          <w:p w14:paraId="56A5E25C" w14:textId="77777777" w:rsidR="00483EC1" w:rsidRPr="00FF3563" w:rsidRDefault="00483EC1" w:rsidP="00315FCD">
            <w:pPr>
              <w:rPr>
                <w:lang w:val="en-US"/>
              </w:rPr>
            </w:pPr>
            <w:r w:rsidRPr="00FF3563">
              <w:rPr>
                <w:lang w:val="en-US"/>
              </w:rPr>
              <w:t>INT3</w:t>
            </w:r>
          </w:p>
        </w:tc>
        <w:tc>
          <w:tcPr>
            <w:tcW w:w="4356" w:type="dxa"/>
            <w:vAlign w:val="center"/>
          </w:tcPr>
          <w:p w14:paraId="34E9CAAD" w14:textId="77777777" w:rsidR="00483EC1" w:rsidRPr="00FF3563" w:rsidRDefault="00483EC1" w:rsidP="00315FCD">
            <w:pPr>
              <w:rPr>
                <w:lang w:val="en-US"/>
              </w:rPr>
            </w:pPr>
            <w:r w:rsidRPr="00FF3563">
              <w:rPr>
                <w:lang w:val="en-US"/>
              </w:rPr>
              <w:t xml:space="preserve">Clearly, diversity is not important to this organization </w:t>
            </w:r>
          </w:p>
        </w:tc>
        <w:tc>
          <w:tcPr>
            <w:tcW w:w="1278" w:type="dxa"/>
            <w:noWrap/>
            <w:vAlign w:val="center"/>
            <w:hideMark/>
          </w:tcPr>
          <w:p w14:paraId="08110DDE" w14:textId="77777777" w:rsidR="00483EC1" w:rsidRPr="00E5074A" w:rsidRDefault="00483EC1" w:rsidP="00315FCD">
            <w:pPr>
              <w:jc w:val="center"/>
              <w:rPr>
                <w:b/>
                <w:lang w:val="en-US"/>
              </w:rPr>
            </w:pPr>
            <w:r w:rsidRPr="00E5074A">
              <w:rPr>
                <w:b/>
                <w:bCs/>
                <w:color w:val="000000"/>
              </w:rPr>
              <w:t>0.650***</w:t>
            </w:r>
          </w:p>
        </w:tc>
        <w:tc>
          <w:tcPr>
            <w:tcW w:w="1132" w:type="dxa"/>
            <w:noWrap/>
            <w:vAlign w:val="center"/>
            <w:hideMark/>
          </w:tcPr>
          <w:p w14:paraId="114DA7E9" w14:textId="77777777" w:rsidR="00483EC1" w:rsidRPr="00E5074A" w:rsidRDefault="00483EC1" w:rsidP="00315FCD">
            <w:pPr>
              <w:jc w:val="center"/>
              <w:rPr>
                <w:lang w:val="en-US"/>
              </w:rPr>
            </w:pPr>
            <w:r w:rsidRPr="00E5074A">
              <w:rPr>
                <w:color w:val="000000"/>
              </w:rPr>
              <w:t>0.388</w:t>
            </w:r>
          </w:p>
        </w:tc>
        <w:tc>
          <w:tcPr>
            <w:tcW w:w="1136" w:type="dxa"/>
            <w:vAlign w:val="center"/>
          </w:tcPr>
          <w:p w14:paraId="6B2F5A34" w14:textId="77777777" w:rsidR="00483EC1" w:rsidRPr="00E5074A" w:rsidRDefault="00483EC1" w:rsidP="00315FCD">
            <w:pPr>
              <w:jc w:val="center"/>
              <w:rPr>
                <w:lang w:val="en-US"/>
              </w:rPr>
            </w:pPr>
            <w:r w:rsidRPr="00E5074A">
              <w:rPr>
                <w:color w:val="000000"/>
              </w:rPr>
              <w:t>0.239</w:t>
            </w:r>
          </w:p>
        </w:tc>
      </w:tr>
      <w:tr w:rsidR="00483EC1" w:rsidRPr="00E5074A" w14:paraId="2DA4463B" w14:textId="77777777" w:rsidTr="00315FCD">
        <w:trPr>
          <w:trHeight w:val="506"/>
          <w:jc w:val="center"/>
        </w:trPr>
        <w:tc>
          <w:tcPr>
            <w:tcW w:w="1098" w:type="dxa"/>
            <w:noWrap/>
            <w:vAlign w:val="center"/>
            <w:hideMark/>
          </w:tcPr>
          <w:p w14:paraId="46C8286F" w14:textId="77777777" w:rsidR="00483EC1" w:rsidRPr="00FF3563" w:rsidRDefault="00483EC1" w:rsidP="00315FCD">
            <w:pPr>
              <w:rPr>
                <w:lang w:val="en-US"/>
              </w:rPr>
            </w:pPr>
            <w:r w:rsidRPr="00FF3563">
              <w:rPr>
                <w:lang w:val="en-US"/>
              </w:rPr>
              <w:t>INT4</w:t>
            </w:r>
          </w:p>
        </w:tc>
        <w:tc>
          <w:tcPr>
            <w:tcW w:w="4356" w:type="dxa"/>
            <w:vAlign w:val="center"/>
          </w:tcPr>
          <w:p w14:paraId="07C40F2E" w14:textId="77777777" w:rsidR="00483EC1" w:rsidRPr="00FF3563" w:rsidRDefault="00483EC1" w:rsidP="00315FCD">
            <w:pPr>
              <w:rPr>
                <w:lang w:val="en-US"/>
              </w:rPr>
            </w:pPr>
            <w:r w:rsidRPr="00FF3563">
              <w:rPr>
                <w:lang w:val="en-US"/>
              </w:rPr>
              <w:t>This organization values differences among employees</w:t>
            </w:r>
          </w:p>
        </w:tc>
        <w:tc>
          <w:tcPr>
            <w:tcW w:w="1278" w:type="dxa"/>
            <w:noWrap/>
            <w:vAlign w:val="center"/>
            <w:hideMark/>
          </w:tcPr>
          <w:p w14:paraId="07871DEC" w14:textId="77777777" w:rsidR="00483EC1" w:rsidRPr="00E5074A" w:rsidRDefault="00483EC1" w:rsidP="00315FCD">
            <w:pPr>
              <w:jc w:val="center"/>
              <w:rPr>
                <w:b/>
                <w:lang w:val="en-US"/>
              </w:rPr>
            </w:pPr>
            <w:r w:rsidRPr="00E5074A">
              <w:rPr>
                <w:b/>
                <w:bCs/>
                <w:color w:val="000000"/>
              </w:rPr>
              <w:t>0.781***</w:t>
            </w:r>
          </w:p>
        </w:tc>
        <w:tc>
          <w:tcPr>
            <w:tcW w:w="1132" w:type="dxa"/>
            <w:noWrap/>
            <w:vAlign w:val="center"/>
            <w:hideMark/>
          </w:tcPr>
          <w:p w14:paraId="6593A1C7" w14:textId="77777777" w:rsidR="00483EC1" w:rsidRPr="00E5074A" w:rsidRDefault="00483EC1" w:rsidP="00315FCD">
            <w:pPr>
              <w:jc w:val="center"/>
              <w:rPr>
                <w:lang w:val="en-US"/>
              </w:rPr>
            </w:pPr>
            <w:r w:rsidRPr="00E5074A">
              <w:rPr>
                <w:color w:val="000000"/>
              </w:rPr>
              <w:t>0.332</w:t>
            </w:r>
          </w:p>
        </w:tc>
        <w:tc>
          <w:tcPr>
            <w:tcW w:w="1136" w:type="dxa"/>
            <w:vAlign w:val="center"/>
          </w:tcPr>
          <w:p w14:paraId="6BB22E3A" w14:textId="77777777" w:rsidR="00483EC1" w:rsidRPr="00E5074A" w:rsidRDefault="00483EC1" w:rsidP="00315FCD">
            <w:pPr>
              <w:jc w:val="center"/>
              <w:rPr>
                <w:lang w:val="en-US"/>
              </w:rPr>
            </w:pPr>
            <w:r w:rsidRPr="00E5074A">
              <w:rPr>
                <w:color w:val="000000"/>
              </w:rPr>
              <w:t>0.300</w:t>
            </w:r>
          </w:p>
        </w:tc>
      </w:tr>
      <w:tr w:rsidR="00483EC1" w:rsidRPr="00E5074A" w14:paraId="305D66F3" w14:textId="77777777" w:rsidTr="00315FCD">
        <w:trPr>
          <w:trHeight w:val="506"/>
          <w:jc w:val="center"/>
        </w:trPr>
        <w:tc>
          <w:tcPr>
            <w:tcW w:w="1098" w:type="dxa"/>
            <w:noWrap/>
            <w:vAlign w:val="center"/>
            <w:hideMark/>
          </w:tcPr>
          <w:p w14:paraId="1227134A" w14:textId="77777777" w:rsidR="00483EC1" w:rsidRPr="00FF3563" w:rsidRDefault="00483EC1" w:rsidP="00315FCD">
            <w:pPr>
              <w:rPr>
                <w:lang w:val="en-US"/>
              </w:rPr>
            </w:pPr>
            <w:r w:rsidRPr="00FF3563">
              <w:rPr>
                <w:lang w:val="en-US"/>
              </w:rPr>
              <w:t>PROG1</w:t>
            </w:r>
          </w:p>
        </w:tc>
        <w:tc>
          <w:tcPr>
            <w:tcW w:w="4356" w:type="dxa"/>
            <w:vAlign w:val="center"/>
          </w:tcPr>
          <w:p w14:paraId="001BA6CC" w14:textId="77777777" w:rsidR="00483EC1" w:rsidRPr="00FF3563" w:rsidRDefault="00483EC1" w:rsidP="00315FCD">
            <w:pPr>
              <w:rPr>
                <w:lang w:val="en-US"/>
              </w:rPr>
            </w:pPr>
            <w:r w:rsidRPr="00FF3563">
              <w:rPr>
                <w:lang w:val="en-US"/>
              </w:rPr>
              <w:t>This organization has set up action plans to promote diversity</w:t>
            </w:r>
          </w:p>
        </w:tc>
        <w:tc>
          <w:tcPr>
            <w:tcW w:w="1278" w:type="dxa"/>
            <w:noWrap/>
            <w:vAlign w:val="center"/>
          </w:tcPr>
          <w:p w14:paraId="3FDA9A54" w14:textId="77777777" w:rsidR="00483EC1" w:rsidRPr="00E5074A" w:rsidRDefault="00483EC1" w:rsidP="00315FCD">
            <w:pPr>
              <w:jc w:val="center"/>
              <w:rPr>
                <w:lang w:val="en-US"/>
              </w:rPr>
            </w:pPr>
            <w:r w:rsidRPr="00E5074A">
              <w:rPr>
                <w:color w:val="000000"/>
              </w:rPr>
              <w:t>0.383</w:t>
            </w:r>
          </w:p>
        </w:tc>
        <w:tc>
          <w:tcPr>
            <w:tcW w:w="1132" w:type="dxa"/>
            <w:noWrap/>
            <w:vAlign w:val="center"/>
          </w:tcPr>
          <w:p w14:paraId="405F6787" w14:textId="77777777" w:rsidR="00483EC1" w:rsidRPr="00E5074A" w:rsidRDefault="00483EC1" w:rsidP="00315FCD">
            <w:pPr>
              <w:jc w:val="center"/>
              <w:rPr>
                <w:b/>
                <w:lang w:val="en-US"/>
              </w:rPr>
            </w:pPr>
            <w:r w:rsidRPr="00E5074A">
              <w:rPr>
                <w:b/>
                <w:bCs/>
                <w:color w:val="000000"/>
              </w:rPr>
              <w:t>0.778***</w:t>
            </w:r>
          </w:p>
        </w:tc>
        <w:tc>
          <w:tcPr>
            <w:tcW w:w="1136" w:type="dxa"/>
            <w:vAlign w:val="center"/>
          </w:tcPr>
          <w:p w14:paraId="27137432" w14:textId="77777777" w:rsidR="00483EC1" w:rsidRPr="00E5074A" w:rsidRDefault="00483EC1" w:rsidP="00315FCD">
            <w:pPr>
              <w:jc w:val="center"/>
              <w:rPr>
                <w:lang w:val="en-US"/>
              </w:rPr>
            </w:pPr>
            <w:r w:rsidRPr="00E5074A">
              <w:rPr>
                <w:color w:val="000000"/>
              </w:rPr>
              <w:t>0.147</w:t>
            </w:r>
          </w:p>
        </w:tc>
      </w:tr>
      <w:tr w:rsidR="00483EC1" w:rsidRPr="00E5074A" w14:paraId="7878C8AE" w14:textId="77777777" w:rsidTr="00315FCD">
        <w:trPr>
          <w:trHeight w:val="506"/>
          <w:jc w:val="center"/>
        </w:trPr>
        <w:tc>
          <w:tcPr>
            <w:tcW w:w="1098" w:type="dxa"/>
            <w:noWrap/>
            <w:vAlign w:val="center"/>
            <w:hideMark/>
          </w:tcPr>
          <w:p w14:paraId="0A434861" w14:textId="77777777" w:rsidR="00483EC1" w:rsidRPr="00FF3563" w:rsidRDefault="00483EC1" w:rsidP="00315FCD">
            <w:pPr>
              <w:rPr>
                <w:lang w:val="en-US"/>
              </w:rPr>
            </w:pPr>
            <w:r w:rsidRPr="00FF3563">
              <w:rPr>
                <w:lang w:val="en-US"/>
              </w:rPr>
              <w:t>PROG2</w:t>
            </w:r>
          </w:p>
        </w:tc>
        <w:tc>
          <w:tcPr>
            <w:tcW w:w="4356" w:type="dxa"/>
            <w:vAlign w:val="center"/>
          </w:tcPr>
          <w:p w14:paraId="523C6B62" w14:textId="77777777" w:rsidR="00483EC1" w:rsidRPr="00FF3563" w:rsidRDefault="00483EC1" w:rsidP="00315FCD">
            <w:pPr>
              <w:rPr>
                <w:lang w:val="en-US"/>
              </w:rPr>
            </w:pPr>
            <w:r w:rsidRPr="00FF3563">
              <w:rPr>
                <w:lang w:val="en-US"/>
              </w:rPr>
              <w:t>This organization has launched initiatives to diversify its workforce</w:t>
            </w:r>
          </w:p>
        </w:tc>
        <w:tc>
          <w:tcPr>
            <w:tcW w:w="1278" w:type="dxa"/>
            <w:noWrap/>
            <w:vAlign w:val="center"/>
          </w:tcPr>
          <w:p w14:paraId="72F066A4" w14:textId="77777777" w:rsidR="00483EC1" w:rsidRPr="00E5074A" w:rsidRDefault="00483EC1" w:rsidP="00315FCD">
            <w:pPr>
              <w:jc w:val="center"/>
              <w:rPr>
                <w:lang w:val="en-US"/>
              </w:rPr>
            </w:pPr>
            <w:r w:rsidRPr="00E5074A">
              <w:rPr>
                <w:color w:val="000000"/>
              </w:rPr>
              <w:t>0.408</w:t>
            </w:r>
          </w:p>
        </w:tc>
        <w:tc>
          <w:tcPr>
            <w:tcW w:w="1132" w:type="dxa"/>
            <w:noWrap/>
            <w:vAlign w:val="center"/>
          </w:tcPr>
          <w:p w14:paraId="0B9E8BD4" w14:textId="77777777" w:rsidR="00483EC1" w:rsidRPr="00E5074A" w:rsidRDefault="00483EC1" w:rsidP="00315FCD">
            <w:pPr>
              <w:jc w:val="center"/>
              <w:rPr>
                <w:b/>
                <w:lang w:val="en-US"/>
              </w:rPr>
            </w:pPr>
            <w:r w:rsidRPr="00E5074A">
              <w:rPr>
                <w:b/>
                <w:bCs/>
                <w:color w:val="000000"/>
              </w:rPr>
              <w:t>0.866***</w:t>
            </w:r>
          </w:p>
        </w:tc>
        <w:tc>
          <w:tcPr>
            <w:tcW w:w="1136" w:type="dxa"/>
            <w:vAlign w:val="center"/>
          </w:tcPr>
          <w:p w14:paraId="5C670D5E" w14:textId="77777777" w:rsidR="00483EC1" w:rsidRPr="00E5074A" w:rsidRDefault="00483EC1" w:rsidP="00315FCD">
            <w:pPr>
              <w:jc w:val="center"/>
              <w:rPr>
                <w:lang w:val="en-US"/>
              </w:rPr>
            </w:pPr>
            <w:r w:rsidRPr="00E5074A">
              <w:rPr>
                <w:color w:val="000000"/>
              </w:rPr>
              <w:t>0.131</w:t>
            </w:r>
          </w:p>
        </w:tc>
      </w:tr>
      <w:tr w:rsidR="00483EC1" w:rsidRPr="00E5074A" w14:paraId="464471A8" w14:textId="77777777" w:rsidTr="00315FCD">
        <w:trPr>
          <w:trHeight w:val="506"/>
          <w:jc w:val="center"/>
        </w:trPr>
        <w:tc>
          <w:tcPr>
            <w:tcW w:w="1098" w:type="dxa"/>
            <w:noWrap/>
            <w:vAlign w:val="center"/>
            <w:hideMark/>
          </w:tcPr>
          <w:p w14:paraId="4CB7ACE0" w14:textId="77777777" w:rsidR="00483EC1" w:rsidRPr="00FF3563" w:rsidRDefault="00483EC1" w:rsidP="00315FCD">
            <w:pPr>
              <w:rPr>
                <w:lang w:val="en-US"/>
              </w:rPr>
            </w:pPr>
            <w:r w:rsidRPr="00FF3563">
              <w:rPr>
                <w:lang w:val="en-US"/>
              </w:rPr>
              <w:t>PROG3</w:t>
            </w:r>
          </w:p>
        </w:tc>
        <w:tc>
          <w:tcPr>
            <w:tcW w:w="4356" w:type="dxa"/>
            <w:vAlign w:val="center"/>
          </w:tcPr>
          <w:p w14:paraId="3D6FFC58" w14:textId="77777777" w:rsidR="00483EC1" w:rsidRPr="00FF3563" w:rsidRDefault="00483EC1" w:rsidP="00315FCD">
            <w:pPr>
              <w:rPr>
                <w:lang w:val="en-US"/>
              </w:rPr>
            </w:pPr>
            <w:r w:rsidRPr="00FF3563">
              <w:rPr>
                <w:lang w:val="en-US"/>
              </w:rPr>
              <w:t>There are programs targeting underrepresented groups</w:t>
            </w:r>
          </w:p>
        </w:tc>
        <w:tc>
          <w:tcPr>
            <w:tcW w:w="1278" w:type="dxa"/>
            <w:noWrap/>
            <w:vAlign w:val="center"/>
          </w:tcPr>
          <w:p w14:paraId="0C309630" w14:textId="77777777" w:rsidR="00483EC1" w:rsidRPr="00E5074A" w:rsidRDefault="00483EC1" w:rsidP="00315FCD">
            <w:pPr>
              <w:jc w:val="center"/>
              <w:rPr>
                <w:lang w:val="en-US"/>
              </w:rPr>
            </w:pPr>
            <w:r w:rsidRPr="00E5074A">
              <w:rPr>
                <w:color w:val="000000"/>
              </w:rPr>
              <w:t>0.319</w:t>
            </w:r>
          </w:p>
        </w:tc>
        <w:tc>
          <w:tcPr>
            <w:tcW w:w="1132" w:type="dxa"/>
            <w:noWrap/>
            <w:vAlign w:val="center"/>
          </w:tcPr>
          <w:p w14:paraId="3EFE573A" w14:textId="77777777" w:rsidR="00483EC1" w:rsidRPr="00E5074A" w:rsidRDefault="00483EC1" w:rsidP="00315FCD">
            <w:pPr>
              <w:jc w:val="center"/>
              <w:rPr>
                <w:b/>
                <w:lang w:val="en-US"/>
              </w:rPr>
            </w:pPr>
            <w:r w:rsidRPr="00E5074A">
              <w:rPr>
                <w:b/>
                <w:bCs/>
                <w:color w:val="000000"/>
              </w:rPr>
              <w:t>0.707***</w:t>
            </w:r>
          </w:p>
        </w:tc>
        <w:tc>
          <w:tcPr>
            <w:tcW w:w="1136" w:type="dxa"/>
            <w:vAlign w:val="center"/>
          </w:tcPr>
          <w:p w14:paraId="3E6510DB" w14:textId="77777777" w:rsidR="00483EC1" w:rsidRPr="00E5074A" w:rsidRDefault="00483EC1" w:rsidP="00315FCD">
            <w:pPr>
              <w:jc w:val="center"/>
              <w:rPr>
                <w:lang w:val="en-US"/>
              </w:rPr>
            </w:pPr>
            <w:r w:rsidRPr="00E5074A">
              <w:rPr>
                <w:color w:val="000000"/>
              </w:rPr>
              <w:t>0.080</w:t>
            </w:r>
          </w:p>
        </w:tc>
      </w:tr>
      <w:tr w:rsidR="00483EC1" w:rsidRPr="00E5074A" w14:paraId="103A6121" w14:textId="77777777" w:rsidTr="00315FCD">
        <w:trPr>
          <w:trHeight w:val="506"/>
          <w:jc w:val="center"/>
        </w:trPr>
        <w:tc>
          <w:tcPr>
            <w:tcW w:w="1098" w:type="dxa"/>
            <w:noWrap/>
            <w:vAlign w:val="center"/>
            <w:hideMark/>
          </w:tcPr>
          <w:p w14:paraId="4AC91A8A" w14:textId="77777777" w:rsidR="00483EC1" w:rsidRPr="00FF3563" w:rsidRDefault="00483EC1" w:rsidP="00315FCD">
            <w:pPr>
              <w:rPr>
                <w:lang w:val="en-US"/>
              </w:rPr>
            </w:pPr>
            <w:r w:rsidRPr="00FF3563">
              <w:rPr>
                <w:lang w:val="en-US"/>
              </w:rPr>
              <w:t>PROG4</w:t>
            </w:r>
          </w:p>
        </w:tc>
        <w:tc>
          <w:tcPr>
            <w:tcW w:w="4356" w:type="dxa"/>
            <w:vAlign w:val="center"/>
          </w:tcPr>
          <w:p w14:paraId="200BF82D" w14:textId="77777777" w:rsidR="00483EC1" w:rsidRPr="00FF3563" w:rsidRDefault="00483EC1" w:rsidP="00315FCD">
            <w:pPr>
              <w:rPr>
                <w:lang w:val="en-US"/>
              </w:rPr>
            </w:pPr>
            <w:r w:rsidRPr="00FF3563">
              <w:rPr>
                <w:lang w:val="en-US"/>
              </w:rPr>
              <w:t>There are policies promoting diversity in the workplace</w:t>
            </w:r>
          </w:p>
        </w:tc>
        <w:tc>
          <w:tcPr>
            <w:tcW w:w="1278" w:type="dxa"/>
            <w:noWrap/>
            <w:vAlign w:val="center"/>
          </w:tcPr>
          <w:p w14:paraId="063C9A3D" w14:textId="77777777" w:rsidR="00483EC1" w:rsidRPr="00E5074A" w:rsidRDefault="00483EC1" w:rsidP="00315FCD">
            <w:pPr>
              <w:jc w:val="center"/>
              <w:rPr>
                <w:lang w:val="en-US"/>
              </w:rPr>
            </w:pPr>
            <w:r w:rsidRPr="00E5074A">
              <w:rPr>
                <w:color w:val="000000"/>
              </w:rPr>
              <w:t>0.421</w:t>
            </w:r>
          </w:p>
        </w:tc>
        <w:tc>
          <w:tcPr>
            <w:tcW w:w="1132" w:type="dxa"/>
            <w:noWrap/>
            <w:vAlign w:val="center"/>
          </w:tcPr>
          <w:p w14:paraId="5DF5B900" w14:textId="77777777" w:rsidR="00483EC1" w:rsidRPr="00E5074A" w:rsidRDefault="00483EC1" w:rsidP="00315FCD">
            <w:pPr>
              <w:jc w:val="center"/>
              <w:rPr>
                <w:b/>
                <w:lang w:val="en-US"/>
              </w:rPr>
            </w:pPr>
            <w:r w:rsidRPr="00E5074A">
              <w:rPr>
                <w:b/>
                <w:bCs/>
                <w:color w:val="000000"/>
              </w:rPr>
              <w:t>0.873***</w:t>
            </w:r>
          </w:p>
        </w:tc>
        <w:tc>
          <w:tcPr>
            <w:tcW w:w="1136" w:type="dxa"/>
            <w:vAlign w:val="center"/>
          </w:tcPr>
          <w:p w14:paraId="36C72099" w14:textId="77777777" w:rsidR="00483EC1" w:rsidRPr="00E5074A" w:rsidRDefault="00483EC1" w:rsidP="00315FCD">
            <w:pPr>
              <w:jc w:val="center"/>
              <w:rPr>
                <w:lang w:val="en-US"/>
              </w:rPr>
            </w:pPr>
            <w:r w:rsidRPr="00E5074A">
              <w:rPr>
                <w:color w:val="000000"/>
              </w:rPr>
              <w:t>0.092</w:t>
            </w:r>
          </w:p>
        </w:tc>
      </w:tr>
      <w:tr w:rsidR="00483EC1" w:rsidRPr="00E5074A" w14:paraId="1DDBE05C" w14:textId="77777777" w:rsidTr="00315FCD">
        <w:trPr>
          <w:trHeight w:val="506"/>
          <w:jc w:val="center"/>
        </w:trPr>
        <w:tc>
          <w:tcPr>
            <w:tcW w:w="1098" w:type="dxa"/>
            <w:noWrap/>
            <w:vAlign w:val="center"/>
          </w:tcPr>
          <w:p w14:paraId="2AACF6C5" w14:textId="77777777" w:rsidR="00483EC1" w:rsidRPr="00FF3563" w:rsidRDefault="00483EC1" w:rsidP="00315FCD">
            <w:pPr>
              <w:rPr>
                <w:lang w:val="en-US"/>
              </w:rPr>
            </w:pPr>
            <w:r w:rsidRPr="00FF3563">
              <w:rPr>
                <w:lang w:val="en-US"/>
              </w:rPr>
              <w:t>PRAX1</w:t>
            </w:r>
          </w:p>
        </w:tc>
        <w:tc>
          <w:tcPr>
            <w:tcW w:w="4356" w:type="dxa"/>
            <w:vAlign w:val="center"/>
          </w:tcPr>
          <w:p w14:paraId="4883BDDB" w14:textId="77777777" w:rsidR="00483EC1" w:rsidRPr="00FF3563" w:rsidRDefault="00483EC1" w:rsidP="00315FCD">
            <w:pPr>
              <w:rPr>
                <w:lang w:val="en-US"/>
              </w:rPr>
            </w:pPr>
            <w:r w:rsidRPr="00FF3563">
              <w:rPr>
                <w:lang w:val="en-US"/>
              </w:rPr>
              <w:t>Discrimination is not tolerated in this organization</w:t>
            </w:r>
          </w:p>
        </w:tc>
        <w:tc>
          <w:tcPr>
            <w:tcW w:w="1278" w:type="dxa"/>
            <w:noWrap/>
            <w:vAlign w:val="center"/>
          </w:tcPr>
          <w:p w14:paraId="01174FAE" w14:textId="77777777" w:rsidR="00483EC1" w:rsidRPr="00E5074A" w:rsidRDefault="00483EC1" w:rsidP="00315FCD">
            <w:pPr>
              <w:jc w:val="center"/>
              <w:rPr>
                <w:lang w:val="en-US"/>
              </w:rPr>
            </w:pPr>
            <w:r w:rsidRPr="00E5074A">
              <w:rPr>
                <w:color w:val="000000"/>
              </w:rPr>
              <w:t>0.329</w:t>
            </w:r>
          </w:p>
        </w:tc>
        <w:tc>
          <w:tcPr>
            <w:tcW w:w="1132" w:type="dxa"/>
            <w:noWrap/>
            <w:vAlign w:val="center"/>
          </w:tcPr>
          <w:p w14:paraId="765886DF" w14:textId="77777777" w:rsidR="00483EC1" w:rsidRPr="00E5074A" w:rsidRDefault="00483EC1" w:rsidP="00315FCD">
            <w:pPr>
              <w:jc w:val="center"/>
              <w:rPr>
                <w:lang w:val="en-US"/>
              </w:rPr>
            </w:pPr>
            <w:r w:rsidRPr="00E5074A">
              <w:rPr>
                <w:color w:val="000000"/>
              </w:rPr>
              <w:t>0.095</w:t>
            </w:r>
          </w:p>
        </w:tc>
        <w:tc>
          <w:tcPr>
            <w:tcW w:w="1136" w:type="dxa"/>
            <w:vAlign w:val="center"/>
          </w:tcPr>
          <w:p w14:paraId="3D3B0FDA" w14:textId="77777777" w:rsidR="00483EC1" w:rsidRPr="00E5074A" w:rsidRDefault="00483EC1" w:rsidP="00315FCD">
            <w:pPr>
              <w:jc w:val="center"/>
              <w:rPr>
                <w:b/>
                <w:lang w:val="en-US"/>
              </w:rPr>
            </w:pPr>
            <w:r w:rsidRPr="00E5074A">
              <w:rPr>
                <w:b/>
                <w:bCs/>
                <w:color w:val="000000"/>
              </w:rPr>
              <w:t>0.636***</w:t>
            </w:r>
          </w:p>
        </w:tc>
      </w:tr>
      <w:tr w:rsidR="00483EC1" w:rsidRPr="00E5074A" w14:paraId="6AE56050" w14:textId="77777777" w:rsidTr="00315FCD">
        <w:trPr>
          <w:trHeight w:val="506"/>
          <w:jc w:val="center"/>
        </w:trPr>
        <w:tc>
          <w:tcPr>
            <w:tcW w:w="1098" w:type="dxa"/>
            <w:noWrap/>
            <w:vAlign w:val="center"/>
          </w:tcPr>
          <w:p w14:paraId="173AEBD0" w14:textId="77777777" w:rsidR="00483EC1" w:rsidRPr="00FF3563" w:rsidRDefault="00483EC1" w:rsidP="00315FCD">
            <w:pPr>
              <w:rPr>
                <w:lang w:val="en-US"/>
              </w:rPr>
            </w:pPr>
            <w:r w:rsidRPr="00FF3563">
              <w:rPr>
                <w:lang w:val="en-US"/>
              </w:rPr>
              <w:t>PRAX2</w:t>
            </w:r>
          </w:p>
        </w:tc>
        <w:tc>
          <w:tcPr>
            <w:tcW w:w="4356" w:type="dxa"/>
            <w:vAlign w:val="center"/>
          </w:tcPr>
          <w:p w14:paraId="4A753B7E" w14:textId="77777777" w:rsidR="00483EC1" w:rsidRPr="00FF3563" w:rsidRDefault="00483EC1" w:rsidP="00315FCD">
            <w:pPr>
              <w:rPr>
                <w:lang w:val="en-US"/>
              </w:rPr>
            </w:pPr>
            <w:r w:rsidRPr="00FF3563">
              <w:rPr>
                <w:lang w:val="en-US"/>
              </w:rPr>
              <w:t>Discriminatory behaviors are discouraged in this organization</w:t>
            </w:r>
          </w:p>
        </w:tc>
        <w:tc>
          <w:tcPr>
            <w:tcW w:w="1278" w:type="dxa"/>
            <w:noWrap/>
            <w:vAlign w:val="center"/>
          </w:tcPr>
          <w:p w14:paraId="0E781BB5" w14:textId="77777777" w:rsidR="00483EC1" w:rsidRPr="00E5074A" w:rsidRDefault="00483EC1" w:rsidP="00315FCD">
            <w:pPr>
              <w:jc w:val="center"/>
              <w:rPr>
                <w:lang w:val="en-US"/>
              </w:rPr>
            </w:pPr>
            <w:r w:rsidRPr="00E5074A">
              <w:rPr>
                <w:color w:val="000000"/>
              </w:rPr>
              <w:t>0.360</w:t>
            </w:r>
          </w:p>
        </w:tc>
        <w:tc>
          <w:tcPr>
            <w:tcW w:w="1132" w:type="dxa"/>
            <w:noWrap/>
            <w:vAlign w:val="center"/>
          </w:tcPr>
          <w:p w14:paraId="30CB9472" w14:textId="77777777" w:rsidR="00483EC1" w:rsidRPr="00E5074A" w:rsidRDefault="00483EC1" w:rsidP="00315FCD">
            <w:pPr>
              <w:jc w:val="center"/>
              <w:rPr>
                <w:lang w:val="en-US"/>
              </w:rPr>
            </w:pPr>
            <w:r w:rsidRPr="00E5074A">
              <w:rPr>
                <w:color w:val="000000"/>
              </w:rPr>
              <w:t>0.166</w:t>
            </w:r>
          </w:p>
        </w:tc>
        <w:tc>
          <w:tcPr>
            <w:tcW w:w="1136" w:type="dxa"/>
            <w:vAlign w:val="center"/>
          </w:tcPr>
          <w:p w14:paraId="0D0A9AE8" w14:textId="77777777" w:rsidR="00483EC1" w:rsidRPr="00E5074A" w:rsidRDefault="00483EC1" w:rsidP="00315FCD">
            <w:pPr>
              <w:jc w:val="center"/>
              <w:rPr>
                <w:b/>
                <w:lang w:val="en-US"/>
              </w:rPr>
            </w:pPr>
            <w:r w:rsidRPr="00E5074A">
              <w:rPr>
                <w:b/>
                <w:bCs/>
                <w:color w:val="000000"/>
              </w:rPr>
              <w:t>0.667***</w:t>
            </w:r>
          </w:p>
        </w:tc>
      </w:tr>
      <w:tr w:rsidR="00483EC1" w:rsidRPr="00E5074A" w14:paraId="7B07B8EE" w14:textId="77777777" w:rsidTr="00315FCD">
        <w:trPr>
          <w:trHeight w:val="506"/>
          <w:jc w:val="center"/>
        </w:trPr>
        <w:tc>
          <w:tcPr>
            <w:tcW w:w="1098" w:type="dxa"/>
            <w:noWrap/>
            <w:vAlign w:val="center"/>
          </w:tcPr>
          <w:p w14:paraId="7CACD971" w14:textId="77777777" w:rsidR="00483EC1" w:rsidRPr="00FF3563" w:rsidRDefault="00483EC1" w:rsidP="00315FCD">
            <w:pPr>
              <w:rPr>
                <w:lang w:val="en-US"/>
              </w:rPr>
            </w:pPr>
            <w:r w:rsidRPr="00FF3563">
              <w:rPr>
                <w:lang w:val="en-US"/>
              </w:rPr>
              <w:t>PRAX3</w:t>
            </w:r>
          </w:p>
        </w:tc>
        <w:tc>
          <w:tcPr>
            <w:tcW w:w="4356" w:type="dxa"/>
            <w:vAlign w:val="center"/>
          </w:tcPr>
          <w:p w14:paraId="0E1EB1F9" w14:textId="77777777" w:rsidR="00483EC1" w:rsidRPr="00FF3563" w:rsidRDefault="00483EC1" w:rsidP="00315FCD">
            <w:pPr>
              <w:rPr>
                <w:lang w:val="en-US"/>
              </w:rPr>
            </w:pPr>
            <w:r w:rsidRPr="00FF3563">
              <w:rPr>
                <w:lang w:val="en-US"/>
              </w:rPr>
              <w:t>Managers work well with all kind of employees without distinction</w:t>
            </w:r>
          </w:p>
        </w:tc>
        <w:tc>
          <w:tcPr>
            <w:tcW w:w="1278" w:type="dxa"/>
            <w:noWrap/>
            <w:vAlign w:val="center"/>
          </w:tcPr>
          <w:p w14:paraId="4A9E62EA" w14:textId="77777777" w:rsidR="00483EC1" w:rsidRPr="00E5074A" w:rsidRDefault="00483EC1" w:rsidP="00315FCD">
            <w:pPr>
              <w:jc w:val="center"/>
              <w:rPr>
                <w:lang w:val="en-US"/>
              </w:rPr>
            </w:pPr>
            <w:r w:rsidRPr="00E5074A">
              <w:rPr>
                <w:color w:val="000000"/>
              </w:rPr>
              <w:t>0.348</w:t>
            </w:r>
          </w:p>
        </w:tc>
        <w:tc>
          <w:tcPr>
            <w:tcW w:w="1132" w:type="dxa"/>
            <w:noWrap/>
            <w:vAlign w:val="center"/>
          </w:tcPr>
          <w:p w14:paraId="39459375" w14:textId="77777777" w:rsidR="00483EC1" w:rsidRPr="00E5074A" w:rsidRDefault="00483EC1" w:rsidP="00315FCD">
            <w:pPr>
              <w:jc w:val="center"/>
              <w:rPr>
                <w:lang w:val="en-US"/>
              </w:rPr>
            </w:pPr>
            <w:r w:rsidRPr="00E5074A">
              <w:rPr>
                <w:color w:val="000000"/>
              </w:rPr>
              <w:t>-0.042</w:t>
            </w:r>
          </w:p>
        </w:tc>
        <w:tc>
          <w:tcPr>
            <w:tcW w:w="1136" w:type="dxa"/>
            <w:vAlign w:val="center"/>
          </w:tcPr>
          <w:p w14:paraId="3D36D149" w14:textId="77777777" w:rsidR="00483EC1" w:rsidRPr="00E5074A" w:rsidRDefault="00483EC1" w:rsidP="00315FCD">
            <w:pPr>
              <w:jc w:val="center"/>
              <w:rPr>
                <w:b/>
                <w:lang w:val="en-US"/>
              </w:rPr>
            </w:pPr>
            <w:r w:rsidRPr="00E5074A">
              <w:rPr>
                <w:b/>
                <w:bCs/>
                <w:color w:val="000000"/>
              </w:rPr>
              <w:t>0.796***</w:t>
            </w:r>
          </w:p>
        </w:tc>
      </w:tr>
      <w:tr w:rsidR="00483EC1" w:rsidRPr="00E5074A" w14:paraId="2A015ACA" w14:textId="77777777" w:rsidTr="00315FCD">
        <w:trPr>
          <w:trHeight w:val="506"/>
          <w:jc w:val="center"/>
        </w:trPr>
        <w:tc>
          <w:tcPr>
            <w:tcW w:w="1098" w:type="dxa"/>
            <w:noWrap/>
            <w:vAlign w:val="center"/>
          </w:tcPr>
          <w:p w14:paraId="724E7360" w14:textId="77777777" w:rsidR="00483EC1" w:rsidRPr="00FF3563" w:rsidRDefault="00483EC1" w:rsidP="00315FCD">
            <w:pPr>
              <w:rPr>
                <w:lang w:val="en-US"/>
              </w:rPr>
            </w:pPr>
            <w:r w:rsidRPr="00FF3563">
              <w:rPr>
                <w:lang w:val="en-US"/>
              </w:rPr>
              <w:t>PRAX4</w:t>
            </w:r>
          </w:p>
        </w:tc>
        <w:tc>
          <w:tcPr>
            <w:tcW w:w="4356" w:type="dxa"/>
            <w:vAlign w:val="center"/>
          </w:tcPr>
          <w:p w14:paraId="46AD1FE3" w14:textId="77777777" w:rsidR="00483EC1" w:rsidRPr="00FF3563" w:rsidRDefault="00483EC1" w:rsidP="00315FCD">
            <w:pPr>
              <w:rPr>
                <w:lang w:val="en-US"/>
              </w:rPr>
            </w:pPr>
            <w:r w:rsidRPr="00FF3563">
              <w:rPr>
                <w:lang w:val="en-US"/>
              </w:rPr>
              <w:t>Workgroups welcome employees who are different</w:t>
            </w:r>
          </w:p>
        </w:tc>
        <w:tc>
          <w:tcPr>
            <w:tcW w:w="1278" w:type="dxa"/>
            <w:noWrap/>
            <w:vAlign w:val="center"/>
          </w:tcPr>
          <w:p w14:paraId="7AAD2499" w14:textId="77777777" w:rsidR="00483EC1" w:rsidRPr="00E5074A" w:rsidRDefault="00483EC1" w:rsidP="00315FCD">
            <w:pPr>
              <w:jc w:val="center"/>
              <w:rPr>
                <w:lang w:val="en-US"/>
              </w:rPr>
            </w:pPr>
            <w:r w:rsidRPr="00E5074A">
              <w:rPr>
                <w:color w:val="000000"/>
              </w:rPr>
              <w:t>0.374</w:t>
            </w:r>
          </w:p>
        </w:tc>
        <w:tc>
          <w:tcPr>
            <w:tcW w:w="1132" w:type="dxa"/>
            <w:noWrap/>
            <w:vAlign w:val="center"/>
          </w:tcPr>
          <w:p w14:paraId="5F61F951" w14:textId="77777777" w:rsidR="00483EC1" w:rsidRPr="00E5074A" w:rsidRDefault="00483EC1" w:rsidP="00315FCD">
            <w:pPr>
              <w:jc w:val="center"/>
              <w:rPr>
                <w:lang w:val="en-US"/>
              </w:rPr>
            </w:pPr>
            <w:r w:rsidRPr="00E5074A">
              <w:rPr>
                <w:color w:val="000000"/>
              </w:rPr>
              <w:t>0.153</w:t>
            </w:r>
          </w:p>
        </w:tc>
        <w:tc>
          <w:tcPr>
            <w:tcW w:w="1136" w:type="dxa"/>
            <w:vAlign w:val="center"/>
          </w:tcPr>
          <w:p w14:paraId="4CA67C74" w14:textId="77777777" w:rsidR="00483EC1" w:rsidRPr="00E5074A" w:rsidRDefault="00483EC1" w:rsidP="00315FCD">
            <w:pPr>
              <w:jc w:val="center"/>
              <w:rPr>
                <w:b/>
                <w:lang w:val="en-US"/>
              </w:rPr>
            </w:pPr>
            <w:r w:rsidRPr="00E5074A">
              <w:rPr>
                <w:b/>
                <w:bCs/>
                <w:color w:val="000000"/>
              </w:rPr>
              <w:t>0.869***</w:t>
            </w:r>
          </w:p>
        </w:tc>
      </w:tr>
      <w:tr w:rsidR="00483EC1" w:rsidRPr="0087018C" w14:paraId="7D493280" w14:textId="77777777" w:rsidTr="00315FCD">
        <w:trPr>
          <w:trHeight w:val="506"/>
          <w:jc w:val="center"/>
        </w:trPr>
        <w:tc>
          <w:tcPr>
            <w:tcW w:w="9000" w:type="dxa"/>
            <w:gridSpan w:val="5"/>
            <w:noWrap/>
            <w:vAlign w:val="center"/>
          </w:tcPr>
          <w:p w14:paraId="1104B966" w14:textId="77777777" w:rsidR="00483EC1" w:rsidRPr="00FF3563" w:rsidRDefault="00483EC1" w:rsidP="00315FCD">
            <w:pPr>
              <w:jc w:val="right"/>
              <w:rPr>
                <w:lang w:val="en-US"/>
              </w:rPr>
            </w:pPr>
            <w:r w:rsidRPr="00FF3563">
              <w:rPr>
                <w:i/>
                <w:lang w:val="en-US"/>
              </w:rPr>
              <w:t>Significance level: *** p &lt; 0.001 / ** p &lt; 0.01 / * p&lt; 0.05</w:t>
            </w:r>
          </w:p>
        </w:tc>
      </w:tr>
    </w:tbl>
    <w:p w14:paraId="3C977FB1" w14:textId="59BD190E" w:rsidR="00483EC1" w:rsidRDefault="00483EC1" w:rsidP="00483EC1">
      <w:pPr>
        <w:rPr>
          <w:lang w:val="en-US" w:eastAsia="en-GB"/>
        </w:rPr>
      </w:pPr>
    </w:p>
    <w:p w14:paraId="467715DD" w14:textId="618E88B7" w:rsidR="00483EC1" w:rsidRDefault="00483EC1" w:rsidP="00483EC1">
      <w:pPr>
        <w:rPr>
          <w:lang w:val="en-US" w:eastAsia="en-GB"/>
        </w:rPr>
      </w:pPr>
    </w:p>
    <w:p w14:paraId="3E7AD0F2" w14:textId="77777777" w:rsidR="00483EC1" w:rsidRDefault="00483EC1" w:rsidP="00483EC1">
      <w:pPr>
        <w:jc w:val="center"/>
        <w:rPr>
          <w:color w:val="000000"/>
          <w:lang w:val="en-US"/>
        </w:rPr>
      </w:pPr>
      <w:r w:rsidRPr="00996B08">
        <w:rPr>
          <w:color w:val="333333"/>
          <w:lang w:val="en-US"/>
        </w:rPr>
        <w:t xml:space="preserve">Table VIII: </w:t>
      </w:r>
      <w:r w:rsidRPr="00996B08">
        <w:rPr>
          <w:color w:val="000000"/>
          <w:lang w:val="en-US"/>
        </w:rPr>
        <w:t>Correlations and square roots of AVE on the diagonal and HTMT ratios</w:t>
      </w:r>
    </w:p>
    <w:p w14:paraId="08AE9CD3" w14:textId="77777777" w:rsidR="00483EC1" w:rsidRPr="00F50AB5" w:rsidRDefault="00483EC1" w:rsidP="00483EC1">
      <w:pPr>
        <w:jc w:val="center"/>
        <w:rPr>
          <w:lang w:val="en-GB" w:eastAsia="en-GB"/>
        </w:rPr>
      </w:pPr>
    </w:p>
    <w:tbl>
      <w:tblPr>
        <w:tblW w:w="5893" w:type="dxa"/>
        <w:jc w:val="center"/>
        <w:tblLayout w:type="fixed"/>
        <w:tblCellMar>
          <w:left w:w="70" w:type="dxa"/>
          <w:right w:w="70" w:type="dxa"/>
        </w:tblCellMar>
        <w:tblLook w:val="04A0" w:firstRow="1" w:lastRow="0" w:firstColumn="1" w:lastColumn="0" w:noHBand="0" w:noVBand="1"/>
      </w:tblPr>
      <w:tblGrid>
        <w:gridCol w:w="1074"/>
        <w:gridCol w:w="963"/>
        <w:gridCol w:w="964"/>
        <w:gridCol w:w="1050"/>
        <w:gridCol w:w="878"/>
        <w:gridCol w:w="964"/>
      </w:tblGrid>
      <w:tr w:rsidR="00483EC1" w:rsidRPr="00FF3563" w14:paraId="557AAEDF" w14:textId="77777777" w:rsidTr="00315FCD">
        <w:trPr>
          <w:trHeight w:val="528"/>
          <w:jc w:val="center"/>
        </w:trPr>
        <w:tc>
          <w:tcPr>
            <w:tcW w:w="1074" w:type="dxa"/>
            <w:vMerge w:val="restart"/>
            <w:tcBorders>
              <w:top w:val="single" w:sz="4" w:space="0" w:color="auto"/>
              <w:left w:val="single" w:sz="4" w:space="0" w:color="auto"/>
              <w:right w:val="single" w:sz="4" w:space="0" w:color="auto"/>
            </w:tcBorders>
            <w:shd w:val="clear" w:color="auto" w:fill="auto"/>
            <w:noWrap/>
            <w:vAlign w:val="center"/>
            <w:hideMark/>
          </w:tcPr>
          <w:p w14:paraId="2DC2F404" w14:textId="77777777" w:rsidR="00483EC1" w:rsidRPr="00FF3563" w:rsidRDefault="00483EC1" w:rsidP="00315FCD">
            <w:pPr>
              <w:rPr>
                <w:color w:val="000000"/>
                <w:lang w:val="en-GB"/>
              </w:rPr>
            </w:pPr>
          </w:p>
        </w:tc>
        <w:tc>
          <w:tcPr>
            <w:tcW w:w="297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B17FB1F" w14:textId="77777777" w:rsidR="00483EC1" w:rsidRPr="00FF3563" w:rsidRDefault="00483EC1" w:rsidP="00315FCD">
            <w:pPr>
              <w:jc w:val="center"/>
              <w:rPr>
                <w:color w:val="000000"/>
                <w:lang w:val="en-US"/>
              </w:rPr>
            </w:pPr>
            <w:r w:rsidRPr="00FF3563">
              <w:rPr>
                <w:color w:val="000000"/>
                <w:lang w:val="en-US"/>
              </w:rPr>
              <w:t>Correlations and square roots of AVE on the diagonal</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14:paraId="52099A8B" w14:textId="77777777" w:rsidR="00483EC1" w:rsidRPr="00FF3563" w:rsidRDefault="00483EC1" w:rsidP="00315FCD">
            <w:pPr>
              <w:jc w:val="center"/>
              <w:rPr>
                <w:color w:val="000000"/>
              </w:rPr>
            </w:pPr>
            <w:r w:rsidRPr="00FF3563">
              <w:rPr>
                <w:color w:val="000000"/>
                <w:lang w:val="en-US"/>
              </w:rPr>
              <w:t>HTMT ratios</w:t>
            </w:r>
          </w:p>
        </w:tc>
      </w:tr>
      <w:tr w:rsidR="00483EC1" w:rsidRPr="00FF3563" w14:paraId="75A1536E" w14:textId="77777777" w:rsidTr="00315FCD">
        <w:trPr>
          <w:trHeight w:val="492"/>
          <w:jc w:val="center"/>
        </w:trPr>
        <w:tc>
          <w:tcPr>
            <w:tcW w:w="1074" w:type="dxa"/>
            <w:vMerge/>
            <w:tcBorders>
              <w:left w:val="single" w:sz="4" w:space="0" w:color="auto"/>
              <w:bottom w:val="single" w:sz="4" w:space="0" w:color="auto"/>
              <w:right w:val="single" w:sz="4" w:space="0" w:color="auto"/>
            </w:tcBorders>
            <w:shd w:val="clear" w:color="auto" w:fill="auto"/>
            <w:vAlign w:val="center"/>
            <w:hideMark/>
          </w:tcPr>
          <w:p w14:paraId="5E937BD3" w14:textId="77777777" w:rsidR="00483EC1" w:rsidRPr="00FF3563" w:rsidRDefault="00483EC1" w:rsidP="00315FCD">
            <w:pPr>
              <w:rPr>
                <w:color w:val="000000"/>
              </w:rPr>
            </w:pPr>
          </w:p>
        </w:tc>
        <w:tc>
          <w:tcPr>
            <w:tcW w:w="963" w:type="dxa"/>
            <w:tcBorders>
              <w:top w:val="nil"/>
              <w:left w:val="single" w:sz="4" w:space="0" w:color="auto"/>
              <w:bottom w:val="single" w:sz="4" w:space="0" w:color="auto"/>
              <w:right w:val="nil"/>
            </w:tcBorders>
            <w:shd w:val="clear" w:color="auto" w:fill="auto"/>
            <w:vAlign w:val="center"/>
            <w:hideMark/>
          </w:tcPr>
          <w:p w14:paraId="5B022D2F" w14:textId="77777777" w:rsidR="00483EC1" w:rsidRPr="00FF3563" w:rsidRDefault="00483EC1" w:rsidP="00315FCD">
            <w:pPr>
              <w:jc w:val="center"/>
              <w:rPr>
                <w:color w:val="000000"/>
              </w:rPr>
            </w:pPr>
            <w:r w:rsidRPr="00FF3563">
              <w:rPr>
                <w:color w:val="000000"/>
              </w:rPr>
              <w:t>INT</w:t>
            </w:r>
          </w:p>
        </w:tc>
        <w:tc>
          <w:tcPr>
            <w:tcW w:w="964" w:type="dxa"/>
            <w:tcBorders>
              <w:top w:val="nil"/>
              <w:left w:val="nil"/>
              <w:bottom w:val="single" w:sz="4" w:space="0" w:color="auto"/>
              <w:right w:val="nil"/>
            </w:tcBorders>
            <w:shd w:val="clear" w:color="auto" w:fill="auto"/>
            <w:vAlign w:val="center"/>
            <w:hideMark/>
          </w:tcPr>
          <w:p w14:paraId="7D8C549D" w14:textId="77777777" w:rsidR="00483EC1" w:rsidRPr="00FF3563" w:rsidRDefault="00483EC1" w:rsidP="00315FCD">
            <w:pPr>
              <w:jc w:val="center"/>
              <w:rPr>
                <w:color w:val="000000"/>
              </w:rPr>
            </w:pPr>
            <w:r w:rsidRPr="00FF3563">
              <w:rPr>
                <w:color w:val="000000"/>
              </w:rPr>
              <w:t>PRAX</w:t>
            </w:r>
          </w:p>
        </w:tc>
        <w:tc>
          <w:tcPr>
            <w:tcW w:w="1050" w:type="dxa"/>
            <w:tcBorders>
              <w:top w:val="nil"/>
              <w:left w:val="nil"/>
              <w:bottom w:val="single" w:sz="4" w:space="0" w:color="auto"/>
              <w:right w:val="single" w:sz="4" w:space="0" w:color="auto"/>
            </w:tcBorders>
            <w:shd w:val="clear" w:color="auto" w:fill="auto"/>
            <w:vAlign w:val="center"/>
            <w:hideMark/>
          </w:tcPr>
          <w:p w14:paraId="0B97047F" w14:textId="77777777" w:rsidR="00483EC1" w:rsidRPr="00FF3563" w:rsidRDefault="00483EC1" w:rsidP="00315FCD">
            <w:pPr>
              <w:jc w:val="center"/>
              <w:rPr>
                <w:color w:val="000000"/>
              </w:rPr>
            </w:pPr>
            <w:r w:rsidRPr="00FF3563">
              <w:rPr>
                <w:color w:val="000000"/>
              </w:rPr>
              <w:t>PROG</w:t>
            </w:r>
          </w:p>
        </w:tc>
        <w:tc>
          <w:tcPr>
            <w:tcW w:w="878" w:type="dxa"/>
            <w:tcBorders>
              <w:top w:val="nil"/>
              <w:left w:val="nil"/>
              <w:bottom w:val="single" w:sz="4" w:space="0" w:color="auto"/>
              <w:right w:val="nil"/>
            </w:tcBorders>
            <w:shd w:val="clear" w:color="auto" w:fill="auto"/>
            <w:vAlign w:val="center"/>
            <w:hideMark/>
          </w:tcPr>
          <w:p w14:paraId="3B94408C" w14:textId="77777777" w:rsidR="00483EC1" w:rsidRPr="00FF3563" w:rsidRDefault="00483EC1" w:rsidP="00315FCD">
            <w:pPr>
              <w:jc w:val="center"/>
              <w:rPr>
                <w:color w:val="000000"/>
              </w:rPr>
            </w:pPr>
            <w:r w:rsidRPr="00FF3563">
              <w:rPr>
                <w:color w:val="000000"/>
              </w:rPr>
              <w:t>INT</w:t>
            </w:r>
          </w:p>
        </w:tc>
        <w:tc>
          <w:tcPr>
            <w:tcW w:w="964" w:type="dxa"/>
            <w:tcBorders>
              <w:top w:val="nil"/>
              <w:left w:val="nil"/>
              <w:bottom w:val="single" w:sz="4" w:space="0" w:color="auto"/>
              <w:right w:val="single" w:sz="4" w:space="0" w:color="auto"/>
            </w:tcBorders>
            <w:shd w:val="clear" w:color="auto" w:fill="auto"/>
            <w:vAlign w:val="center"/>
            <w:hideMark/>
          </w:tcPr>
          <w:p w14:paraId="417D0E7B" w14:textId="77777777" w:rsidR="00483EC1" w:rsidRPr="00FF3563" w:rsidRDefault="00483EC1" w:rsidP="00315FCD">
            <w:pPr>
              <w:jc w:val="center"/>
              <w:rPr>
                <w:color w:val="000000"/>
              </w:rPr>
            </w:pPr>
            <w:r w:rsidRPr="00FF3563">
              <w:rPr>
                <w:color w:val="000000"/>
              </w:rPr>
              <w:t>PRAX</w:t>
            </w:r>
          </w:p>
        </w:tc>
      </w:tr>
      <w:tr w:rsidR="00483EC1" w:rsidRPr="00FF3563" w14:paraId="1F5B3F7C" w14:textId="77777777" w:rsidTr="00315FCD">
        <w:trPr>
          <w:trHeight w:val="413"/>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A9F7E" w14:textId="77777777" w:rsidR="00483EC1" w:rsidRPr="00FF3563" w:rsidRDefault="00483EC1" w:rsidP="00315FCD">
            <w:pPr>
              <w:rPr>
                <w:color w:val="000000"/>
              </w:rPr>
            </w:pPr>
            <w:r w:rsidRPr="00FF3563">
              <w:rPr>
                <w:color w:val="000000"/>
                <w:lang w:val="en-US"/>
              </w:rPr>
              <w:t>INT</w:t>
            </w:r>
          </w:p>
        </w:tc>
        <w:tc>
          <w:tcPr>
            <w:tcW w:w="963" w:type="dxa"/>
            <w:tcBorders>
              <w:top w:val="single" w:sz="4" w:space="0" w:color="auto"/>
              <w:left w:val="single" w:sz="4" w:space="0" w:color="auto"/>
              <w:bottom w:val="single" w:sz="4" w:space="0" w:color="auto"/>
              <w:right w:val="nil"/>
            </w:tcBorders>
            <w:shd w:val="clear" w:color="auto" w:fill="auto"/>
            <w:noWrap/>
            <w:vAlign w:val="bottom"/>
            <w:hideMark/>
          </w:tcPr>
          <w:p w14:paraId="37957A6B" w14:textId="77777777" w:rsidR="00483EC1" w:rsidRPr="00E5074A" w:rsidRDefault="00483EC1" w:rsidP="00315FCD">
            <w:pPr>
              <w:jc w:val="center"/>
              <w:rPr>
                <w:color w:val="000000"/>
              </w:rPr>
            </w:pPr>
            <w:r w:rsidRPr="00E5074A">
              <w:rPr>
                <w:color w:val="000000"/>
              </w:rPr>
              <w:t>0.779</w:t>
            </w:r>
          </w:p>
        </w:tc>
        <w:tc>
          <w:tcPr>
            <w:tcW w:w="964" w:type="dxa"/>
            <w:tcBorders>
              <w:top w:val="single" w:sz="4" w:space="0" w:color="auto"/>
              <w:left w:val="nil"/>
              <w:bottom w:val="single" w:sz="4" w:space="0" w:color="auto"/>
              <w:right w:val="nil"/>
            </w:tcBorders>
            <w:shd w:val="clear" w:color="auto" w:fill="auto"/>
            <w:noWrap/>
            <w:vAlign w:val="bottom"/>
            <w:hideMark/>
          </w:tcPr>
          <w:p w14:paraId="7C8625F2" w14:textId="77777777" w:rsidR="00483EC1" w:rsidRPr="00E5074A" w:rsidRDefault="00483EC1" w:rsidP="00315FCD">
            <w:pPr>
              <w:jc w:val="center"/>
              <w:rPr>
                <w:color w:val="000000"/>
              </w:rPr>
            </w:pPr>
            <w:r w:rsidRPr="00E5074A">
              <w:rPr>
                <w:color w:val="000000"/>
              </w:rPr>
              <w:t> </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416AB544" w14:textId="77777777" w:rsidR="00483EC1" w:rsidRPr="00E5074A" w:rsidRDefault="00483EC1" w:rsidP="00315FCD">
            <w:pPr>
              <w:jc w:val="center"/>
              <w:rPr>
                <w:color w:val="000000"/>
              </w:rPr>
            </w:pPr>
            <w:r w:rsidRPr="00E5074A">
              <w:rPr>
                <w:color w:val="000000"/>
              </w:rPr>
              <w:t> </w:t>
            </w:r>
          </w:p>
        </w:tc>
        <w:tc>
          <w:tcPr>
            <w:tcW w:w="878" w:type="dxa"/>
            <w:tcBorders>
              <w:top w:val="single" w:sz="4" w:space="0" w:color="auto"/>
              <w:left w:val="nil"/>
              <w:bottom w:val="single" w:sz="4" w:space="0" w:color="auto"/>
              <w:right w:val="nil"/>
            </w:tcBorders>
            <w:shd w:val="clear" w:color="auto" w:fill="auto"/>
            <w:noWrap/>
            <w:vAlign w:val="center"/>
            <w:hideMark/>
          </w:tcPr>
          <w:p w14:paraId="35B8D163" w14:textId="77777777" w:rsidR="00483EC1" w:rsidRPr="00E5074A" w:rsidRDefault="00483EC1" w:rsidP="00315FCD">
            <w:pPr>
              <w:jc w:val="center"/>
              <w:rPr>
                <w:color w:val="000000"/>
              </w:rPr>
            </w:pP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14:paraId="0E459B15" w14:textId="77777777" w:rsidR="00483EC1" w:rsidRPr="00E5074A" w:rsidRDefault="00483EC1" w:rsidP="00315FCD">
            <w:pPr>
              <w:jc w:val="center"/>
              <w:rPr>
                <w:color w:val="000000"/>
              </w:rPr>
            </w:pPr>
          </w:p>
        </w:tc>
      </w:tr>
      <w:tr w:rsidR="00483EC1" w:rsidRPr="00FF3563" w14:paraId="6B1EC8C6" w14:textId="77777777" w:rsidTr="00315FCD">
        <w:trPr>
          <w:trHeight w:val="390"/>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F3D22" w14:textId="77777777" w:rsidR="00483EC1" w:rsidRPr="00FF3563" w:rsidRDefault="00483EC1" w:rsidP="00315FCD">
            <w:pPr>
              <w:rPr>
                <w:color w:val="000000"/>
              </w:rPr>
            </w:pPr>
            <w:r w:rsidRPr="00FF3563">
              <w:rPr>
                <w:color w:val="000000"/>
              </w:rPr>
              <w:t>PRAX</w:t>
            </w:r>
          </w:p>
        </w:tc>
        <w:tc>
          <w:tcPr>
            <w:tcW w:w="963" w:type="dxa"/>
            <w:tcBorders>
              <w:top w:val="single" w:sz="4" w:space="0" w:color="auto"/>
              <w:left w:val="single" w:sz="4" w:space="0" w:color="auto"/>
              <w:bottom w:val="single" w:sz="4" w:space="0" w:color="auto"/>
              <w:right w:val="nil"/>
            </w:tcBorders>
            <w:shd w:val="clear" w:color="auto" w:fill="auto"/>
            <w:noWrap/>
            <w:vAlign w:val="bottom"/>
            <w:hideMark/>
          </w:tcPr>
          <w:p w14:paraId="19F906F6" w14:textId="77777777" w:rsidR="00483EC1" w:rsidRPr="00E5074A" w:rsidRDefault="00483EC1" w:rsidP="00315FCD">
            <w:pPr>
              <w:jc w:val="center"/>
              <w:rPr>
                <w:color w:val="000000"/>
              </w:rPr>
            </w:pPr>
            <w:r w:rsidRPr="00E5074A">
              <w:rPr>
                <w:color w:val="000000"/>
              </w:rPr>
              <w:t>0.464</w:t>
            </w:r>
          </w:p>
        </w:tc>
        <w:tc>
          <w:tcPr>
            <w:tcW w:w="964" w:type="dxa"/>
            <w:tcBorders>
              <w:top w:val="single" w:sz="4" w:space="0" w:color="auto"/>
              <w:left w:val="nil"/>
              <w:bottom w:val="single" w:sz="4" w:space="0" w:color="auto"/>
              <w:right w:val="nil"/>
            </w:tcBorders>
            <w:shd w:val="clear" w:color="auto" w:fill="auto"/>
            <w:noWrap/>
            <w:vAlign w:val="bottom"/>
            <w:hideMark/>
          </w:tcPr>
          <w:p w14:paraId="018CDB65" w14:textId="77777777" w:rsidR="00483EC1" w:rsidRPr="00E5074A" w:rsidRDefault="00483EC1" w:rsidP="00315FCD">
            <w:pPr>
              <w:jc w:val="center"/>
              <w:rPr>
                <w:color w:val="000000"/>
              </w:rPr>
            </w:pPr>
            <w:r w:rsidRPr="00E5074A">
              <w:rPr>
                <w:color w:val="000000"/>
              </w:rPr>
              <w:t>0.760</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13C964DF" w14:textId="77777777" w:rsidR="00483EC1" w:rsidRPr="00E5074A" w:rsidRDefault="00483EC1" w:rsidP="00315FCD">
            <w:pPr>
              <w:jc w:val="center"/>
              <w:rPr>
                <w:color w:val="000000"/>
              </w:rPr>
            </w:pPr>
            <w:r w:rsidRPr="00E5074A">
              <w:rPr>
                <w:color w:val="000000"/>
              </w:rPr>
              <w:t> </w:t>
            </w:r>
          </w:p>
        </w:tc>
        <w:tc>
          <w:tcPr>
            <w:tcW w:w="878" w:type="dxa"/>
            <w:tcBorders>
              <w:top w:val="single" w:sz="4" w:space="0" w:color="auto"/>
              <w:left w:val="nil"/>
              <w:bottom w:val="single" w:sz="4" w:space="0" w:color="auto"/>
              <w:right w:val="nil"/>
            </w:tcBorders>
            <w:shd w:val="clear" w:color="auto" w:fill="auto"/>
            <w:noWrap/>
            <w:vAlign w:val="bottom"/>
            <w:hideMark/>
          </w:tcPr>
          <w:p w14:paraId="302F74D0" w14:textId="77777777" w:rsidR="00483EC1" w:rsidRPr="00E5074A" w:rsidRDefault="00483EC1" w:rsidP="00315FCD">
            <w:pPr>
              <w:jc w:val="center"/>
              <w:rPr>
                <w:color w:val="000000"/>
              </w:rPr>
            </w:pPr>
            <w:r w:rsidRPr="00E5074A">
              <w:rPr>
                <w:color w:val="000000"/>
              </w:rPr>
              <w:t>0.588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14:paraId="27A11E94" w14:textId="77777777" w:rsidR="00483EC1" w:rsidRPr="00E5074A" w:rsidRDefault="00483EC1" w:rsidP="00315FCD">
            <w:pPr>
              <w:jc w:val="center"/>
              <w:rPr>
                <w:color w:val="000000"/>
              </w:rPr>
            </w:pPr>
            <w:r w:rsidRPr="00E5074A">
              <w:rPr>
                <w:color w:val="000000"/>
              </w:rPr>
              <w:t> </w:t>
            </w:r>
          </w:p>
        </w:tc>
      </w:tr>
      <w:tr w:rsidR="00483EC1" w:rsidRPr="00FF3563" w14:paraId="5F4D64C6" w14:textId="77777777" w:rsidTr="00315FCD">
        <w:trPr>
          <w:trHeight w:val="440"/>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9548C" w14:textId="77777777" w:rsidR="00483EC1" w:rsidRPr="00FF3563" w:rsidRDefault="00483EC1" w:rsidP="00315FCD">
            <w:pPr>
              <w:rPr>
                <w:color w:val="000000"/>
              </w:rPr>
            </w:pPr>
            <w:r w:rsidRPr="00FF3563">
              <w:rPr>
                <w:color w:val="000000"/>
              </w:rPr>
              <w:t>PROG</w:t>
            </w:r>
          </w:p>
        </w:tc>
        <w:tc>
          <w:tcPr>
            <w:tcW w:w="963" w:type="dxa"/>
            <w:tcBorders>
              <w:top w:val="single" w:sz="4" w:space="0" w:color="auto"/>
              <w:left w:val="single" w:sz="4" w:space="0" w:color="auto"/>
              <w:bottom w:val="single" w:sz="4" w:space="0" w:color="auto"/>
              <w:right w:val="nil"/>
            </w:tcBorders>
            <w:shd w:val="clear" w:color="auto" w:fill="auto"/>
            <w:noWrap/>
            <w:vAlign w:val="bottom"/>
            <w:hideMark/>
          </w:tcPr>
          <w:p w14:paraId="5BFD3D6C" w14:textId="77777777" w:rsidR="00483EC1" w:rsidRPr="00E5074A" w:rsidRDefault="00483EC1" w:rsidP="00315FCD">
            <w:pPr>
              <w:jc w:val="center"/>
              <w:rPr>
                <w:color w:val="000000"/>
              </w:rPr>
            </w:pPr>
            <w:r w:rsidRPr="00E5074A">
              <w:rPr>
                <w:color w:val="000000"/>
              </w:rPr>
              <w:t>0.478</w:t>
            </w:r>
          </w:p>
        </w:tc>
        <w:tc>
          <w:tcPr>
            <w:tcW w:w="964" w:type="dxa"/>
            <w:tcBorders>
              <w:top w:val="single" w:sz="4" w:space="0" w:color="auto"/>
              <w:left w:val="nil"/>
              <w:bottom w:val="single" w:sz="4" w:space="0" w:color="auto"/>
              <w:right w:val="nil"/>
            </w:tcBorders>
            <w:shd w:val="clear" w:color="auto" w:fill="auto"/>
            <w:noWrap/>
            <w:vAlign w:val="bottom"/>
            <w:hideMark/>
          </w:tcPr>
          <w:p w14:paraId="1D2A4BC7" w14:textId="77777777" w:rsidR="00483EC1" w:rsidRPr="00E5074A" w:rsidRDefault="00483EC1" w:rsidP="00315FCD">
            <w:pPr>
              <w:jc w:val="center"/>
              <w:rPr>
                <w:color w:val="000000"/>
              </w:rPr>
            </w:pPr>
            <w:r w:rsidRPr="00E5074A">
              <w:rPr>
                <w:color w:val="000000"/>
              </w:rPr>
              <w:t>0.133</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7AA9C836" w14:textId="77777777" w:rsidR="00483EC1" w:rsidRPr="00E5074A" w:rsidRDefault="00483EC1" w:rsidP="00315FCD">
            <w:pPr>
              <w:jc w:val="center"/>
              <w:rPr>
                <w:color w:val="000000"/>
              </w:rPr>
            </w:pPr>
            <w:r w:rsidRPr="00E5074A">
              <w:rPr>
                <w:color w:val="000000"/>
              </w:rPr>
              <w:t>0.821</w:t>
            </w:r>
          </w:p>
        </w:tc>
        <w:tc>
          <w:tcPr>
            <w:tcW w:w="878" w:type="dxa"/>
            <w:tcBorders>
              <w:top w:val="single" w:sz="4" w:space="0" w:color="auto"/>
              <w:left w:val="nil"/>
              <w:bottom w:val="single" w:sz="4" w:space="0" w:color="auto"/>
              <w:right w:val="nil"/>
            </w:tcBorders>
            <w:shd w:val="clear" w:color="auto" w:fill="auto"/>
            <w:noWrap/>
            <w:vAlign w:val="bottom"/>
            <w:hideMark/>
          </w:tcPr>
          <w:p w14:paraId="5E72C54A" w14:textId="77777777" w:rsidR="00483EC1" w:rsidRPr="00E5074A" w:rsidRDefault="00483EC1" w:rsidP="00315FCD">
            <w:pPr>
              <w:jc w:val="center"/>
              <w:rPr>
                <w:color w:val="000000"/>
              </w:rPr>
            </w:pPr>
            <w:r w:rsidRPr="00E5074A">
              <w:rPr>
                <w:color w:val="000000"/>
              </w:rPr>
              <w:t>0.589</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14:paraId="74078384" w14:textId="77777777" w:rsidR="00483EC1" w:rsidRPr="00E5074A" w:rsidRDefault="00483EC1" w:rsidP="00315FCD">
            <w:pPr>
              <w:jc w:val="center"/>
              <w:rPr>
                <w:color w:val="000000"/>
              </w:rPr>
            </w:pPr>
            <w:r w:rsidRPr="00E5074A">
              <w:rPr>
                <w:color w:val="000000"/>
              </w:rPr>
              <w:t>0.199</w:t>
            </w:r>
          </w:p>
        </w:tc>
      </w:tr>
    </w:tbl>
    <w:p w14:paraId="341FAE9F" w14:textId="0213F9D2" w:rsidR="00483EC1" w:rsidRDefault="00483EC1" w:rsidP="00483EC1">
      <w:pPr>
        <w:rPr>
          <w:lang w:val="en-US" w:eastAsia="en-GB"/>
        </w:rPr>
      </w:pPr>
    </w:p>
    <w:p w14:paraId="536397EC" w14:textId="2EC82024" w:rsidR="00EB71F8" w:rsidRDefault="00EB71F8" w:rsidP="00483EC1">
      <w:pPr>
        <w:rPr>
          <w:lang w:val="en-US" w:eastAsia="en-GB"/>
        </w:rPr>
      </w:pPr>
    </w:p>
    <w:p w14:paraId="341B1DFB" w14:textId="77777777" w:rsidR="00A96732" w:rsidRDefault="00A96732">
      <w:pPr>
        <w:spacing w:after="200" w:line="276" w:lineRule="auto"/>
        <w:rPr>
          <w:color w:val="333333"/>
          <w:lang w:val="en-US"/>
        </w:rPr>
      </w:pPr>
      <w:r>
        <w:rPr>
          <w:color w:val="333333"/>
          <w:lang w:val="en-US"/>
        </w:rPr>
        <w:br w:type="page"/>
      </w:r>
    </w:p>
    <w:p w14:paraId="7C89FFCC" w14:textId="48F32D3B" w:rsidR="00EB71F8" w:rsidRPr="00714946" w:rsidRDefault="00EB71F8" w:rsidP="00EB71F8">
      <w:pPr>
        <w:jc w:val="center"/>
        <w:rPr>
          <w:color w:val="333333"/>
          <w:lang w:val="en-US"/>
        </w:rPr>
      </w:pPr>
      <w:r w:rsidRPr="00714946">
        <w:rPr>
          <w:color w:val="333333"/>
          <w:lang w:val="en-US"/>
        </w:rPr>
        <w:lastRenderedPageBreak/>
        <w:t>Table I</w:t>
      </w:r>
      <w:r>
        <w:rPr>
          <w:color w:val="333333"/>
          <w:lang w:val="en-US"/>
        </w:rPr>
        <w:t>X</w:t>
      </w:r>
      <w:r w:rsidRPr="00714946">
        <w:rPr>
          <w:color w:val="333333"/>
          <w:lang w:val="en-US"/>
        </w:rPr>
        <w:t>: Reliability and Average Variance Extracted</w:t>
      </w:r>
    </w:p>
    <w:p w14:paraId="5527219B" w14:textId="77777777" w:rsidR="00EB71F8" w:rsidRPr="00714946" w:rsidRDefault="00EB71F8" w:rsidP="00EB71F8">
      <w:pPr>
        <w:jc w:val="center"/>
        <w:rPr>
          <w:lang w:val="en-US" w:eastAsia="en-GB"/>
        </w:rPr>
      </w:pPr>
    </w:p>
    <w:tbl>
      <w:tblPr>
        <w:tblW w:w="5544" w:type="dxa"/>
        <w:jc w:val="center"/>
        <w:tblLayout w:type="fixed"/>
        <w:tblCellMar>
          <w:left w:w="70" w:type="dxa"/>
          <w:right w:w="70" w:type="dxa"/>
        </w:tblCellMar>
        <w:tblLook w:val="04A0" w:firstRow="1" w:lastRow="0" w:firstColumn="1" w:lastColumn="0" w:noHBand="0" w:noVBand="1"/>
      </w:tblPr>
      <w:tblGrid>
        <w:gridCol w:w="1074"/>
        <w:gridCol w:w="1117"/>
        <w:gridCol w:w="1118"/>
        <w:gridCol w:w="1117"/>
        <w:gridCol w:w="1118"/>
      </w:tblGrid>
      <w:tr w:rsidR="00EB71F8" w:rsidRPr="00E333B4" w14:paraId="5836D482" w14:textId="77777777" w:rsidTr="00315FCD">
        <w:trPr>
          <w:trHeight w:val="492"/>
          <w:jc w:val="center"/>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111BF" w14:textId="77777777" w:rsidR="00EB71F8" w:rsidRPr="00714946" w:rsidRDefault="00EB71F8" w:rsidP="00315FCD">
            <w:pPr>
              <w:rPr>
                <w:color w:val="000000"/>
                <w:lang w:val="en-US"/>
              </w:rPr>
            </w:pPr>
          </w:p>
        </w:tc>
        <w:tc>
          <w:tcPr>
            <w:tcW w:w="1117" w:type="dxa"/>
            <w:tcBorders>
              <w:top w:val="single" w:sz="4" w:space="0" w:color="auto"/>
              <w:left w:val="nil"/>
              <w:bottom w:val="single" w:sz="4" w:space="0" w:color="auto"/>
              <w:right w:val="single" w:sz="4" w:space="0" w:color="auto"/>
            </w:tcBorders>
            <w:shd w:val="clear" w:color="auto" w:fill="auto"/>
            <w:vAlign w:val="center"/>
            <w:hideMark/>
          </w:tcPr>
          <w:p w14:paraId="3052AF71" w14:textId="77777777" w:rsidR="00EB71F8" w:rsidRPr="00714946" w:rsidRDefault="00EB71F8" w:rsidP="00315FCD">
            <w:pPr>
              <w:jc w:val="center"/>
              <w:rPr>
                <w:color w:val="000000"/>
                <w:lang w:val="en-US"/>
              </w:rPr>
            </w:pPr>
            <w:r w:rsidRPr="00714946">
              <w:rPr>
                <w:color w:val="000000"/>
                <w:lang w:val="en-US"/>
              </w:rPr>
              <w:t>CR</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160D5" w14:textId="77777777" w:rsidR="00EB71F8" w:rsidRPr="00714946" w:rsidRDefault="00EB71F8" w:rsidP="00315FCD">
            <w:pPr>
              <w:jc w:val="center"/>
              <w:rPr>
                <w:color w:val="000000"/>
                <w:lang w:val="en-US"/>
              </w:rPr>
            </w:pPr>
            <w:r w:rsidRPr="00714946">
              <w:rPr>
                <w:color w:val="000000"/>
                <w:lang w:val="en-US"/>
              </w:rPr>
              <w:t xml:space="preserve">C’s </w:t>
            </w:r>
            <w:r w:rsidRPr="00714946">
              <w:rPr>
                <w:color w:val="000000"/>
              </w:rPr>
              <w:t>α</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CC2F6" w14:textId="77777777" w:rsidR="00EB71F8" w:rsidRPr="00714946" w:rsidRDefault="00EB71F8" w:rsidP="00315FCD">
            <w:pPr>
              <w:jc w:val="center"/>
              <w:rPr>
                <w:color w:val="000000"/>
                <w:lang w:val="en-US"/>
              </w:rPr>
            </w:pPr>
            <w:r w:rsidRPr="00714946">
              <w:rPr>
                <w:color w:val="000000"/>
                <w:lang w:val="en-US"/>
              </w:rPr>
              <w:t>Rho</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053AD" w14:textId="77777777" w:rsidR="00EB71F8" w:rsidRPr="00714946" w:rsidRDefault="00EB71F8" w:rsidP="00315FCD">
            <w:pPr>
              <w:jc w:val="center"/>
              <w:rPr>
                <w:color w:val="000000"/>
                <w:lang w:val="en-US"/>
              </w:rPr>
            </w:pPr>
            <w:r w:rsidRPr="00714946">
              <w:rPr>
                <w:color w:val="000000"/>
                <w:lang w:val="en-US"/>
              </w:rPr>
              <w:t>AVE</w:t>
            </w:r>
          </w:p>
        </w:tc>
      </w:tr>
      <w:tr w:rsidR="00EB71F8" w:rsidRPr="00E333B4" w14:paraId="1B830A8A" w14:textId="77777777" w:rsidTr="00315FCD">
        <w:trPr>
          <w:trHeight w:val="413"/>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37610" w14:textId="77777777" w:rsidR="00EB71F8" w:rsidRPr="00714946" w:rsidRDefault="00EB71F8" w:rsidP="00315FCD">
            <w:pPr>
              <w:rPr>
                <w:color w:val="000000"/>
                <w:lang w:val="en-US"/>
              </w:rPr>
            </w:pPr>
            <w:r w:rsidRPr="00714946">
              <w:rPr>
                <w:color w:val="000000"/>
                <w:lang w:val="en-US"/>
              </w:rPr>
              <w:t>INT</w:t>
            </w:r>
          </w:p>
        </w:tc>
        <w:tc>
          <w:tcPr>
            <w:tcW w:w="1117" w:type="dxa"/>
            <w:tcBorders>
              <w:top w:val="single" w:sz="4" w:space="0" w:color="auto"/>
              <w:left w:val="nil"/>
              <w:bottom w:val="single" w:sz="4" w:space="0" w:color="auto"/>
              <w:right w:val="single" w:sz="4" w:space="0" w:color="auto"/>
            </w:tcBorders>
            <w:shd w:val="clear" w:color="auto" w:fill="auto"/>
            <w:noWrap/>
            <w:hideMark/>
          </w:tcPr>
          <w:p w14:paraId="305520CD" w14:textId="77777777" w:rsidR="00EB71F8" w:rsidRPr="00714946" w:rsidRDefault="00EB71F8" w:rsidP="00315FCD">
            <w:pPr>
              <w:jc w:val="center"/>
              <w:rPr>
                <w:color w:val="000000"/>
                <w:lang w:val="en-US"/>
              </w:rPr>
            </w:pPr>
            <w:r w:rsidRPr="00714946">
              <w:rPr>
                <w:lang w:val="en-US"/>
              </w:rPr>
              <w:t>0.887</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4CD81BE8" w14:textId="77777777" w:rsidR="00EB71F8" w:rsidRPr="00714946" w:rsidRDefault="00EB71F8" w:rsidP="00315FCD">
            <w:pPr>
              <w:jc w:val="center"/>
              <w:rPr>
                <w:color w:val="000000"/>
                <w:lang w:val="en-US"/>
              </w:rPr>
            </w:pPr>
            <w:r w:rsidRPr="00714946">
              <w:rPr>
                <w:lang w:val="en-US"/>
              </w:rPr>
              <w:t>0.792</w:t>
            </w:r>
          </w:p>
        </w:tc>
        <w:tc>
          <w:tcPr>
            <w:tcW w:w="1117" w:type="dxa"/>
            <w:tcBorders>
              <w:top w:val="single" w:sz="4" w:space="0" w:color="auto"/>
              <w:left w:val="single" w:sz="4" w:space="0" w:color="auto"/>
              <w:bottom w:val="single" w:sz="4" w:space="0" w:color="auto"/>
              <w:right w:val="single" w:sz="4" w:space="0" w:color="auto"/>
            </w:tcBorders>
            <w:shd w:val="clear" w:color="auto" w:fill="auto"/>
            <w:noWrap/>
            <w:hideMark/>
          </w:tcPr>
          <w:p w14:paraId="19B37F68" w14:textId="77777777" w:rsidR="00EB71F8" w:rsidRPr="00714946" w:rsidRDefault="00EB71F8" w:rsidP="00315FCD">
            <w:pPr>
              <w:jc w:val="center"/>
              <w:rPr>
                <w:color w:val="000000"/>
                <w:lang w:val="en-US"/>
              </w:rPr>
            </w:pPr>
            <w:r w:rsidRPr="00714946">
              <w:rPr>
                <w:lang w:val="en-US"/>
              </w:rPr>
              <w:t>0.889</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162B7062" w14:textId="77777777" w:rsidR="00EB71F8" w:rsidRPr="00714946" w:rsidRDefault="00EB71F8" w:rsidP="00315FCD">
            <w:pPr>
              <w:jc w:val="center"/>
              <w:rPr>
                <w:color w:val="000000"/>
                <w:lang w:val="en-US"/>
              </w:rPr>
            </w:pPr>
            <w:r w:rsidRPr="00714946">
              <w:rPr>
                <w:lang w:val="en-US"/>
              </w:rPr>
              <w:t>0.707</w:t>
            </w:r>
          </w:p>
        </w:tc>
      </w:tr>
      <w:tr w:rsidR="00EB71F8" w:rsidRPr="00E333B4" w14:paraId="65497376" w14:textId="77777777" w:rsidTr="00315FCD">
        <w:trPr>
          <w:trHeight w:val="390"/>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06AF" w14:textId="77777777" w:rsidR="00EB71F8" w:rsidRPr="00714946" w:rsidRDefault="00EB71F8" w:rsidP="00315FCD">
            <w:pPr>
              <w:rPr>
                <w:color w:val="000000"/>
              </w:rPr>
            </w:pPr>
            <w:r w:rsidRPr="00714946">
              <w:rPr>
                <w:color w:val="000000"/>
                <w:lang w:val="en-US"/>
              </w:rPr>
              <w:t>PRA</w:t>
            </w:r>
            <w:r w:rsidRPr="00714946">
              <w:rPr>
                <w:color w:val="000000"/>
              </w:rPr>
              <w:t>X</w:t>
            </w:r>
          </w:p>
        </w:tc>
        <w:tc>
          <w:tcPr>
            <w:tcW w:w="1117" w:type="dxa"/>
            <w:tcBorders>
              <w:top w:val="single" w:sz="4" w:space="0" w:color="auto"/>
              <w:left w:val="nil"/>
              <w:bottom w:val="single" w:sz="4" w:space="0" w:color="auto"/>
              <w:right w:val="single" w:sz="4" w:space="0" w:color="auto"/>
            </w:tcBorders>
            <w:shd w:val="clear" w:color="auto" w:fill="auto"/>
            <w:noWrap/>
            <w:hideMark/>
          </w:tcPr>
          <w:p w14:paraId="3965240B" w14:textId="77777777" w:rsidR="00EB71F8" w:rsidRPr="00714946" w:rsidRDefault="00EB71F8" w:rsidP="00315FCD">
            <w:pPr>
              <w:jc w:val="center"/>
              <w:rPr>
                <w:color w:val="000000"/>
              </w:rPr>
            </w:pPr>
            <w:r w:rsidRPr="00714946">
              <w:t>0.845</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782483DF" w14:textId="77777777" w:rsidR="00EB71F8" w:rsidRPr="00714946" w:rsidRDefault="00EB71F8" w:rsidP="00315FCD">
            <w:pPr>
              <w:jc w:val="center"/>
              <w:rPr>
                <w:color w:val="000000"/>
              </w:rPr>
            </w:pPr>
            <w:r w:rsidRPr="00714946">
              <w:t>0.755</w:t>
            </w:r>
          </w:p>
        </w:tc>
        <w:tc>
          <w:tcPr>
            <w:tcW w:w="1117" w:type="dxa"/>
            <w:tcBorders>
              <w:top w:val="single" w:sz="4" w:space="0" w:color="auto"/>
              <w:left w:val="single" w:sz="4" w:space="0" w:color="auto"/>
              <w:bottom w:val="single" w:sz="4" w:space="0" w:color="auto"/>
              <w:right w:val="single" w:sz="4" w:space="0" w:color="auto"/>
            </w:tcBorders>
            <w:shd w:val="clear" w:color="auto" w:fill="auto"/>
            <w:noWrap/>
            <w:hideMark/>
          </w:tcPr>
          <w:p w14:paraId="2BE405F6" w14:textId="77777777" w:rsidR="00EB71F8" w:rsidRPr="00714946" w:rsidRDefault="00EB71F8" w:rsidP="00315FCD">
            <w:pPr>
              <w:jc w:val="center"/>
              <w:rPr>
                <w:color w:val="000000"/>
              </w:rPr>
            </w:pPr>
            <w:r w:rsidRPr="00714946">
              <w:t>0.760</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65C58342" w14:textId="77777777" w:rsidR="00EB71F8" w:rsidRPr="00714946" w:rsidRDefault="00EB71F8" w:rsidP="00315FCD">
            <w:pPr>
              <w:jc w:val="center"/>
              <w:rPr>
                <w:color w:val="000000"/>
              </w:rPr>
            </w:pPr>
            <w:r w:rsidRPr="00714946">
              <w:t>0.579</w:t>
            </w:r>
          </w:p>
        </w:tc>
      </w:tr>
      <w:tr w:rsidR="00EB71F8" w:rsidRPr="00E333B4" w14:paraId="65A21FD4" w14:textId="77777777" w:rsidTr="00315FCD">
        <w:trPr>
          <w:trHeight w:val="440"/>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F52B4" w14:textId="77777777" w:rsidR="00EB71F8" w:rsidRPr="00714946" w:rsidRDefault="00EB71F8" w:rsidP="00315FCD">
            <w:pPr>
              <w:rPr>
                <w:color w:val="000000"/>
              </w:rPr>
            </w:pPr>
            <w:r w:rsidRPr="00714946">
              <w:rPr>
                <w:color w:val="000000"/>
              </w:rPr>
              <w:t>PROG</w:t>
            </w:r>
          </w:p>
        </w:tc>
        <w:tc>
          <w:tcPr>
            <w:tcW w:w="1117" w:type="dxa"/>
            <w:tcBorders>
              <w:top w:val="single" w:sz="4" w:space="0" w:color="auto"/>
              <w:left w:val="nil"/>
              <w:bottom w:val="single" w:sz="4" w:space="0" w:color="auto"/>
              <w:right w:val="single" w:sz="4" w:space="0" w:color="auto"/>
            </w:tcBorders>
            <w:shd w:val="clear" w:color="auto" w:fill="auto"/>
            <w:noWrap/>
            <w:hideMark/>
          </w:tcPr>
          <w:p w14:paraId="0B749F42" w14:textId="77777777" w:rsidR="00EB71F8" w:rsidRPr="00714946" w:rsidRDefault="00EB71F8" w:rsidP="00315FCD">
            <w:pPr>
              <w:jc w:val="center"/>
              <w:rPr>
                <w:color w:val="000000"/>
              </w:rPr>
            </w:pPr>
            <w:r w:rsidRPr="00714946">
              <w:t>0.929</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140E4E9E" w14:textId="77777777" w:rsidR="00EB71F8" w:rsidRPr="00714946" w:rsidRDefault="00EB71F8" w:rsidP="00315FCD">
            <w:pPr>
              <w:jc w:val="center"/>
              <w:rPr>
                <w:color w:val="000000"/>
              </w:rPr>
            </w:pPr>
            <w:r w:rsidRPr="00714946">
              <w:t>0.897</w:t>
            </w:r>
          </w:p>
        </w:tc>
        <w:tc>
          <w:tcPr>
            <w:tcW w:w="1117" w:type="dxa"/>
            <w:tcBorders>
              <w:top w:val="single" w:sz="4" w:space="0" w:color="auto"/>
              <w:left w:val="single" w:sz="4" w:space="0" w:color="auto"/>
              <w:bottom w:val="single" w:sz="4" w:space="0" w:color="auto"/>
              <w:right w:val="single" w:sz="4" w:space="0" w:color="auto"/>
            </w:tcBorders>
            <w:shd w:val="clear" w:color="auto" w:fill="auto"/>
            <w:noWrap/>
            <w:hideMark/>
          </w:tcPr>
          <w:p w14:paraId="03EABA40" w14:textId="77777777" w:rsidR="00EB71F8" w:rsidRPr="00714946" w:rsidRDefault="00EB71F8" w:rsidP="00315FCD">
            <w:pPr>
              <w:jc w:val="center"/>
              <w:rPr>
                <w:color w:val="000000"/>
              </w:rPr>
            </w:pPr>
            <w:r w:rsidRPr="00714946">
              <w:t>0.905</w:t>
            </w:r>
          </w:p>
        </w:tc>
        <w:tc>
          <w:tcPr>
            <w:tcW w:w="1118" w:type="dxa"/>
            <w:tcBorders>
              <w:top w:val="single" w:sz="4" w:space="0" w:color="auto"/>
              <w:left w:val="single" w:sz="4" w:space="0" w:color="auto"/>
              <w:bottom w:val="single" w:sz="4" w:space="0" w:color="auto"/>
              <w:right w:val="single" w:sz="4" w:space="0" w:color="auto"/>
            </w:tcBorders>
            <w:shd w:val="clear" w:color="auto" w:fill="auto"/>
            <w:noWrap/>
            <w:hideMark/>
          </w:tcPr>
          <w:p w14:paraId="5EF7DB3A" w14:textId="77777777" w:rsidR="00EB71F8" w:rsidRPr="00714946" w:rsidRDefault="00EB71F8" w:rsidP="00315FCD">
            <w:pPr>
              <w:jc w:val="center"/>
              <w:rPr>
                <w:color w:val="000000"/>
              </w:rPr>
            </w:pPr>
            <w:r w:rsidRPr="00714946">
              <w:t>0.765</w:t>
            </w:r>
          </w:p>
        </w:tc>
      </w:tr>
    </w:tbl>
    <w:p w14:paraId="4E85C2AB" w14:textId="39D548AE" w:rsidR="00EB71F8" w:rsidRDefault="00EB71F8" w:rsidP="00483EC1">
      <w:pPr>
        <w:rPr>
          <w:lang w:val="en-US" w:eastAsia="en-GB"/>
        </w:rPr>
      </w:pPr>
    </w:p>
    <w:p w14:paraId="4652211D" w14:textId="57CD3092" w:rsidR="00EB71F8" w:rsidRDefault="00EB71F8" w:rsidP="00483EC1">
      <w:pPr>
        <w:rPr>
          <w:lang w:val="en-US" w:eastAsia="en-GB"/>
        </w:rPr>
      </w:pPr>
    </w:p>
    <w:p w14:paraId="1B172BCC" w14:textId="6CE3BED4" w:rsidR="00EB71F8" w:rsidRPr="00714946" w:rsidRDefault="00EB71F8" w:rsidP="00EB71F8">
      <w:pPr>
        <w:jc w:val="center"/>
        <w:rPr>
          <w:color w:val="333333"/>
          <w:lang w:val="en-US"/>
        </w:rPr>
      </w:pPr>
      <w:r w:rsidRPr="00714946">
        <w:rPr>
          <w:color w:val="333333"/>
          <w:lang w:val="en-US"/>
        </w:rPr>
        <w:t xml:space="preserve">Table </w:t>
      </w:r>
      <w:r>
        <w:rPr>
          <w:color w:val="333333"/>
          <w:lang w:val="en-US"/>
        </w:rPr>
        <w:t>X</w:t>
      </w:r>
      <w:r w:rsidRPr="00714946">
        <w:rPr>
          <w:color w:val="333333"/>
          <w:lang w:val="en-US"/>
        </w:rPr>
        <w:t>: Item loadings</w:t>
      </w:r>
    </w:p>
    <w:p w14:paraId="62F7F1D8" w14:textId="77777777" w:rsidR="00EB71F8" w:rsidRPr="00714946" w:rsidRDefault="00EB71F8" w:rsidP="00EB71F8">
      <w:pPr>
        <w:jc w:val="center"/>
        <w:rPr>
          <w:lang w:val="en-GB" w:eastAsia="en-GB"/>
        </w:rPr>
      </w:pPr>
    </w:p>
    <w:tbl>
      <w:tblPr>
        <w:tblStyle w:val="Grilledutableau"/>
        <w:tblW w:w="4644" w:type="dxa"/>
        <w:jc w:val="center"/>
        <w:tblLayout w:type="fixed"/>
        <w:tblLook w:val="04A0" w:firstRow="1" w:lastRow="0" w:firstColumn="1" w:lastColumn="0" w:noHBand="0" w:noVBand="1"/>
      </w:tblPr>
      <w:tblGrid>
        <w:gridCol w:w="1098"/>
        <w:gridCol w:w="1278"/>
        <w:gridCol w:w="1132"/>
        <w:gridCol w:w="1136"/>
      </w:tblGrid>
      <w:tr w:rsidR="00EB71F8" w:rsidRPr="00E333B4" w14:paraId="0B60FE51" w14:textId="77777777" w:rsidTr="00315FCD">
        <w:trPr>
          <w:trHeight w:val="304"/>
          <w:jc w:val="center"/>
        </w:trPr>
        <w:tc>
          <w:tcPr>
            <w:tcW w:w="1098" w:type="dxa"/>
            <w:noWrap/>
            <w:vAlign w:val="center"/>
            <w:hideMark/>
          </w:tcPr>
          <w:p w14:paraId="5D05E946" w14:textId="77777777" w:rsidR="00EB71F8" w:rsidRPr="00714946" w:rsidRDefault="00EB71F8" w:rsidP="00315FCD">
            <w:pPr>
              <w:jc w:val="both"/>
              <w:rPr>
                <w:b/>
                <w:lang w:val="en-US"/>
              </w:rPr>
            </w:pPr>
            <w:r w:rsidRPr="00714946">
              <w:rPr>
                <w:b/>
                <w:lang w:val="en-US"/>
              </w:rPr>
              <w:t>Item code</w:t>
            </w:r>
          </w:p>
        </w:tc>
        <w:tc>
          <w:tcPr>
            <w:tcW w:w="1278" w:type="dxa"/>
            <w:noWrap/>
            <w:vAlign w:val="center"/>
            <w:hideMark/>
          </w:tcPr>
          <w:p w14:paraId="46D2FB4B" w14:textId="77777777" w:rsidR="00EB71F8" w:rsidRPr="00714946" w:rsidRDefault="00EB71F8" w:rsidP="00315FCD">
            <w:pPr>
              <w:jc w:val="center"/>
              <w:rPr>
                <w:b/>
                <w:bCs/>
                <w:lang w:val="en-US"/>
              </w:rPr>
            </w:pPr>
            <w:r w:rsidRPr="00714946">
              <w:rPr>
                <w:b/>
                <w:bCs/>
                <w:lang w:val="en-US"/>
              </w:rPr>
              <w:t>INT</w:t>
            </w:r>
          </w:p>
        </w:tc>
        <w:tc>
          <w:tcPr>
            <w:tcW w:w="1132" w:type="dxa"/>
            <w:noWrap/>
            <w:vAlign w:val="center"/>
            <w:hideMark/>
          </w:tcPr>
          <w:p w14:paraId="26FF566C" w14:textId="77777777" w:rsidR="00EB71F8" w:rsidRPr="00714946" w:rsidRDefault="00EB71F8" w:rsidP="00315FCD">
            <w:pPr>
              <w:jc w:val="center"/>
              <w:rPr>
                <w:b/>
                <w:bCs/>
                <w:lang w:val="en-US"/>
              </w:rPr>
            </w:pPr>
            <w:r w:rsidRPr="00714946">
              <w:rPr>
                <w:b/>
                <w:bCs/>
                <w:lang w:val="en-US"/>
              </w:rPr>
              <w:t>PROG</w:t>
            </w:r>
          </w:p>
        </w:tc>
        <w:tc>
          <w:tcPr>
            <w:tcW w:w="1136" w:type="dxa"/>
            <w:vAlign w:val="center"/>
          </w:tcPr>
          <w:p w14:paraId="2CA32F79" w14:textId="77777777" w:rsidR="00EB71F8" w:rsidRPr="00714946" w:rsidRDefault="00EB71F8" w:rsidP="00315FCD">
            <w:pPr>
              <w:jc w:val="center"/>
              <w:rPr>
                <w:b/>
                <w:bCs/>
                <w:lang w:val="en-US"/>
              </w:rPr>
            </w:pPr>
            <w:r w:rsidRPr="00714946">
              <w:rPr>
                <w:b/>
                <w:bCs/>
                <w:lang w:val="en-US"/>
              </w:rPr>
              <w:t>PRAX</w:t>
            </w:r>
          </w:p>
        </w:tc>
      </w:tr>
      <w:tr w:rsidR="00EB71F8" w:rsidRPr="00E333B4" w14:paraId="4FDAF872" w14:textId="77777777" w:rsidTr="00315FCD">
        <w:trPr>
          <w:trHeight w:val="506"/>
          <w:jc w:val="center"/>
        </w:trPr>
        <w:tc>
          <w:tcPr>
            <w:tcW w:w="1098" w:type="dxa"/>
            <w:noWrap/>
            <w:vAlign w:val="center"/>
            <w:hideMark/>
          </w:tcPr>
          <w:p w14:paraId="2309163C" w14:textId="77777777" w:rsidR="00EB71F8" w:rsidRPr="00714946" w:rsidRDefault="00EB71F8" w:rsidP="00315FCD">
            <w:pPr>
              <w:rPr>
                <w:lang w:val="en-US"/>
              </w:rPr>
            </w:pPr>
            <w:r w:rsidRPr="00714946">
              <w:rPr>
                <w:lang w:val="en-US"/>
              </w:rPr>
              <w:t>INT1</w:t>
            </w:r>
          </w:p>
        </w:tc>
        <w:tc>
          <w:tcPr>
            <w:tcW w:w="1278" w:type="dxa"/>
            <w:noWrap/>
            <w:vAlign w:val="center"/>
          </w:tcPr>
          <w:p w14:paraId="2EA6C71A" w14:textId="77777777" w:rsidR="00EB71F8" w:rsidRPr="00714946" w:rsidRDefault="00EB71F8" w:rsidP="00315FCD">
            <w:pPr>
              <w:jc w:val="center"/>
              <w:rPr>
                <w:b/>
                <w:lang w:val="en-US"/>
              </w:rPr>
            </w:pPr>
            <w:r w:rsidRPr="00714946">
              <w:rPr>
                <w:b/>
                <w:lang w:val="en-US"/>
              </w:rPr>
              <w:t>0.872***</w:t>
            </w:r>
          </w:p>
        </w:tc>
        <w:tc>
          <w:tcPr>
            <w:tcW w:w="1132" w:type="dxa"/>
            <w:noWrap/>
            <w:vAlign w:val="center"/>
          </w:tcPr>
          <w:p w14:paraId="4F30F8FA" w14:textId="77777777" w:rsidR="00EB71F8" w:rsidRPr="00714946" w:rsidRDefault="00EB71F8" w:rsidP="00315FCD">
            <w:pPr>
              <w:jc w:val="center"/>
              <w:rPr>
                <w:lang w:val="en-US"/>
              </w:rPr>
            </w:pPr>
            <w:r w:rsidRPr="00714946">
              <w:rPr>
                <w:lang w:val="en-US"/>
              </w:rPr>
              <w:t>0.538</w:t>
            </w:r>
          </w:p>
        </w:tc>
        <w:tc>
          <w:tcPr>
            <w:tcW w:w="1136" w:type="dxa"/>
            <w:vAlign w:val="center"/>
          </w:tcPr>
          <w:p w14:paraId="24CC6211" w14:textId="77777777" w:rsidR="00EB71F8" w:rsidRPr="00714946" w:rsidRDefault="00EB71F8" w:rsidP="00315FCD">
            <w:pPr>
              <w:jc w:val="center"/>
              <w:rPr>
                <w:lang w:val="en-US"/>
              </w:rPr>
            </w:pPr>
            <w:r w:rsidRPr="00714946">
              <w:rPr>
                <w:lang w:val="en-US"/>
              </w:rPr>
              <w:t>0.551</w:t>
            </w:r>
          </w:p>
        </w:tc>
      </w:tr>
      <w:tr w:rsidR="00EB71F8" w:rsidRPr="00E333B4" w14:paraId="157D8329" w14:textId="77777777" w:rsidTr="00315FCD">
        <w:trPr>
          <w:trHeight w:val="506"/>
          <w:jc w:val="center"/>
        </w:trPr>
        <w:tc>
          <w:tcPr>
            <w:tcW w:w="1098" w:type="dxa"/>
            <w:noWrap/>
            <w:vAlign w:val="center"/>
            <w:hideMark/>
          </w:tcPr>
          <w:p w14:paraId="1E7A1830" w14:textId="77777777" w:rsidR="00EB71F8" w:rsidRPr="00714946" w:rsidRDefault="00EB71F8" w:rsidP="00315FCD">
            <w:pPr>
              <w:rPr>
                <w:lang w:val="en-US"/>
              </w:rPr>
            </w:pPr>
            <w:r w:rsidRPr="00714946">
              <w:rPr>
                <w:lang w:val="en-US"/>
              </w:rPr>
              <w:t>INT2</w:t>
            </w:r>
          </w:p>
        </w:tc>
        <w:tc>
          <w:tcPr>
            <w:tcW w:w="1278" w:type="dxa"/>
            <w:noWrap/>
            <w:vAlign w:val="center"/>
          </w:tcPr>
          <w:p w14:paraId="4CFEBD0F" w14:textId="77777777" w:rsidR="00EB71F8" w:rsidRPr="00714946" w:rsidRDefault="00EB71F8" w:rsidP="00315FCD">
            <w:pPr>
              <w:jc w:val="center"/>
              <w:rPr>
                <w:b/>
                <w:lang w:val="en-US"/>
              </w:rPr>
            </w:pPr>
            <w:r w:rsidRPr="00714946">
              <w:rPr>
                <w:b/>
                <w:lang w:val="en-US"/>
              </w:rPr>
              <w:t>0.824***</w:t>
            </w:r>
          </w:p>
        </w:tc>
        <w:tc>
          <w:tcPr>
            <w:tcW w:w="1132" w:type="dxa"/>
            <w:noWrap/>
            <w:vAlign w:val="center"/>
          </w:tcPr>
          <w:p w14:paraId="63A7B732" w14:textId="77777777" w:rsidR="00EB71F8" w:rsidRPr="00714946" w:rsidRDefault="00EB71F8" w:rsidP="00315FCD">
            <w:pPr>
              <w:jc w:val="center"/>
              <w:rPr>
                <w:lang w:val="en-US"/>
              </w:rPr>
            </w:pPr>
            <w:r w:rsidRPr="00714946">
              <w:rPr>
                <w:lang w:val="en-US"/>
              </w:rPr>
              <w:t>0.548</w:t>
            </w:r>
          </w:p>
        </w:tc>
        <w:tc>
          <w:tcPr>
            <w:tcW w:w="1136" w:type="dxa"/>
            <w:vAlign w:val="center"/>
          </w:tcPr>
          <w:p w14:paraId="342BF5B2" w14:textId="77777777" w:rsidR="00EB71F8" w:rsidRPr="00714946" w:rsidRDefault="00EB71F8" w:rsidP="00315FCD">
            <w:pPr>
              <w:jc w:val="center"/>
              <w:rPr>
                <w:lang w:val="en-US"/>
              </w:rPr>
            </w:pPr>
            <w:r w:rsidRPr="00714946">
              <w:rPr>
                <w:lang w:val="en-US"/>
              </w:rPr>
              <w:t>0.415</w:t>
            </w:r>
          </w:p>
        </w:tc>
      </w:tr>
      <w:tr w:rsidR="00EB71F8" w:rsidRPr="00E333B4" w14:paraId="4F867D5C" w14:textId="77777777" w:rsidTr="00315FCD">
        <w:trPr>
          <w:trHeight w:val="506"/>
          <w:jc w:val="center"/>
        </w:trPr>
        <w:tc>
          <w:tcPr>
            <w:tcW w:w="1098" w:type="dxa"/>
            <w:noWrap/>
            <w:vAlign w:val="center"/>
            <w:hideMark/>
          </w:tcPr>
          <w:p w14:paraId="0B1D790A" w14:textId="77777777" w:rsidR="00EB71F8" w:rsidRPr="00714946" w:rsidRDefault="00EB71F8" w:rsidP="00315FCD">
            <w:pPr>
              <w:rPr>
                <w:lang w:val="en-US"/>
              </w:rPr>
            </w:pPr>
            <w:r w:rsidRPr="00714946">
              <w:rPr>
                <w:lang w:val="en-US"/>
              </w:rPr>
              <w:t>INT3</w:t>
            </w:r>
          </w:p>
        </w:tc>
        <w:tc>
          <w:tcPr>
            <w:tcW w:w="3546" w:type="dxa"/>
            <w:gridSpan w:val="3"/>
            <w:noWrap/>
            <w:vAlign w:val="center"/>
            <w:hideMark/>
          </w:tcPr>
          <w:p w14:paraId="04B93081" w14:textId="77777777" w:rsidR="00EB71F8" w:rsidRPr="00714946" w:rsidRDefault="00EB71F8" w:rsidP="00315FCD">
            <w:pPr>
              <w:jc w:val="center"/>
              <w:rPr>
                <w:lang w:val="en-US"/>
              </w:rPr>
            </w:pPr>
            <w:r w:rsidRPr="00714946">
              <w:rPr>
                <w:lang w:val="en-US"/>
              </w:rPr>
              <w:t>Dropped</w:t>
            </w:r>
          </w:p>
        </w:tc>
      </w:tr>
      <w:tr w:rsidR="00EB71F8" w:rsidRPr="00E333B4" w14:paraId="121EC448" w14:textId="77777777" w:rsidTr="00315FCD">
        <w:trPr>
          <w:trHeight w:val="506"/>
          <w:jc w:val="center"/>
        </w:trPr>
        <w:tc>
          <w:tcPr>
            <w:tcW w:w="1098" w:type="dxa"/>
            <w:noWrap/>
            <w:vAlign w:val="center"/>
            <w:hideMark/>
          </w:tcPr>
          <w:p w14:paraId="75840A9C" w14:textId="77777777" w:rsidR="00EB71F8" w:rsidRPr="00714946" w:rsidRDefault="00EB71F8" w:rsidP="00315FCD">
            <w:pPr>
              <w:rPr>
                <w:lang w:val="en-US"/>
              </w:rPr>
            </w:pPr>
            <w:r w:rsidRPr="00714946">
              <w:rPr>
                <w:lang w:val="en-US"/>
              </w:rPr>
              <w:t>INT4</w:t>
            </w:r>
          </w:p>
        </w:tc>
        <w:tc>
          <w:tcPr>
            <w:tcW w:w="1278" w:type="dxa"/>
            <w:noWrap/>
            <w:vAlign w:val="center"/>
          </w:tcPr>
          <w:p w14:paraId="6597FADB" w14:textId="77777777" w:rsidR="00EB71F8" w:rsidRPr="00714946" w:rsidRDefault="00EB71F8" w:rsidP="00315FCD">
            <w:pPr>
              <w:jc w:val="center"/>
              <w:rPr>
                <w:b/>
                <w:lang w:val="en-US"/>
              </w:rPr>
            </w:pPr>
            <w:r w:rsidRPr="00714946">
              <w:rPr>
                <w:b/>
                <w:lang w:val="en-US"/>
              </w:rPr>
              <w:t>0.826***</w:t>
            </w:r>
          </w:p>
        </w:tc>
        <w:tc>
          <w:tcPr>
            <w:tcW w:w="1132" w:type="dxa"/>
            <w:noWrap/>
            <w:vAlign w:val="center"/>
          </w:tcPr>
          <w:p w14:paraId="127F8AE3" w14:textId="77777777" w:rsidR="00EB71F8" w:rsidRPr="00714946" w:rsidRDefault="00EB71F8" w:rsidP="00315FCD">
            <w:pPr>
              <w:jc w:val="center"/>
              <w:rPr>
                <w:lang w:val="en-US"/>
              </w:rPr>
            </w:pPr>
            <w:r w:rsidRPr="00714946">
              <w:rPr>
                <w:lang w:val="en-US"/>
              </w:rPr>
              <w:t>0.432</w:t>
            </w:r>
          </w:p>
        </w:tc>
        <w:tc>
          <w:tcPr>
            <w:tcW w:w="1136" w:type="dxa"/>
            <w:vAlign w:val="center"/>
          </w:tcPr>
          <w:p w14:paraId="41FFEC73" w14:textId="77777777" w:rsidR="00EB71F8" w:rsidRPr="00714946" w:rsidRDefault="00EB71F8" w:rsidP="00315FCD">
            <w:pPr>
              <w:jc w:val="center"/>
              <w:rPr>
                <w:lang w:val="en-US"/>
              </w:rPr>
            </w:pPr>
            <w:r w:rsidRPr="00714946">
              <w:rPr>
                <w:lang w:val="en-US"/>
              </w:rPr>
              <w:t>0.570</w:t>
            </w:r>
          </w:p>
        </w:tc>
      </w:tr>
      <w:tr w:rsidR="00EB71F8" w:rsidRPr="00E333B4" w14:paraId="061D86EF" w14:textId="77777777" w:rsidTr="00315FCD">
        <w:trPr>
          <w:trHeight w:val="506"/>
          <w:jc w:val="center"/>
        </w:trPr>
        <w:tc>
          <w:tcPr>
            <w:tcW w:w="1098" w:type="dxa"/>
            <w:noWrap/>
            <w:vAlign w:val="center"/>
            <w:hideMark/>
          </w:tcPr>
          <w:p w14:paraId="415CC317" w14:textId="77777777" w:rsidR="00EB71F8" w:rsidRPr="00714946" w:rsidRDefault="00EB71F8" w:rsidP="00315FCD">
            <w:pPr>
              <w:rPr>
                <w:lang w:val="en-US"/>
              </w:rPr>
            </w:pPr>
            <w:r w:rsidRPr="00714946">
              <w:rPr>
                <w:lang w:val="en-US"/>
              </w:rPr>
              <w:t>PROG1</w:t>
            </w:r>
          </w:p>
        </w:tc>
        <w:tc>
          <w:tcPr>
            <w:tcW w:w="1278" w:type="dxa"/>
            <w:noWrap/>
            <w:vAlign w:val="center"/>
          </w:tcPr>
          <w:p w14:paraId="1EB52765" w14:textId="77777777" w:rsidR="00EB71F8" w:rsidRPr="00714946" w:rsidRDefault="00EB71F8" w:rsidP="00315FCD">
            <w:pPr>
              <w:jc w:val="center"/>
              <w:rPr>
                <w:lang w:val="en-US"/>
              </w:rPr>
            </w:pPr>
            <w:r w:rsidRPr="00714946">
              <w:rPr>
                <w:lang w:val="en-US"/>
              </w:rPr>
              <w:t>0.544</w:t>
            </w:r>
          </w:p>
        </w:tc>
        <w:tc>
          <w:tcPr>
            <w:tcW w:w="1132" w:type="dxa"/>
            <w:noWrap/>
            <w:vAlign w:val="center"/>
          </w:tcPr>
          <w:p w14:paraId="26B4FF98" w14:textId="77777777" w:rsidR="00EB71F8" w:rsidRPr="00714946" w:rsidRDefault="00EB71F8" w:rsidP="00315FCD">
            <w:pPr>
              <w:jc w:val="center"/>
              <w:rPr>
                <w:b/>
                <w:lang w:val="en-US"/>
              </w:rPr>
            </w:pPr>
            <w:r w:rsidRPr="00714946">
              <w:rPr>
                <w:b/>
                <w:lang w:val="en-US"/>
              </w:rPr>
              <w:t>0.913***</w:t>
            </w:r>
          </w:p>
        </w:tc>
        <w:tc>
          <w:tcPr>
            <w:tcW w:w="1136" w:type="dxa"/>
            <w:vAlign w:val="center"/>
          </w:tcPr>
          <w:p w14:paraId="08BE4303" w14:textId="77777777" w:rsidR="00EB71F8" w:rsidRPr="00D41B01" w:rsidRDefault="00EB71F8" w:rsidP="00315FCD">
            <w:pPr>
              <w:jc w:val="center"/>
              <w:rPr>
                <w:lang w:val="en-US"/>
              </w:rPr>
            </w:pPr>
            <w:r w:rsidRPr="00D41B01">
              <w:rPr>
                <w:lang w:val="en-US"/>
              </w:rPr>
              <w:t>0.329</w:t>
            </w:r>
          </w:p>
        </w:tc>
      </w:tr>
      <w:tr w:rsidR="00EB71F8" w:rsidRPr="00E333B4" w14:paraId="325C5B8D" w14:textId="77777777" w:rsidTr="00315FCD">
        <w:trPr>
          <w:trHeight w:val="506"/>
          <w:jc w:val="center"/>
        </w:trPr>
        <w:tc>
          <w:tcPr>
            <w:tcW w:w="1098" w:type="dxa"/>
            <w:noWrap/>
            <w:vAlign w:val="center"/>
            <w:hideMark/>
          </w:tcPr>
          <w:p w14:paraId="35CE452F" w14:textId="77777777" w:rsidR="00EB71F8" w:rsidRPr="00714946" w:rsidRDefault="00EB71F8" w:rsidP="00315FCD">
            <w:pPr>
              <w:rPr>
                <w:lang w:val="en-US"/>
              </w:rPr>
            </w:pPr>
            <w:r w:rsidRPr="00714946">
              <w:rPr>
                <w:lang w:val="en-US"/>
              </w:rPr>
              <w:t>PROG2</w:t>
            </w:r>
          </w:p>
        </w:tc>
        <w:tc>
          <w:tcPr>
            <w:tcW w:w="1278" w:type="dxa"/>
            <w:noWrap/>
            <w:vAlign w:val="center"/>
          </w:tcPr>
          <w:p w14:paraId="4540E50E" w14:textId="77777777" w:rsidR="00EB71F8" w:rsidRPr="00714946" w:rsidRDefault="00EB71F8" w:rsidP="00315FCD">
            <w:pPr>
              <w:jc w:val="center"/>
              <w:rPr>
                <w:lang w:val="en-US"/>
              </w:rPr>
            </w:pPr>
            <w:r w:rsidRPr="00714946">
              <w:rPr>
                <w:lang w:val="en-US"/>
              </w:rPr>
              <w:t>0.569</w:t>
            </w:r>
          </w:p>
        </w:tc>
        <w:tc>
          <w:tcPr>
            <w:tcW w:w="1132" w:type="dxa"/>
            <w:noWrap/>
            <w:vAlign w:val="center"/>
          </w:tcPr>
          <w:p w14:paraId="65A020C7" w14:textId="77777777" w:rsidR="00EB71F8" w:rsidRPr="00714946" w:rsidRDefault="00EB71F8" w:rsidP="00315FCD">
            <w:pPr>
              <w:jc w:val="center"/>
              <w:rPr>
                <w:b/>
                <w:lang w:val="en-US"/>
              </w:rPr>
            </w:pPr>
            <w:r w:rsidRPr="00714946">
              <w:rPr>
                <w:b/>
                <w:lang w:val="en-US"/>
              </w:rPr>
              <w:t>0.902***</w:t>
            </w:r>
          </w:p>
        </w:tc>
        <w:tc>
          <w:tcPr>
            <w:tcW w:w="1136" w:type="dxa"/>
            <w:vAlign w:val="center"/>
          </w:tcPr>
          <w:p w14:paraId="4B165233" w14:textId="77777777" w:rsidR="00EB71F8" w:rsidRPr="00D41B01" w:rsidRDefault="00EB71F8" w:rsidP="00315FCD">
            <w:pPr>
              <w:jc w:val="center"/>
              <w:rPr>
                <w:lang w:val="en-US"/>
              </w:rPr>
            </w:pPr>
            <w:r w:rsidRPr="00D41B01">
              <w:rPr>
                <w:lang w:val="en-US"/>
              </w:rPr>
              <w:t>0.355</w:t>
            </w:r>
          </w:p>
        </w:tc>
      </w:tr>
      <w:tr w:rsidR="00EB71F8" w:rsidRPr="00E333B4" w14:paraId="3616E414" w14:textId="77777777" w:rsidTr="00315FCD">
        <w:trPr>
          <w:trHeight w:val="506"/>
          <w:jc w:val="center"/>
        </w:trPr>
        <w:tc>
          <w:tcPr>
            <w:tcW w:w="1098" w:type="dxa"/>
            <w:noWrap/>
            <w:vAlign w:val="center"/>
            <w:hideMark/>
          </w:tcPr>
          <w:p w14:paraId="1C30EEB7" w14:textId="77777777" w:rsidR="00EB71F8" w:rsidRPr="00714946" w:rsidRDefault="00EB71F8" w:rsidP="00315FCD">
            <w:pPr>
              <w:rPr>
                <w:lang w:val="en-US"/>
              </w:rPr>
            </w:pPr>
            <w:r w:rsidRPr="00714946">
              <w:rPr>
                <w:lang w:val="en-US"/>
              </w:rPr>
              <w:t>PROG3</w:t>
            </w:r>
          </w:p>
        </w:tc>
        <w:tc>
          <w:tcPr>
            <w:tcW w:w="1278" w:type="dxa"/>
            <w:noWrap/>
            <w:vAlign w:val="center"/>
          </w:tcPr>
          <w:p w14:paraId="1C42A8B1" w14:textId="77777777" w:rsidR="00EB71F8" w:rsidRPr="00714946" w:rsidRDefault="00EB71F8" w:rsidP="00315FCD">
            <w:pPr>
              <w:jc w:val="center"/>
              <w:rPr>
                <w:lang w:val="en-US"/>
              </w:rPr>
            </w:pPr>
            <w:r w:rsidRPr="00714946">
              <w:rPr>
                <w:lang w:val="en-US"/>
              </w:rPr>
              <w:t>0.381</w:t>
            </w:r>
          </w:p>
        </w:tc>
        <w:tc>
          <w:tcPr>
            <w:tcW w:w="1132" w:type="dxa"/>
            <w:noWrap/>
            <w:vAlign w:val="center"/>
          </w:tcPr>
          <w:p w14:paraId="444E4958" w14:textId="77777777" w:rsidR="00EB71F8" w:rsidRPr="00714946" w:rsidRDefault="00EB71F8" w:rsidP="00315FCD">
            <w:pPr>
              <w:jc w:val="center"/>
              <w:rPr>
                <w:b/>
                <w:lang w:val="en-US"/>
              </w:rPr>
            </w:pPr>
            <w:r w:rsidRPr="00714946">
              <w:rPr>
                <w:b/>
                <w:lang w:val="en-US"/>
              </w:rPr>
              <w:t>0.818***</w:t>
            </w:r>
          </w:p>
        </w:tc>
        <w:tc>
          <w:tcPr>
            <w:tcW w:w="1136" w:type="dxa"/>
            <w:vAlign w:val="center"/>
          </w:tcPr>
          <w:p w14:paraId="0A6093E8" w14:textId="77777777" w:rsidR="00EB71F8" w:rsidRPr="00D41B01" w:rsidRDefault="00EB71F8" w:rsidP="00315FCD">
            <w:pPr>
              <w:jc w:val="center"/>
              <w:rPr>
                <w:lang w:val="en-US"/>
              </w:rPr>
            </w:pPr>
            <w:r w:rsidRPr="00D41B01">
              <w:rPr>
                <w:lang w:val="en-US"/>
              </w:rPr>
              <w:t>0.262</w:t>
            </w:r>
          </w:p>
        </w:tc>
      </w:tr>
      <w:tr w:rsidR="00EB71F8" w:rsidRPr="00E333B4" w14:paraId="7A5734F6" w14:textId="77777777" w:rsidTr="00315FCD">
        <w:trPr>
          <w:trHeight w:val="506"/>
          <w:jc w:val="center"/>
        </w:trPr>
        <w:tc>
          <w:tcPr>
            <w:tcW w:w="1098" w:type="dxa"/>
            <w:noWrap/>
            <w:vAlign w:val="center"/>
            <w:hideMark/>
          </w:tcPr>
          <w:p w14:paraId="2738A0F8" w14:textId="77777777" w:rsidR="00EB71F8" w:rsidRPr="00714946" w:rsidRDefault="00EB71F8" w:rsidP="00315FCD">
            <w:pPr>
              <w:rPr>
                <w:lang w:val="en-US"/>
              </w:rPr>
            </w:pPr>
            <w:r w:rsidRPr="00714946">
              <w:rPr>
                <w:lang w:val="en-US"/>
              </w:rPr>
              <w:t>PROG4</w:t>
            </w:r>
          </w:p>
        </w:tc>
        <w:tc>
          <w:tcPr>
            <w:tcW w:w="1278" w:type="dxa"/>
            <w:noWrap/>
            <w:vAlign w:val="center"/>
          </w:tcPr>
          <w:p w14:paraId="42840B6E" w14:textId="77777777" w:rsidR="00EB71F8" w:rsidRPr="00714946" w:rsidRDefault="00EB71F8" w:rsidP="00315FCD">
            <w:pPr>
              <w:jc w:val="center"/>
              <w:rPr>
                <w:lang w:val="en-US"/>
              </w:rPr>
            </w:pPr>
            <w:r w:rsidRPr="00714946">
              <w:rPr>
                <w:lang w:val="en-US"/>
              </w:rPr>
              <w:t>0.593</w:t>
            </w:r>
          </w:p>
        </w:tc>
        <w:tc>
          <w:tcPr>
            <w:tcW w:w="1132" w:type="dxa"/>
            <w:noWrap/>
            <w:vAlign w:val="center"/>
          </w:tcPr>
          <w:p w14:paraId="5EB763C9" w14:textId="77777777" w:rsidR="00EB71F8" w:rsidRPr="00714946" w:rsidRDefault="00EB71F8" w:rsidP="00315FCD">
            <w:pPr>
              <w:jc w:val="center"/>
              <w:rPr>
                <w:b/>
                <w:lang w:val="en-US"/>
              </w:rPr>
            </w:pPr>
            <w:r w:rsidRPr="00714946">
              <w:rPr>
                <w:b/>
                <w:lang w:val="en-US"/>
              </w:rPr>
              <w:t>0.865***</w:t>
            </w:r>
          </w:p>
        </w:tc>
        <w:tc>
          <w:tcPr>
            <w:tcW w:w="1136" w:type="dxa"/>
            <w:vAlign w:val="center"/>
          </w:tcPr>
          <w:p w14:paraId="3C7BF448" w14:textId="77777777" w:rsidR="00EB71F8" w:rsidRPr="00D41B01" w:rsidRDefault="00EB71F8" w:rsidP="00315FCD">
            <w:pPr>
              <w:jc w:val="center"/>
              <w:rPr>
                <w:lang w:val="en-US"/>
              </w:rPr>
            </w:pPr>
            <w:r w:rsidRPr="00D41B01">
              <w:rPr>
                <w:lang w:val="en-US"/>
              </w:rPr>
              <w:t>0.376</w:t>
            </w:r>
          </w:p>
        </w:tc>
      </w:tr>
      <w:tr w:rsidR="00EB71F8" w:rsidRPr="00E333B4" w14:paraId="002AE7E3" w14:textId="77777777" w:rsidTr="00315FCD">
        <w:trPr>
          <w:trHeight w:val="506"/>
          <w:jc w:val="center"/>
        </w:trPr>
        <w:tc>
          <w:tcPr>
            <w:tcW w:w="1098" w:type="dxa"/>
            <w:noWrap/>
            <w:vAlign w:val="center"/>
          </w:tcPr>
          <w:p w14:paraId="7E97B427" w14:textId="77777777" w:rsidR="00EB71F8" w:rsidRPr="00714946" w:rsidRDefault="00EB71F8" w:rsidP="00315FCD">
            <w:pPr>
              <w:rPr>
                <w:lang w:val="en-US"/>
              </w:rPr>
            </w:pPr>
            <w:r w:rsidRPr="00714946">
              <w:rPr>
                <w:lang w:val="en-US"/>
              </w:rPr>
              <w:t>PRAX1</w:t>
            </w:r>
          </w:p>
        </w:tc>
        <w:tc>
          <w:tcPr>
            <w:tcW w:w="1278" w:type="dxa"/>
            <w:noWrap/>
            <w:vAlign w:val="center"/>
          </w:tcPr>
          <w:p w14:paraId="1CE746DD" w14:textId="77777777" w:rsidR="00EB71F8" w:rsidRPr="00D41B01" w:rsidRDefault="00EB71F8" w:rsidP="00315FCD">
            <w:pPr>
              <w:jc w:val="center"/>
              <w:rPr>
                <w:lang w:val="en-US"/>
              </w:rPr>
            </w:pPr>
            <w:r w:rsidRPr="00D41B01">
              <w:rPr>
                <w:lang w:val="en-US"/>
              </w:rPr>
              <w:t>0.451</w:t>
            </w:r>
          </w:p>
        </w:tc>
        <w:tc>
          <w:tcPr>
            <w:tcW w:w="1132" w:type="dxa"/>
            <w:noWrap/>
            <w:vAlign w:val="center"/>
          </w:tcPr>
          <w:p w14:paraId="6F964826" w14:textId="77777777" w:rsidR="00EB71F8" w:rsidRPr="00D41B01" w:rsidRDefault="00EB71F8" w:rsidP="00315FCD">
            <w:pPr>
              <w:jc w:val="center"/>
              <w:rPr>
                <w:lang w:val="en-US"/>
              </w:rPr>
            </w:pPr>
            <w:r w:rsidRPr="00D41B01">
              <w:rPr>
                <w:lang w:val="en-US"/>
              </w:rPr>
              <w:t>0.286</w:t>
            </w:r>
          </w:p>
        </w:tc>
        <w:tc>
          <w:tcPr>
            <w:tcW w:w="1136" w:type="dxa"/>
            <w:vAlign w:val="center"/>
          </w:tcPr>
          <w:p w14:paraId="735ADF06" w14:textId="77777777" w:rsidR="00EB71F8" w:rsidRPr="00714946" w:rsidRDefault="00EB71F8" w:rsidP="00315FCD">
            <w:pPr>
              <w:jc w:val="center"/>
              <w:rPr>
                <w:b/>
                <w:lang w:val="en-US"/>
              </w:rPr>
            </w:pPr>
            <w:r w:rsidRPr="00714946">
              <w:rPr>
                <w:b/>
                <w:lang w:val="en-US"/>
              </w:rPr>
              <w:t>0.827***</w:t>
            </w:r>
          </w:p>
        </w:tc>
      </w:tr>
      <w:tr w:rsidR="00EB71F8" w:rsidRPr="00E333B4" w14:paraId="10C093D8" w14:textId="77777777" w:rsidTr="00315FCD">
        <w:trPr>
          <w:trHeight w:val="506"/>
          <w:jc w:val="center"/>
        </w:trPr>
        <w:tc>
          <w:tcPr>
            <w:tcW w:w="1098" w:type="dxa"/>
            <w:noWrap/>
            <w:vAlign w:val="center"/>
          </w:tcPr>
          <w:p w14:paraId="090EA8F0" w14:textId="77777777" w:rsidR="00EB71F8" w:rsidRPr="00714946" w:rsidRDefault="00EB71F8" w:rsidP="00315FCD">
            <w:pPr>
              <w:rPr>
                <w:lang w:val="en-US"/>
              </w:rPr>
            </w:pPr>
            <w:r w:rsidRPr="00714946">
              <w:rPr>
                <w:lang w:val="en-US"/>
              </w:rPr>
              <w:t>PRAX2</w:t>
            </w:r>
          </w:p>
        </w:tc>
        <w:tc>
          <w:tcPr>
            <w:tcW w:w="1278" w:type="dxa"/>
            <w:noWrap/>
            <w:vAlign w:val="center"/>
          </w:tcPr>
          <w:p w14:paraId="1273BEE2" w14:textId="77777777" w:rsidR="00EB71F8" w:rsidRPr="00D41B01" w:rsidRDefault="00EB71F8" w:rsidP="00315FCD">
            <w:pPr>
              <w:jc w:val="center"/>
              <w:rPr>
                <w:lang w:val="en-US"/>
              </w:rPr>
            </w:pPr>
            <w:r w:rsidRPr="00D41B01">
              <w:rPr>
                <w:lang w:val="en-US"/>
              </w:rPr>
              <w:t>0.362</w:t>
            </w:r>
          </w:p>
        </w:tc>
        <w:tc>
          <w:tcPr>
            <w:tcW w:w="1132" w:type="dxa"/>
            <w:noWrap/>
            <w:vAlign w:val="center"/>
          </w:tcPr>
          <w:p w14:paraId="7D6E8EB9" w14:textId="77777777" w:rsidR="00EB71F8" w:rsidRPr="00D41B01" w:rsidRDefault="00EB71F8" w:rsidP="00315FCD">
            <w:pPr>
              <w:jc w:val="center"/>
              <w:rPr>
                <w:lang w:val="en-US"/>
              </w:rPr>
            </w:pPr>
            <w:r w:rsidRPr="00D41B01">
              <w:rPr>
                <w:lang w:val="en-US"/>
              </w:rPr>
              <w:t>0.331</w:t>
            </w:r>
          </w:p>
        </w:tc>
        <w:tc>
          <w:tcPr>
            <w:tcW w:w="1136" w:type="dxa"/>
            <w:vAlign w:val="center"/>
          </w:tcPr>
          <w:p w14:paraId="15664DBA" w14:textId="77777777" w:rsidR="00EB71F8" w:rsidRPr="00714946" w:rsidRDefault="00EB71F8" w:rsidP="00315FCD">
            <w:pPr>
              <w:jc w:val="center"/>
              <w:rPr>
                <w:b/>
                <w:lang w:val="en-US"/>
              </w:rPr>
            </w:pPr>
            <w:r w:rsidRPr="00714946">
              <w:rPr>
                <w:b/>
                <w:lang w:val="en-US"/>
              </w:rPr>
              <w:t>0.725***</w:t>
            </w:r>
          </w:p>
        </w:tc>
      </w:tr>
      <w:tr w:rsidR="00EB71F8" w:rsidRPr="00E333B4" w14:paraId="6C299A75" w14:textId="77777777" w:rsidTr="00315FCD">
        <w:trPr>
          <w:trHeight w:val="506"/>
          <w:jc w:val="center"/>
        </w:trPr>
        <w:tc>
          <w:tcPr>
            <w:tcW w:w="1098" w:type="dxa"/>
            <w:noWrap/>
            <w:vAlign w:val="center"/>
          </w:tcPr>
          <w:p w14:paraId="46F46C95" w14:textId="77777777" w:rsidR="00EB71F8" w:rsidRPr="00714946" w:rsidRDefault="00EB71F8" w:rsidP="00315FCD">
            <w:pPr>
              <w:rPr>
                <w:lang w:val="en-US"/>
              </w:rPr>
            </w:pPr>
            <w:r w:rsidRPr="00714946">
              <w:rPr>
                <w:lang w:val="en-US"/>
              </w:rPr>
              <w:t>PRAX3</w:t>
            </w:r>
          </w:p>
        </w:tc>
        <w:tc>
          <w:tcPr>
            <w:tcW w:w="1278" w:type="dxa"/>
            <w:noWrap/>
            <w:vAlign w:val="center"/>
          </w:tcPr>
          <w:p w14:paraId="29F662ED" w14:textId="77777777" w:rsidR="00EB71F8" w:rsidRPr="00D41B01" w:rsidRDefault="00EB71F8" w:rsidP="00315FCD">
            <w:pPr>
              <w:jc w:val="center"/>
              <w:rPr>
                <w:lang w:val="en-US"/>
              </w:rPr>
            </w:pPr>
            <w:r w:rsidRPr="00D41B01">
              <w:rPr>
                <w:lang w:val="en-US"/>
              </w:rPr>
              <w:t>0.426</w:t>
            </w:r>
          </w:p>
        </w:tc>
        <w:tc>
          <w:tcPr>
            <w:tcW w:w="1132" w:type="dxa"/>
            <w:noWrap/>
            <w:vAlign w:val="center"/>
          </w:tcPr>
          <w:p w14:paraId="6C3DECEB" w14:textId="77777777" w:rsidR="00EB71F8" w:rsidRPr="00D41B01" w:rsidRDefault="00EB71F8" w:rsidP="00315FCD">
            <w:pPr>
              <w:jc w:val="center"/>
              <w:rPr>
                <w:lang w:val="en-US"/>
              </w:rPr>
            </w:pPr>
            <w:r w:rsidRPr="00D41B01">
              <w:rPr>
                <w:lang w:val="en-US"/>
              </w:rPr>
              <w:t>0.230</w:t>
            </w:r>
          </w:p>
        </w:tc>
        <w:tc>
          <w:tcPr>
            <w:tcW w:w="1136" w:type="dxa"/>
            <w:vAlign w:val="center"/>
          </w:tcPr>
          <w:p w14:paraId="1EB6F6DF" w14:textId="77777777" w:rsidR="00EB71F8" w:rsidRPr="00714946" w:rsidRDefault="00EB71F8" w:rsidP="00315FCD">
            <w:pPr>
              <w:jc w:val="center"/>
              <w:rPr>
                <w:b/>
                <w:lang w:val="en-US"/>
              </w:rPr>
            </w:pPr>
            <w:r w:rsidRPr="00714946">
              <w:rPr>
                <w:b/>
                <w:lang w:val="en-US"/>
              </w:rPr>
              <w:t>0.755***</w:t>
            </w:r>
          </w:p>
        </w:tc>
      </w:tr>
      <w:tr w:rsidR="00EB71F8" w:rsidRPr="00E333B4" w14:paraId="77872BC8" w14:textId="77777777" w:rsidTr="00315FCD">
        <w:trPr>
          <w:trHeight w:val="506"/>
          <w:jc w:val="center"/>
        </w:trPr>
        <w:tc>
          <w:tcPr>
            <w:tcW w:w="1098" w:type="dxa"/>
            <w:noWrap/>
            <w:vAlign w:val="center"/>
          </w:tcPr>
          <w:p w14:paraId="1317655B" w14:textId="77777777" w:rsidR="00EB71F8" w:rsidRPr="00714946" w:rsidRDefault="00EB71F8" w:rsidP="00315FCD">
            <w:pPr>
              <w:rPr>
                <w:lang w:val="en-US"/>
              </w:rPr>
            </w:pPr>
            <w:r w:rsidRPr="00714946">
              <w:rPr>
                <w:lang w:val="en-US"/>
              </w:rPr>
              <w:t>PRAX4</w:t>
            </w:r>
          </w:p>
        </w:tc>
        <w:tc>
          <w:tcPr>
            <w:tcW w:w="1278" w:type="dxa"/>
            <w:noWrap/>
            <w:vAlign w:val="center"/>
          </w:tcPr>
          <w:p w14:paraId="03980870" w14:textId="77777777" w:rsidR="00EB71F8" w:rsidRPr="00D41B01" w:rsidRDefault="00EB71F8" w:rsidP="00315FCD">
            <w:pPr>
              <w:jc w:val="center"/>
              <w:rPr>
                <w:lang w:val="en-US"/>
              </w:rPr>
            </w:pPr>
            <w:r w:rsidRPr="00D41B01">
              <w:rPr>
                <w:lang w:val="en-US"/>
              </w:rPr>
              <w:t>0.595</w:t>
            </w:r>
          </w:p>
        </w:tc>
        <w:tc>
          <w:tcPr>
            <w:tcW w:w="1132" w:type="dxa"/>
            <w:noWrap/>
            <w:vAlign w:val="center"/>
          </w:tcPr>
          <w:p w14:paraId="7A8862E3" w14:textId="77777777" w:rsidR="00EB71F8" w:rsidRPr="00D41B01" w:rsidRDefault="00EB71F8" w:rsidP="00315FCD">
            <w:pPr>
              <w:jc w:val="center"/>
              <w:rPr>
                <w:lang w:val="en-US"/>
              </w:rPr>
            </w:pPr>
            <w:r w:rsidRPr="00D41B01">
              <w:rPr>
                <w:lang w:val="en-US"/>
              </w:rPr>
              <w:t>0.307</w:t>
            </w:r>
          </w:p>
        </w:tc>
        <w:tc>
          <w:tcPr>
            <w:tcW w:w="1136" w:type="dxa"/>
            <w:vAlign w:val="center"/>
          </w:tcPr>
          <w:p w14:paraId="5D469320" w14:textId="77777777" w:rsidR="00EB71F8" w:rsidRPr="00714946" w:rsidRDefault="00EB71F8" w:rsidP="00315FCD">
            <w:pPr>
              <w:jc w:val="center"/>
              <w:rPr>
                <w:b/>
                <w:lang w:val="en-US"/>
              </w:rPr>
            </w:pPr>
            <w:r w:rsidRPr="00714946">
              <w:rPr>
                <w:b/>
                <w:lang w:val="en-US"/>
              </w:rPr>
              <w:t>0.734***</w:t>
            </w:r>
          </w:p>
        </w:tc>
      </w:tr>
    </w:tbl>
    <w:p w14:paraId="17A78CD9" w14:textId="77777777" w:rsidR="00EB71F8" w:rsidRDefault="00EB71F8" w:rsidP="00EB71F8">
      <w:pPr>
        <w:spacing w:line="480" w:lineRule="auto"/>
        <w:jc w:val="center"/>
        <w:rPr>
          <w:color w:val="333333"/>
          <w:lang w:val="en-US"/>
        </w:rPr>
      </w:pPr>
    </w:p>
    <w:p w14:paraId="11D3179C" w14:textId="77777777" w:rsidR="00EB71F8" w:rsidRDefault="00EB71F8" w:rsidP="00EB71F8">
      <w:pPr>
        <w:jc w:val="center"/>
        <w:rPr>
          <w:color w:val="000000"/>
          <w:lang w:val="en-US"/>
        </w:rPr>
      </w:pPr>
      <w:r w:rsidRPr="00F50AB5">
        <w:rPr>
          <w:color w:val="333333"/>
          <w:lang w:val="en-US"/>
        </w:rPr>
        <w:t xml:space="preserve">Table </w:t>
      </w:r>
      <w:r>
        <w:rPr>
          <w:color w:val="333333"/>
          <w:lang w:val="en-US"/>
        </w:rPr>
        <w:t>XI</w:t>
      </w:r>
      <w:r w:rsidRPr="00F50AB5">
        <w:rPr>
          <w:color w:val="333333"/>
          <w:lang w:val="en-US"/>
        </w:rPr>
        <w:t xml:space="preserve">: </w:t>
      </w:r>
      <w:r w:rsidRPr="00FF3563">
        <w:rPr>
          <w:color w:val="000000"/>
          <w:lang w:val="en-US"/>
        </w:rPr>
        <w:t>Correlations and square roots of AVE on the diagonal</w:t>
      </w:r>
      <w:r>
        <w:rPr>
          <w:color w:val="000000"/>
          <w:lang w:val="en-US"/>
        </w:rPr>
        <w:t xml:space="preserve"> and HTMT ratios</w:t>
      </w:r>
    </w:p>
    <w:p w14:paraId="6A3D66AE" w14:textId="77777777" w:rsidR="00EB71F8" w:rsidRPr="00F50AB5" w:rsidRDefault="00EB71F8" w:rsidP="00EB71F8">
      <w:pPr>
        <w:jc w:val="center"/>
        <w:rPr>
          <w:lang w:val="en-GB" w:eastAsia="en-GB"/>
        </w:rPr>
      </w:pPr>
    </w:p>
    <w:tbl>
      <w:tblPr>
        <w:tblW w:w="5893" w:type="dxa"/>
        <w:jc w:val="center"/>
        <w:tblLayout w:type="fixed"/>
        <w:tblCellMar>
          <w:left w:w="70" w:type="dxa"/>
          <w:right w:w="70" w:type="dxa"/>
        </w:tblCellMar>
        <w:tblLook w:val="04A0" w:firstRow="1" w:lastRow="0" w:firstColumn="1" w:lastColumn="0" w:noHBand="0" w:noVBand="1"/>
      </w:tblPr>
      <w:tblGrid>
        <w:gridCol w:w="1074"/>
        <w:gridCol w:w="963"/>
        <w:gridCol w:w="964"/>
        <w:gridCol w:w="1050"/>
        <w:gridCol w:w="878"/>
        <w:gridCol w:w="964"/>
      </w:tblGrid>
      <w:tr w:rsidR="00EB71F8" w:rsidRPr="00FF3563" w14:paraId="2EF54607" w14:textId="77777777" w:rsidTr="00315FCD">
        <w:trPr>
          <w:trHeight w:val="528"/>
          <w:jc w:val="center"/>
        </w:trPr>
        <w:tc>
          <w:tcPr>
            <w:tcW w:w="1074" w:type="dxa"/>
            <w:vMerge w:val="restart"/>
            <w:tcBorders>
              <w:top w:val="single" w:sz="4" w:space="0" w:color="auto"/>
              <w:left w:val="single" w:sz="4" w:space="0" w:color="auto"/>
              <w:right w:val="single" w:sz="4" w:space="0" w:color="auto"/>
            </w:tcBorders>
            <w:shd w:val="clear" w:color="auto" w:fill="auto"/>
            <w:noWrap/>
            <w:vAlign w:val="center"/>
            <w:hideMark/>
          </w:tcPr>
          <w:p w14:paraId="50990517" w14:textId="77777777" w:rsidR="00EB71F8" w:rsidRPr="00FF3563" w:rsidRDefault="00EB71F8" w:rsidP="00315FCD">
            <w:pPr>
              <w:rPr>
                <w:color w:val="000000"/>
                <w:lang w:val="en-GB"/>
              </w:rPr>
            </w:pPr>
          </w:p>
        </w:tc>
        <w:tc>
          <w:tcPr>
            <w:tcW w:w="297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9652211" w14:textId="77777777" w:rsidR="00EB71F8" w:rsidRPr="00FF3563" w:rsidRDefault="00EB71F8" w:rsidP="00315FCD">
            <w:pPr>
              <w:jc w:val="center"/>
              <w:rPr>
                <w:color w:val="000000"/>
                <w:lang w:val="en-US"/>
              </w:rPr>
            </w:pPr>
            <w:r w:rsidRPr="00FF3563">
              <w:rPr>
                <w:color w:val="000000"/>
                <w:lang w:val="en-US"/>
              </w:rPr>
              <w:t>Correlations and square roots of AVE on the diagonal</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14:paraId="57D8B06E" w14:textId="77777777" w:rsidR="00EB71F8" w:rsidRPr="00FF3563" w:rsidRDefault="00EB71F8" w:rsidP="00315FCD">
            <w:pPr>
              <w:jc w:val="center"/>
              <w:rPr>
                <w:color w:val="000000"/>
              </w:rPr>
            </w:pPr>
            <w:r w:rsidRPr="00FF3563">
              <w:rPr>
                <w:color w:val="000000"/>
                <w:lang w:val="en-US"/>
              </w:rPr>
              <w:t>HTMT ratios</w:t>
            </w:r>
          </w:p>
        </w:tc>
      </w:tr>
      <w:tr w:rsidR="00EB71F8" w:rsidRPr="00FF3563" w14:paraId="014830FF" w14:textId="77777777" w:rsidTr="00315FCD">
        <w:trPr>
          <w:trHeight w:val="492"/>
          <w:jc w:val="center"/>
        </w:trPr>
        <w:tc>
          <w:tcPr>
            <w:tcW w:w="1074" w:type="dxa"/>
            <w:vMerge/>
            <w:tcBorders>
              <w:left w:val="single" w:sz="4" w:space="0" w:color="auto"/>
              <w:bottom w:val="single" w:sz="4" w:space="0" w:color="auto"/>
              <w:right w:val="single" w:sz="4" w:space="0" w:color="auto"/>
            </w:tcBorders>
            <w:shd w:val="clear" w:color="auto" w:fill="auto"/>
            <w:vAlign w:val="center"/>
            <w:hideMark/>
          </w:tcPr>
          <w:p w14:paraId="128C3AC2" w14:textId="77777777" w:rsidR="00EB71F8" w:rsidRPr="00FF3563" w:rsidRDefault="00EB71F8" w:rsidP="00315FCD">
            <w:pPr>
              <w:rPr>
                <w:color w:val="000000"/>
              </w:rPr>
            </w:pPr>
          </w:p>
        </w:tc>
        <w:tc>
          <w:tcPr>
            <w:tcW w:w="963" w:type="dxa"/>
            <w:tcBorders>
              <w:top w:val="nil"/>
              <w:left w:val="single" w:sz="4" w:space="0" w:color="auto"/>
              <w:bottom w:val="single" w:sz="4" w:space="0" w:color="auto"/>
              <w:right w:val="nil"/>
            </w:tcBorders>
            <w:shd w:val="clear" w:color="auto" w:fill="auto"/>
            <w:vAlign w:val="center"/>
            <w:hideMark/>
          </w:tcPr>
          <w:p w14:paraId="28B6F181" w14:textId="77777777" w:rsidR="00EB71F8" w:rsidRPr="00FF3563" w:rsidRDefault="00EB71F8" w:rsidP="00315FCD">
            <w:pPr>
              <w:jc w:val="center"/>
              <w:rPr>
                <w:color w:val="000000"/>
              </w:rPr>
            </w:pPr>
            <w:r w:rsidRPr="00FF3563">
              <w:rPr>
                <w:color w:val="000000"/>
              </w:rPr>
              <w:t>INT</w:t>
            </w:r>
          </w:p>
        </w:tc>
        <w:tc>
          <w:tcPr>
            <w:tcW w:w="964" w:type="dxa"/>
            <w:tcBorders>
              <w:top w:val="nil"/>
              <w:left w:val="nil"/>
              <w:bottom w:val="single" w:sz="4" w:space="0" w:color="auto"/>
              <w:right w:val="nil"/>
            </w:tcBorders>
            <w:shd w:val="clear" w:color="auto" w:fill="auto"/>
            <w:vAlign w:val="center"/>
            <w:hideMark/>
          </w:tcPr>
          <w:p w14:paraId="0D5BB137" w14:textId="77777777" w:rsidR="00EB71F8" w:rsidRPr="00FF3563" w:rsidRDefault="00EB71F8" w:rsidP="00315FCD">
            <w:pPr>
              <w:jc w:val="center"/>
              <w:rPr>
                <w:color w:val="000000"/>
              </w:rPr>
            </w:pPr>
            <w:r w:rsidRPr="00FF3563">
              <w:rPr>
                <w:color w:val="000000"/>
              </w:rPr>
              <w:t>PRAX</w:t>
            </w:r>
          </w:p>
        </w:tc>
        <w:tc>
          <w:tcPr>
            <w:tcW w:w="1050" w:type="dxa"/>
            <w:tcBorders>
              <w:top w:val="nil"/>
              <w:left w:val="nil"/>
              <w:bottom w:val="single" w:sz="4" w:space="0" w:color="auto"/>
              <w:right w:val="single" w:sz="4" w:space="0" w:color="auto"/>
            </w:tcBorders>
            <w:shd w:val="clear" w:color="auto" w:fill="auto"/>
            <w:vAlign w:val="center"/>
            <w:hideMark/>
          </w:tcPr>
          <w:p w14:paraId="11AA4C2C" w14:textId="77777777" w:rsidR="00EB71F8" w:rsidRPr="00FF3563" w:rsidRDefault="00EB71F8" w:rsidP="00315FCD">
            <w:pPr>
              <w:jc w:val="center"/>
              <w:rPr>
                <w:color w:val="000000"/>
              </w:rPr>
            </w:pPr>
            <w:r w:rsidRPr="00FF3563">
              <w:rPr>
                <w:color w:val="000000"/>
              </w:rPr>
              <w:t>PROG</w:t>
            </w:r>
          </w:p>
        </w:tc>
        <w:tc>
          <w:tcPr>
            <w:tcW w:w="878" w:type="dxa"/>
            <w:tcBorders>
              <w:top w:val="nil"/>
              <w:left w:val="nil"/>
              <w:bottom w:val="single" w:sz="4" w:space="0" w:color="auto"/>
              <w:right w:val="nil"/>
            </w:tcBorders>
            <w:shd w:val="clear" w:color="auto" w:fill="auto"/>
            <w:vAlign w:val="center"/>
            <w:hideMark/>
          </w:tcPr>
          <w:p w14:paraId="4D38E882" w14:textId="77777777" w:rsidR="00EB71F8" w:rsidRPr="00FF3563" w:rsidRDefault="00EB71F8" w:rsidP="00315FCD">
            <w:pPr>
              <w:jc w:val="center"/>
              <w:rPr>
                <w:color w:val="000000"/>
              </w:rPr>
            </w:pPr>
            <w:r w:rsidRPr="00FF3563">
              <w:rPr>
                <w:color w:val="000000"/>
              </w:rPr>
              <w:t>INT</w:t>
            </w:r>
          </w:p>
        </w:tc>
        <w:tc>
          <w:tcPr>
            <w:tcW w:w="964" w:type="dxa"/>
            <w:tcBorders>
              <w:top w:val="nil"/>
              <w:left w:val="nil"/>
              <w:bottom w:val="single" w:sz="4" w:space="0" w:color="auto"/>
              <w:right w:val="single" w:sz="4" w:space="0" w:color="auto"/>
            </w:tcBorders>
            <w:shd w:val="clear" w:color="auto" w:fill="auto"/>
            <w:vAlign w:val="center"/>
            <w:hideMark/>
          </w:tcPr>
          <w:p w14:paraId="1B3CA9BB" w14:textId="77777777" w:rsidR="00EB71F8" w:rsidRPr="00FF3563" w:rsidRDefault="00EB71F8" w:rsidP="00315FCD">
            <w:pPr>
              <w:jc w:val="center"/>
              <w:rPr>
                <w:color w:val="000000"/>
              </w:rPr>
            </w:pPr>
            <w:r w:rsidRPr="00FF3563">
              <w:rPr>
                <w:color w:val="000000"/>
              </w:rPr>
              <w:t>PRAX</w:t>
            </w:r>
          </w:p>
        </w:tc>
      </w:tr>
      <w:tr w:rsidR="00EB71F8" w:rsidRPr="00FF3563" w14:paraId="69102F46" w14:textId="77777777" w:rsidTr="00315FCD">
        <w:trPr>
          <w:trHeight w:val="413"/>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C53BE" w14:textId="77777777" w:rsidR="00EB71F8" w:rsidRPr="00FF3563" w:rsidRDefault="00EB71F8" w:rsidP="00315FCD">
            <w:pPr>
              <w:rPr>
                <w:color w:val="000000"/>
              </w:rPr>
            </w:pPr>
            <w:r w:rsidRPr="00FF3563">
              <w:rPr>
                <w:color w:val="000000"/>
                <w:lang w:val="en-US"/>
              </w:rPr>
              <w:t>INT</w:t>
            </w:r>
          </w:p>
        </w:tc>
        <w:tc>
          <w:tcPr>
            <w:tcW w:w="963" w:type="dxa"/>
            <w:tcBorders>
              <w:top w:val="single" w:sz="4" w:space="0" w:color="auto"/>
              <w:left w:val="single" w:sz="4" w:space="0" w:color="auto"/>
              <w:bottom w:val="single" w:sz="4" w:space="0" w:color="auto"/>
              <w:right w:val="nil"/>
            </w:tcBorders>
            <w:shd w:val="clear" w:color="auto" w:fill="auto"/>
            <w:noWrap/>
            <w:vAlign w:val="bottom"/>
            <w:hideMark/>
          </w:tcPr>
          <w:p w14:paraId="27758734" w14:textId="77777777" w:rsidR="00EB71F8" w:rsidRPr="00E5074A" w:rsidRDefault="00EB71F8" w:rsidP="00315FCD">
            <w:pPr>
              <w:jc w:val="center"/>
              <w:rPr>
                <w:color w:val="000000"/>
              </w:rPr>
            </w:pPr>
            <w:r w:rsidRPr="00E5074A">
              <w:rPr>
                <w:color w:val="000000"/>
              </w:rPr>
              <w:t>0.</w:t>
            </w:r>
            <w:r>
              <w:rPr>
                <w:color w:val="000000"/>
              </w:rPr>
              <w:t>841</w:t>
            </w:r>
          </w:p>
        </w:tc>
        <w:tc>
          <w:tcPr>
            <w:tcW w:w="964" w:type="dxa"/>
            <w:tcBorders>
              <w:top w:val="single" w:sz="4" w:space="0" w:color="auto"/>
              <w:left w:val="nil"/>
              <w:bottom w:val="single" w:sz="4" w:space="0" w:color="auto"/>
              <w:right w:val="nil"/>
            </w:tcBorders>
            <w:shd w:val="clear" w:color="auto" w:fill="auto"/>
            <w:noWrap/>
            <w:vAlign w:val="bottom"/>
            <w:hideMark/>
          </w:tcPr>
          <w:p w14:paraId="62D09966" w14:textId="77777777" w:rsidR="00EB71F8" w:rsidRPr="00E5074A" w:rsidRDefault="00EB71F8" w:rsidP="00315FCD">
            <w:pPr>
              <w:jc w:val="center"/>
              <w:rPr>
                <w:color w:val="000000"/>
              </w:rPr>
            </w:pPr>
            <w:r w:rsidRPr="00E5074A">
              <w:rPr>
                <w:color w:val="000000"/>
              </w:rPr>
              <w:t> </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7799D124" w14:textId="77777777" w:rsidR="00EB71F8" w:rsidRPr="00E5074A" w:rsidRDefault="00EB71F8" w:rsidP="00315FCD">
            <w:pPr>
              <w:jc w:val="center"/>
              <w:rPr>
                <w:color w:val="000000"/>
              </w:rPr>
            </w:pPr>
            <w:r w:rsidRPr="00E5074A">
              <w:rPr>
                <w:color w:val="000000"/>
              </w:rPr>
              <w:t> </w:t>
            </w:r>
          </w:p>
        </w:tc>
        <w:tc>
          <w:tcPr>
            <w:tcW w:w="878" w:type="dxa"/>
            <w:tcBorders>
              <w:top w:val="single" w:sz="4" w:space="0" w:color="auto"/>
              <w:left w:val="nil"/>
              <w:bottom w:val="single" w:sz="4" w:space="0" w:color="auto"/>
              <w:right w:val="nil"/>
            </w:tcBorders>
            <w:shd w:val="clear" w:color="auto" w:fill="auto"/>
            <w:noWrap/>
            <w:vAlign w:val="center"/>
            <w:hideMark/>
          </w:tcPr>
          <w:p w14:paraId="62F95247" w14:textId="77777777" w:rsidR="00EB71F8" w:rsidRPr="00E5074A" w:rsidRDefault="00EB71F8" w:rsidP="00315FCD">
            <w:pPr>
              <w:jc w:val="center"/>
              <w:rPr>
                <w:color w:val="000000"/>
              </w:rPr>
            </w:pP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14:paraId="11D665E8" w14:textId="77777777" w:rsidR="00EB71F8" w:rsidRPr="00E5074A" w:rsidRDefault="00EB71F8" w:rsidP="00315FCD">
            <w:pPr>
              <w:jc w:val="center"/>
              <w:rPr>
                <w:color w:val="000000"/>
              </w:rPr>
            </w:pPr>
          </w:p>
        </w:tc>
      </w:tr>
      <w:tr w:rsidR="00EB71F8" w:rsidRPr="00FF3563" w14:paraId="6D7777D5" w14:textId="77777777" w:rsidTr="00315FCD">
        <w:trPr>
          <w:trHeight w:val="390"/>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280E6" w14:textId="77777777" w:rsidR="00EB71F8" w:rsidRPr="00FF3563" w:rsidRDefault="00EB71F8" w:rsidP="00315FCD">
            <w:pPr>
              <w:rPr>
                <w:color w:val="000000"/>
              </w:rPr>
            </w:pPr>
            <w:r w:rsidRPr="00FF3563">
              <w:rPr>
                <w:color w:val="000000"/>
              </w:rPr>
              <w:t>PRAX</w:t>
            </w:r>
          </w:p>
        </w:tc>
        <w:tc>
          <w:tcPr>
            <w:tcW w:w="963" w:type="dxa"/>
            <w:tcBorders>
              <w:top w:val="single" w:sz="4" w:space="0" w:color="auto"/>
              <w:left w:val="single" w:sz="4" w:space="0" w:color="auto"/>
              <w:bottom w:val="single" w:sz="4" w:space="0" w:color="auto"/>
              <w:right w:val="nil"/>
            </w:tcBorders>
            <w:shd w:val="clear" w:color="auto" w:fill="auto"/>
            <w:noWrap/>
            <w:vAlign w:val="bottom"/>
            <w:hideMark/>
          </w:tcPr>
          <w:p w14:paraId="6E47C3AE" w14:textId="77777777" w:rsidR="00EB71F8" w:rsidRPr="00E5074A" w:rsidRDefault="00EB71F8" w:rsidP="00315FCD">
            <w:pPr>
              <w:jc w:val="center"/>
              <w:rPr>
                <w:color w:val="000000"/>
              </w:rPr>
            </w:pPr>
            <w:r w:rsidRPr="00E5074A">
              <w:rPr>
                <w:color w:val="000000"/>
              </w:rPr>
              <w:t>0.</w:t>
            </w:r>
            <w:r>
              <w:rPr>
                <w:color w:val="000000"/>
              </w:rPr>
              <w:t>610</w:t>
            </w:r>
          </w:p>
        </w:tc>
        <w:tc>
          <w:tcPr>
            <w:tcW w:w="964" w:type="dxa"/>
            <w:tcBorders>
              <w:top w:val="single" w:sz="4" w:space="0" w:color="auto"/>
              <w:left w:val="nil"/>
              <w:bottom w:val="single" w:sz="4" w:space="0" w:color="auto"/>
              <w:right w:val="nil"/>
            </w:tcBorders>
            <w:shd w:val="clear" w:color="auto" w:fill="auto"/>
            <w:noWrap/>
            <w:vAlign w:val="bottom"/>
            <w:hideMark/>
          </w:tcPr>
          <w:p w14:paraId="522AD907" w14:textId="77777777" w:rsidR="00EB71F8" w:rsidRPr="00E5074A" w:rsidRDefault="00EB71F8" w:rsidP="00315FCD">
            <w:pPr>
              <w:jc w:val="center"/>
              <w:rPr>
                <w:color w:val="000000"/>
              </w:rPr>
            </w:pPr>
            <w:r w:rsidRPr="00E5074A">
              <w:rPr>
                <w:color w:val="000000"/>
              </w:rPr>
              <w:t>0.76</w:t>
            </w:r>
            <w:r>
              <w:rPr>
                <w:color w:val="000000"/>
              </w:rPr>
              <w:t>1</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50D4D442" w14:textId="77777777" w:rsidR="00EB71F8" w:rsidRPr="00E5074A" w:rsidRDefault="00EB71F8" w:rsidP="00315FCD">
            <w:pPr>
              <w:jc w:val="center"/>
              <w:rPr>
                <w:color w:val="000000"/>
              </w:rPr>
            </w:pPr>
            <w:r w:rsidRPr="00E5074A">
              <w:rPr>
                <w:color w:val="000000"/>
              </w:rPr>
              <w:t> </w:t>
            </w:r>
          </w:p>
        </w:tc>
        <w:tc>
          <w:tcPr>
            <w:tcW w:w="878" w:type="dxa"/>
            <w:tcBorders>
              <w:top w:val="single" w:sz="4" w:space="0" w:color="auto"/>
              <w:left w:val="nil"/>
              <w:bottom w:val="single" w:sz="4" w:space="0" w:color="auto"/>
              <w:right w:val="nil"/>
            </w:tcBorders>
            <w:shd w:val="clear" w:color="auto" w:fill="auto"/>
            <w:noWrap/>
            <w:vAlign w:val="bottom"/>
            <w:hideMark/>
          </w:tcPr>
          <w:p w14:paraId="0FDFC557" w14:textId="77777777" w:rsidR="00EB71F8" w:rsidRPr="00E5074A" w:rsidRDefault="00EB71F8" w:rsidP="00315FCD">
            <w:pPr>
              <w:jc w:val="center"/>
              <w:rPr>
                <w:color w:val="000000"/>
              </w:rPr>
            </w:pPr>
            <w:r w:rsidRPr="00E5074A">
              <w:rPr>
                <w:color w:val="000000"/>
              </w:rPr>
              <w:t>0.</w:t>
            </w:r>
            <w:r>
              <w:rPr>
                <w:color w:val="000000"/>
              </w:rPr>
              <w:t>77</w:t>
            </w:r>
            <w:r w:rsidRPr="00E5074A">
              <w:rPr>
                <w:color w:val="000000"/>
              </w:rPr>
              <w:t>8</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14:paraId="16A25A86" w14:textId="77777777" w:rsidR="00EB71F8" w:rsidRPr="00E5074A" w:rsidRDefault="00EB71F8" w:rsidP="00315FCD">
            <w:pPr>
              <w:jc w:val="center"/>
              <w:rPr>
                <w:color w:val="000000"/>
              </w:rPr>
            </w:pPr>
            <w:r w:rsidRPr="00E5074A">
              <w:rPr>
                <w:color w:val="000000"/>
              </w:rPr>
              <w:t> </w:t>
            </w:r>
          </w:p>
        </w:tc>
      </w:tr>
      <w:tr w:rsidR="00EB71F8" w:rsidRPr="00FF3563" w14:paraId="4F3646DE" w14:textId="77777777" w:rsidTr="00315FCD">
        <w:trPr>
          <w:trHeight w:val="440"/>
          <w:jc w:val="center"/>
        </w:trPr>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D0637" w14:textId="77777777" w:rsidR="00EB71F8" w:rsidRPr="00FF3563" w:rsidRDefault="00EB71F8" w:rsidP="00315FCD">
            <w:pPr>
              <w:rPr>
                <w:color w:val="000000"/>
              </w:rPr>
            </w:pPr>
            <w:r w:rsidRPr="00FF3563">
              <w:rPr>
                <w:color w:val="000000"/>
              </w:rPr>
              <w:t>PROG</w:t>
            </w:r>
          </w:p>
        </w:tc>
        <w:tc>
          <w:tcPr>
            <w:tcW w:w="963" w:type="dxa"/>
            <w:tcBorders>
              <w:top w:val="single" w:sz="4" w:space="0" w:color="auto"/>
              <w:left w:val="single" w:sz="4" w:space="0" w:color="auto"/>
              <w:bottom w:val="single" w:sz="4" w:space="0" w:color="auto"/>
              <w:right w:val="nil"/>
            </w:tcBorders>
            <w:shd w:val="clear" w:color="auto" w:fill="auto"/>
            <w:noWrap/>
            <w:vAlign w:val="bottom"/>
            <w:hideMark/>
          </w:tcPr>
          <w:p w14:paraId="0F242BBF" w14:textId="77777777" w:rsidR="00EB71F8" w:rsidRPr="00E5074A" w:rsidRDefault="00EB71F8" w:rsidP="00315FCD">
            <w:pPr>
              <w:jc w:val="center"/>
              <w:rPr>
                <w:color w:val="000000"/>
              </w:rPr>
            </w:pPr>
            <w:r w:rsidRPr="00E5074A">
              <w:rPr>
                <w:color w:val="000000"/>
              </w:rPr>
              <w:t>0.</w:t>
            </w:r>
            <w:r>
              <w:rPr>
                <w:color w:val="000000"/>
              </w:rPr>
              <w:t>602</w:t>
            </w:r>
          </w:p>
        </w:tc>
        <w:tc>
          <w:tcPr>
            <w:tcW w:w="964" w:type="dxa"/>
            <w:tcBorders>
              <w:top w:val="single" w:sz="4" w:space="0" w:color="auto"/>
              <w:left w:val="nil"/>
              <w:bottom w:val="single" w:sz="4" w:space="0" w:color="auto"/>
              <w:right w:val="nil"/>
            </w:tcBorders>
            <w:shd w:val="clear" w:color="auto" w:fill="auto"/>
            <w:noWrap/>
            <w:vAlign w:val="bottom"/>
            <w:hideMark/>
          </w:tcPr>
          <w:p w14:paraId="79AF07F7" w14:textId="77777777" w:rsidR="00EB71F8" w:rsidRPr="00E5074A" w:rsidRDefault="00EB71F8" w:rsidP="00315FCD">
            <w:pPr>
              <w:jc w:val="center"/>
              <w:rPr>
                <w:color w:val="000000"/>
              </w:rPr>
            </w:pPr>
            <w:r w:rsidRPr="00E5074A">
              <w:rPr>
                <w:color w:val="000000"/>
              </w:rPr>
              <w:t>0.3</w:t>
            </w:r>
            <w:r>
              <w:rPr>
                <w:color w:val="000000"/>
              </w:rPr>
              <w:t>81</w:t>
            </w:r>
          </w:p>
        </w:tc>
        <w:tc>
          <w:tcPr>
            <w:tcW w:w="1050" w:type="dxa"/>
            <w:tcBorders>
              <w:top w:val="single" w:sz="4" w:space="0" w:color="auto"/>
              <w:left w:val="nil"/>
              <w:bottom w:val="single" w:sz="4" w:space="0" w:color="auto"/>
              <w:right w:val="single" w:sz="4" w:space="0" w:color="auto"/>
            </w:tcBorders>
            <w:shd w:val="clear" w:color="auto" w:fill="auto"/>
            <w:noWrap/>
            <w:vAlign w:val="bottom"/>
            <w:hideMark/>
          </w:tcPr>
          <w:p w14:paraId="4AD176CE" w14:textId="77777777" w:rsidR="00EB71F8" w:rsidRPr="00E5074A" w:rsidRDefault="00EB71F8" w:rsidP="00315FCD">
            <w:pPr>
              <w:jc w:val="center"/>
              <w:rPr>
                <w:color w:val="000000"/>
              </w:rPr>
            </w:pPr>
            <w:r w:rsidRPr="00E5074A">
              <w:rPr>
                <w:color w:val="000000"/>
              </w:rPr>
              <w:t>0.8</w:t>
            </w:r>
            <w:r>
              <w:rPr>
                <w:color w:val="000000"/>
              </w:rPr>
              <w:t>75</w:t>
            </w:r>
          </w:p>
        </w:tc>
        <w:tc>
          <w:tcPr>
            <w:tcW w:w="878" w:type="dxa"/>
            <w:tcBorders>
              <w:top w:val="single" w:sz="4" w:space="0" w:color="auto"/>
              <w:left w:val="nil"/>
              <w:bottom w:val="single" w:sz="4" w:space="0" w:color="auto"/>
              <w:right w:val="nil"/>
            </w:tcBorders>
            <w:shd w:val="clear" w:color="auto" w:fill="auto"/>
            <w:noWrap/>
            <w:vAlign w:val="bottom"/>
            <w:hideMark/>
          </w:tcPr>
          <w:p w14:paraId="60C7A236" w14:textId="77777777" w:rsidR="00EB71F8" w:rsidRPr="00E5074A" w:rsidRDefault="00EB71F8" w:rsidP="00315FCD">
            <w:pPr>
              <w:jc w:val="center"/>
              <w:rPr>
                <w:color w:val="000000"/>
              </w:rPr>
            </w:pPr>
            <w:r w:rsidRPr="00E5074A">
              <w:rPr>
                <w:color w:val="000000"/>
              </w:rPr>
              <w:t>0.</w:t>
            </w:r>
            <w:r>
              <w:rPr>
                <w:color w:val="000000"/>
              </w:rPr>
              <w:t>706</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14:paraId="65A6E89A" w14:textId="77777777" w:rsidR="00EB71F8" w:rsidRPr="00E5074A" w:rsidRDefault="00EB71F8" w:rsidP="00315FCD">
            <w:pPr>
              <w:jc w:val="center"/>
              <w:rPr>
                <w:color w:val="000000"/>
              </w:rPr>
            </w:pPr>
            <w:r w:rsidRPr="00E5074A">
              <w:rPr>
                <w:color w:val="000000"/>
              </w:rPr>
              <w:t>0.</w:t>
            </w:r>
            <w:r>
              <w:rPr>
                <w:color w:val="000000"/>
              </w:rPr>
              <w:t>458</w:t>
            </w:r>
          </w:p>
        </w:tc>
      </w:tr>
    </w:tbl>
    <w:p w14:paraId="75CD457A" w14:textId="4E68648A" w:rsidR="00EB71F8" w:rsidRDefault="00EB71F8" w:rsidP="00483EC1">
      <w:pPr>
        <w:rPr>
          <w:lang w:val="en-US" w:eastAsia="en-GB"/>
        </w:rPr>
      </w:pPr>
    </w:p>
    <w:p w14:paraId="15E5EA10" w14:textId="305118D1" w:rsidR="00EB71F8" w:rsidRDefault="00EB71F8" w:rsidP="00483EC1">
      <w:pPr>
        <w:rPr>
          <w:lang w:val="en-US" w:eastAsia="en-GB"/>
        </w:rPr>
      </w:pPr>
    </w:p>
    <w:p w14:paraId="3DCAF595" w14:textId="77777777" w:rsidR="00EB71F8" w:rsidRPr="00714946" w:rsidRDefault="00EB71F8" w:rsidP="00EB71F8">
      <w:pPr>
        <w:spacing w:line="480" w:lineRule="auto"/>
        <w:jc w:val="center"/>
        <w:rPr>
          <w:lang w:val="en-US"/>
        </w:rPr>
      </w:pPr>
      <w:r w:rsidRPr="00D535CF">
        <w:rPr>
          <w:lang w:val="en-US"/>
        </w:rPr>
        <w:t>Table XII: Descriptive statistics and correlations among variables</w:t>
      </w:r>
    </w:p>
    <w:tbl>
      <w:tblPr>
        <w:tblStyle w:val="Grilledutableau"/>
        <w:tblW w:w="0" w:type="auto"/>
        <w:jc w:val="center"/>
        <w:tblBorders>
          <w:insideV w:val="none" w:sz="0" w:space="0" w:color="auto"/>
        </w:tblBorders>
        <w:tblLook w:val="04A0" w:firstRow="1" w:lastRow="0" w:firstColumn="1" w:lastColumn="0" w:noHBand="0" w:noVBand="1"/>
      </w:tblPr>
      <w:tblGrid>
        <w:gridCol w:w="2713"/>
        <w:gridCol w:w="844"/>
        <w:gridCol w:w="992"/>
        <w:gridCol w:w="1123"/>
        <w:gridCol w:w="956"/>
        <w:gridCol w:w="1040"/>
        <w:gridCol w:w="1116"/>
      </w:tblGrid>
      <w:tr w:rsidR="00EB71F8" w:rsidRPr="00714946" w14:paraId="372040FC" w14:textId="77777777" w:rsidTr="00315FCD">
        <w:trPr>
          <w:jc w:val="center"/>
        </w:trPr>
        <w:tc>
          <w:tcPr>
            <w:tcW w:w="2713" w:type="dxa"/>
            <w:vAlign w:val="center"/>
          </w:tcPr>
          <w:p w14:paraId="2E3C3D5B" w14:textId="77777777" w:rsidR="00EB71F8" w:rsidRPr="00714946" w:rsidRDefault="00EB71F8" w:rsidP="00315FCD">
            <w:pPr>
              <w:jc w:val="center"/>
              <w:rPr>
                <w:lang w:val="en-US"/>
              </w:rPr>
            </w:pPr>
            <w:r w:rsidRPr="00714946">
              <w:rPr>
                <w:lang w:val="en-US"/>
              </w:rPr>
              <w:t>Variables</w:t>
            </w:r>
          </w:p>
        </w:tc>
        <w:tc>
          <w:tcPr>
            <w:tcW w:w="844" w:type="dxa"/>
            <w:vAlign w:val="center"/>
          </w:tcPr>
          <w:p w14:paraId="580A98EF" w14:textId="77777777" w:rsidR="00EB71F8" w:rsidRPr="00714946" w:rsidRDefault="00EB71F8" w:rsidP="00315FCD">
            <w:pPr>
              <w:jc w:val="center"/>
              <w:rPr>
                <w:lang w:val="en-US"/>
              </w:rPr>
            </w:pPr>
            <w:r w:rsidRPr="00714946">
              <w:rPr>
                <w:lang w:val="en-US"/>
              </w:rPr>
              <w:t>Mean</w:t>
            </w:r>
          </w:p>
        </w:tc>
        <w:tc>
          <w:tcPr>
            <w:tcW w:w="992" w:type="dxa"/>
            <w:vAlign w:val="center"/>
          </w:tcPr>
          <w:p w14:paraId="2999F09A" w14:textId="77777777" w:rsidR="00EB71F8" w:rsidRPr="00714946" w:rsidRDefault="00EB71F8" w:rsidP="00315FCD">
            <w:pPr>
              <w:jc w:val="center"/>
              <w:rPr>
                <w:lang w:val="en-US"/>
              </w:rPr>
            </w:pPr>
            <w:r w:rsidRPr="00714946">
              <w:rPr>
                <w:lang w:val="en-US"/>
              </w:rPr>
              <w:t>SD</w:t>
            </w:r>
          </w:p>
        </w:tc>
        <w:tc>
          <w:tcPr>
            <w:tcW w:w="1123" w:type="dxa"/>
            <w:vAlign w:val="center"/>
          </w:tcPr>
          <w:p w14:paraId="11B00D61" w14:textId="77777777" w:rsidR="00EB71F8" w:rsidRPr="00714946" w:rsidRDefault="00EB71F8" w:rsidP="00315FCD">
            <w:pPr>
              <w:jc w:val="center"/>
              <w:rPr>
                <w:lang w:val="en-US"/>
              </w:rPr>
            </w:pPr>
            <w:r w:rsidRPr="00714946">
              <w:rPr>
                <w:lang w:val="en-US"/>
              </w:rPr>
              <w:t>1</w:t>
            </w:r>
          </w:p>
        </w:tc>
        <w:tc>
          <w:tcPr>
            <w:tcW w:w="956" w:type="dxa"/>
            <w:vAlign w:val="center"/>
          </w:tcPr>
          <w:p w14:paraId="29FDF604" w14:textId="77777777" w:rsidR="00EB71F8" w:rsidRPr="00714946" w:rsidRDefault="00EB71F8" w:rsidP="00315FCD">
            <w:pPr>
              <w:jc w:val="center"/>
              <w:rPr>
                <w:lang w:val="en-US"/>
              </w:rPr>
            </w:pPr>
            <w:r w:rsidRPr="00714946">
              <w:rPr>
                <w:lang w:val="en-US"/>
              </w:rPr>
              <w:t>2</w:t>
            </w:r>
          </w:p>
        </w:tc>
        <w:tc>
          <w:tcPr>
            <w:tcW w:w="1040" w:type="dxa"/>
            <w:vAlign w:val="center"/>
          </w:tcPr>
          <w:p w14:paraId="0ED3BEA3" w14:textId="77777777" w:rsidR="00EB71F8" w:rsidRPr="00714946" w:rsidRDefault="00EB71F8" w:rsidP="00315FCD">
            <w:pPr>
              <w:jc w:val="center"/>
              <w:rPr>
                <w:lang w:val="en-US"/>
              </w:rPr>
            </w:pPr>
            <w:r w:rsidRPr="00714946">
              <w:rPr>
                <w:lang w:val="en-US"/>
              </w:rPr>
              <w:t>3</w:t>
            </w:r>
          </w:p>
        </w:tc>
        <w:tc>
          <w:tcPr>
            <w:tcW w:w="1116" w:type="dxa"/>
          </w:tcPr>
          <w:p w14:paraId="6C453C1E" w14:textId="77777777" w:rsidR="00EB71F8" w:rsidRPr="00714946" w:rsidRDefault="00EB71F8" w:rsidP="00315FCD">
            <w:pPr>
              <w:jc w:val="center"/>
              <w:rPr>
                <w:lang w:val="en-US"/>
              </w:rPr>
            </w:pPr>
            <w:r w:rsidRPr="00714946">
              <w:rPr>
                <w:lang w:val="en-US"/>
              </w:rPr>
              <w:t>4</w:t>
            </w:r>
          </w:p>
        </w:tc>
      </w:tr>
      <w:tr w:rsidR="00EB71F8" w:rsidRPr="00714946" w14:paraId="544BF2F7" w14:textId="77777777" w:rsidTr="00315FCD">
        <w:trPr>
          <w:trHeight w:val="429"/>
          <w:jc w:val="center"/>
        </w:trPr>
        <w:tc>
          <w:tcPr>
            <w:tcW w:w="2713" w:type="dxa"/>
            <w:vAlign w:val="center"/>
          </w:tcPr>
          <w:p w14:paraId="6B69E793" w14:textId="77777777" w:rsidR="00EB71F8" w:rsidRPr="00714946" w:rsidRDefault="00EB71F8" w:rsidP="00315FCD">
            <w:pPr>
              <w:jc w:val="center"/>
              <w:rPr>
                <w:lang w:val="en-US"/>
              </w:rPr>
            </w:pPr>
            <w:r w:rsidRPr="00714946">
              <w:rPr>
                <w:lang w:val="en-US"/>
              </w:rPr>
              <w:t>Gender</w:t>
            </w:r>
          </w:p>
        </w:tc>
        <w:tc>
          <w:tcPr>
            <w:tcW w:w="844" w:type="dxa"/>
            <w:vAlign w:val="center"/>
          </w:tcPr>
          <w:p w14:paraId="58E5DF0C" w14:textId="77777777" w:rsidR="00EB71F8" w:rsidRPr="00714946" w:rsidRDefault="00EB71F8" w:rsidP="00315FCD">
            <w:pPr>
              <w:jc w:val="center"/>
              <w:rPr>
                <w:lang w:val="en-US"/>
              </w:rPr>
            </w:pPr>
            <w:r w:rsidRPr="00714946">
              <w:rPr>
                <w:lang w:val="en-US"/>
              </w:rPr>
              <w:t>1.56</w:t>
            </w:r>
          </w:p>
        </w:tc>
        <w:tc>
          <w:tcPr>
            <w:tcW w:w="992" w:type="dxa"/>
            <w:vAlign w:val="center"/>
          </w:tcPr>
          <w:p w14:paraId="05AAB7E3" w14:textId="77777777" w:rsidR="00EB71F8" w:rsidRPr="00714946" w:rsidRDefault="00EB71F8" w:rsidP="00315FCD">
            <w:pPr>
              <w:jc w:val="center"/>
              <w:rPr>
                <w:lang w:val="en-US"/>
              </w:rPr>
            </w:pPr>
            <w:r w:rsidRPr="00714946">
              <w:rPr>
                <w:lang w:val="en-US"/>
              </w:rPr>
              <w:t>0.53</w:t>
            </w:r>
          </w:p>
        </w:tc>
        <w:tc>
          <w:tcPr>
            <w:tcW w:w="1123" w:type="dxa"/>
            <w:vAlign w:val="center"/>
          </w:tcPr>
          <w:p w14:paraId="015D41DB" w14:textId="77777777" w:rsidR="00EB71F8" w:rsidRPr="00714946" w:rsidRDefault="00EB71F8" w:rsidP="00315FCD">
            <w:pPr>
              <w:jc w:val="center"/>
              <w:rPr>
                <w:lang w:val="en-US"/>
              </w:rPr>
            </w:pPr>
          </w:p>
        </w:tc>
        <w:tc>
          <w:tcPr>
            <w:tcW w:w="956" w:type="dxa"/>
            <w:vAlign w:val="center"/>
          </w:tcPr>
          <w:p w14:paraId="71B41F7C" w14:textId="77777777" w:rsidR="00EB71F8" w:rsidRPr="00714946" w:rsidRDefault="00EB71F8" w:rsidP="00315FCD">
            <w:pPr>
              <w:jc w:val="center"/>
              <w:rPr>
                <w:lang w:val="en-US"/>
              </w:rPr>
            </w:pPr>
          </w:p>
        </w:tc>
        <w:tc>
          <w:tcPr>
            <w:tcW w:w="1040" w:type="dxa"/>
            <w:vAlign w:val="center"/>
          </w:tcPr>
          <w:p w14:paraId="2628C957" w14:textId="77777777" w:rsidR="00EB71F8" w:rsidRPr="00714946" w:rsidRDefault="00EB71F8" w:rsidP="00315FCD">
            <w:pPr>
              <w:jc w:val="center"/>
              <w:rPr>
                <w:lang w:val="en-US"/>
              </w:rPr>
            </w:pPr>
          </w:p>
        </w:tc>
        <w:tc>
          <w:tcPr>
            <w:tcW w:w="1116" w:type="dxa"/>
          </w:tcPr>
          <w:p w14:paraId="05C0E633" w14:textId="77777777" w:rsidR="00EB71F8" w:rsidRPr="00714946" w:rsidRDefault="00EB71F8" w:rsidP="00315FCD">
            <w:pPr>
              <w:jc w:val="center"/>
              <w:rPr>
                <w:lang w:val="en-US"/>
              </w:rPr>
            </w:pPr>
          </w:p>
        </w:tc>
      </w:tr>
      <w:tr w:rsidR="00EB71F8" w:rsidRPr="00714946" w14:paraId="388BE62A" w14:textId="77777777" w:rsidTr="00315FCD">
        <w:trPr>
          <w:trHeight w:val="421"/>
          <w:jc w:val="center"/>
        </w:trPr>
        <w:tc>
          <w:tcPr>
            <w:tcW w:w="2713" w:type="dxa"/>
            <w:vAlign w:val="center"/>
          </w:tcPr>
          <w:p w14:paraId="00B4CFAA" w14:textId="77777777" w:rsidR="00EB71F8" w:rsidRPr="00714946" w:rsidRDefault="00EB71F8" w:rsidP="00315FCD">
            <w:pPr>
              <w:jc w:val="center"/>
              <w:rPr>
                <w:lang w:val="en-US"/>
              </w:rPr>
            </w:pPr>
            <w:r w:rsidRPr="00714946">
              <w:rPr>
                <w:lang w:val="en-US"/>
              </w:rPr>
              <w:t>Management</w:t>
            </w:r>
          </w:p>
        </w:tc>
        <w:tc>
          <w:tcPr>
            <w:tcW w:w="844" w:type="dxa"/>
            <w:vAlign w:val="center"/>
          </w:tcPr>
          <w:p w14:paraId="338F6FBF" w14:textId="77777777" w:rsidR="00EB71F8" w:rsidRPr="00714946" w:rsidRDefault="00EB71F8" w:rsidP="00315FCD">
            <w:pPr>
              <w:jc w:val="center"/>
              <w:rPr>
                <w:lang w:val="en-US"/>
              </w:rPr>
            </w:pPr>
            <w:r w:rsidRPr="00714946">
              <w:rPr>
                <w:lang w:val="en-US"/>
              </w:rPr>
              <w:t>1.70</w:t>
            </w:r>
          </w:p>
        </w:tc>
        <w:tc>
          <w:tcPr>
            <w:tcW w:w="992" w:type="dxa"/>
            <w:vAlign w:val="center"/>
          </w:tcPr>
          <w:p w14:paraId="20BEB4B4" w14:textId="77777777" w:rsidR="00EB71F8" w:rsidRPr="00714946" w:rsidRDefault="00EB71F8" w:rsidP="00315FCD">
            <w:pPr>
              <w:jc w:val="center"/>
              <w:rPr>
                <w:lang w:val="en-US"/>
              </w:rPr>
            </w:pPr>
            <w:r w:rsidRPr="00714946">
              <w:rPr>
                <w:lang w:val="en-US"/>
              </w:rPr>
              <w:t>0.46</w:t>
            </w:r>
          </w:p>
        </w:tc>
        <w:tc>
          <w:tcPr>
            <w:tcW w:w="1123" w:type="dxa"/>
            <w:vAlign w:val="center"/>
          </w:tcPr>
          <w:p w14:paraId="4F2712DA" w14:textId="77777777" w:rsidR="00EB71F8" w:rsidRPr="00714946" w:rsidRDefault="00EB71F8" w:rsidP="00315FCD">
            <w:pPr>
              <w:jc w:val="center"/>
              <w:rPr>
                <w:lang w:val="en-US"/>
              </w:rPr>
            </w:pPr>
            <w:r w:rsidRPr="00714946">
              <w:rPr>
                <w:lang w:val="en-US"/>
              </w:rPr>
              <w:t>0.146*</w:t>
            </w:r>
          </w:p>
        </w:tc>
        <w:tc>
          <w:tcPr>
            <w:tcW w:w="956" w:type="dxa"/>
            <w:vAlign w:val="center"/>
          </w:tcPr>
          <w:p w14:paraId="290B12E5" w14:textId="77777777" w:rsidR="00EB71F8" w:rsidRPr="00714946" w:rsidRDefault="00EB71F8" w:rsidP="00315FCD">
            <w:pPr>
              <w:jc w:val="center"/>
              <w:rPr>
                <w:lang w:val="en-US"/>
              </w:rPr>
            </w:pPr>
          </w:p>
        </w:tc>
        <w:tc>
          <w:tcPr>
            <w:tcW w:w="1040" w:type="dxa"/>
            <w:vAlign w:val="center"/>
          </w:tcPr>
          <w:p w14:paraId="28E0A752" w14:textId="77777777" w:rsidR="00EB71F8" w:rsidRPr="00714946" w:rsidRDefault="00EB71F8" w:rsidP="00315FCD">
            <w:pPr>
              <w:jc w:val="center"/>
              <w:rPr>
                <w:lang w:val="en-US"/>
              </w:rPr>
            </w:pPr>
          </w:p>
        </w:tc>
        <w:tc>
          <w:tcPr>
            <w:tcW w:w="1116" w:type="dxa"/>
          </w:tcPr>
          <w:p w14:paraId="4D7FBD3F" w14:textId="77777777" w:rsidR="00EB71F8" w:rsidRPr="00714946" w:rsidRDefault="00EB71F8" w:rsidP="00315FCD">
            <w:pPr>
              <w:jc w:val="center"/>
              <w:rPr>
                <w:lang w:val="en-US"/>
              </w:rPr>
            </w:pPr>
          </w:p>
        </w:tc>
      </w:tr>
      <w:tr w:rsidR="00EB71F8" w:rsidRPr="00714946" w14:paraId="1BAF82FF" w14:textId="77777777" w:rsidTr="00315FCD">
        <w:trPr>
          <w:trHeight w:val="413"/>
          <w:jc w:val="center"/>
        </w:trPr>
        <w:tc>
          <w:tcPr>
            <w:tcW w:w="2713" w:type="dxa"/>
            <w:vAlign w:val="center"/>
          </w:tcPr>
          <w:p w14:paraId="6A09AFA6" w14:textId="77777777" w:rsidR="00EB71F8" w:rsidRPr="00714946" w:rsidRDefault="00EB71F8" w:rsidP="00315FCD">
            <w:pPr>
              <w:jc w:val="center"/>
              <w:rPr>
                <w:lang w:val="en-US"/>
              </w:rPr>
            </w:pPr>
            <w:r w:rsidRPr="00714946">
              <w:rPr>
                <w:lang w:val="en-US"/>
              </w:rPr>
              <w:t>Social integration</w:t>
            </w:r>
          </w:p>
        </w:tc>
        <w:tc>
          <w:tcPr>
            <w:tcW w:w="844" w:type="dxa"/>
            <w:vAlign w:val="center"/>
          </w:tcPr>
          <w:p w14:paraId="10A45DB5" w14:textId="77777777" w:rsidR="00EB71F8" w:rsidRPr="00714946" w:rsidRDefault="00EB71F8" w:rsidP="00315FCD">
            <w:pPr>
              <w:jc w:val="center"/>
              <w:rPr>
                <w:lang w:val="en-US"/>
              </w:rPr>
            </w:pPr>
            <w:r w:rsidRPr="00714946">
              <w:rPr>
                <w:lang w:val="en-US"/>
              </w:rPr>
              <w:t>4.16</w:t>
            </w:r>
          </w:p>
        </w:tc>
        <w:tc>
          <w:tcPr>
            <w:tcW w:w="992" w:type="dxa"/>
            <w:vAlign w:val="center"/>
          </w:tcPr>
          <w:p w14:paraId="0CAB9989" w14:textId="77777777" w:rsidR="00EB71F8" w:rsidRPr="00714946" w:rsidRDefault="00EB71F8" w:rsidP="00315FCD">
            <w:pPr>
              <w:jc w:val="center"/>
              <w:rPr>
                <w:lang w:val="en-US"/>
              </w:rPr>
            </w:pPr>
            <w:r w:rsidRPr="00714946">
              <w:rPr>
                <w:lang w:val="en-US"/>
              </w:rPr>
              <w:t>0.65</w:t>
            </w:r>
          </w:p>
        </w:tc>
        <w:tc>
          <w:tcPr>
            <w:tcW w:w="1123" w:type="dxa"/>
            <w:vAlign w:val="center"/>
          </w:tcPr>
          <w:p w14:paraId="2E2DD9C3" w14:textId="77777777" w:rsidR="00EB71F8" w:rsidRPr="00714946" w:rsidRDefault="00EB71F8" w:rsidP="00315FCD">
            <w:pPr>
              <w:jc w:val="center"/>
              <w:rPr>
                <w:lang w:val="en-US"/>
              </w:rPr>
            </w:pPr>
            <w:r w:rsidRPr="00714946">
              <w:rPr>
                <w:lang w:val="en-US"/>
              </w:rPr>
              <w:t>-0.169*</w:t>
            </w:r>
          </w:p>
        </w:tc>
        <w:tc>
          <w:tcPr>
            <w:tcW w:w="956" w:type="dxa"/>
            <w:vAlign w:val="center"/>
          </w:tcPr>
          <w:p w14:paraId="3007E223" w14:textId="77777777" w:rsidR="00EB71F8" w:rsidRPr="00714946" w:rsidRDefault="00EB71F8" w:rsidP="00315FCD">
            <w:pPr>
              <w:jc w:val="center"/>
              <w:rPr>
                <w:lang w:val="en-US"/>
              </w:rPr>
            </w:pPr>
            <w:r w:rsidRPr="00714946">
              <w:rPr>
                <w:lang w:val="en-US"/>
              </w:rPr>
              <w:t>-0.022</w:t>
            </w:r>
          </w:p>
        </w:tc>
        <w:tc>
          <w:tcPr>
            <w:tcW w:w="1040" w:type="dxa"/>
            <w:vAlign w:val="center"/>
          </w:tcPr>
          <w:p w14:paraId="397B1974" w14:textId="77777777" w:rsidR="00EB71F8" w:rsidRPr="00714946" w:rsidRDefault="00EB71F8" w:rsidP="00315FCD">
            <w:pPr>
              <w:jc w:val="center"/>
              <w:rPr>
                <w:lang w:val="en-US"/>
              </w:rPr>
            </w:pPr>
          </w:p>
        </w:tc>
        <w:tc>
          <w:tcPr>
            <w:tcW w:w="1116" w:type="dxa"/>
          </w:tcPr>
          <w:p w14:paraId="428C4E95" w14:textId="77777777" w:rsidR="00EB71F8" w:rsidRPr="00714946" w:rsidRDefault="00EB71F8" w:rsidP="00315FCD">
            <w:pPr>
              <w:jc w:val="center"/>
              <w:rPr>
                <w:lang w:val="en-US"/>
              </w:rPr>
            </w:pPr>
          </w:p>
        </w:tc>
      </w:tr>
      <w:tr w:rsidR="00EB71F8" w:rsidRPr="00714946" w14:paraId="74AE8275" w14:textId="77777777" w:rsidTr="00315FCD">
        <w:trPr>
          <w:trHeight w:val="702"/>
          <w:jc w:val="center"/>
        </w:trPr>
        <w:tc>
          <w:tcPr>
            <w:tcW w:w="2713" w:type="dxa"/>
            <w:vAlign w:val="center"/>
          </w:tcPr>
          <w:p w14:paraId="37413473" w14:textId="77777777" w:rsidR="00EB71F8" w:rsidRPr="00714946" w:rsidRDefault="00EB71F8" w:rsidP="00315FCD">
            <w:pPr>
              <w:jc w:val="center"/>
              <w:rPr>
                <w:lang w:val="en-US"/>
              </w:rPr>
            </w:pPr>
            <w:r w:rsidRPr="00714946">
              <w:rPr>
                <w:lang w:val="en-US"/>
              </w:rPr>
              <w:t>Diversity climate</w:t>
            </w:r>
          </w:p>
          <w:p w14:paraId="5B85E203" w14:textId="77777777" w:rsidR="00EB71F8" w:rsidRPr="00714946" w:rsidRDefault="00EB71F8" w:rsidP="00315FCD">
            <w:pPr>
              <w:jc w:val="center"/>
              <w:rPr>
                <w:lang w:val="en-US"/>
              </w:rPr>
            </w:pPr>
            <w:r w:rsidRPr="00714946">
              <w:rPr>
                <w:lang w:val="en-US"/>
              </w:rPr>
              <w:t>(</w:t>
            </w:r>
            <w:r>
              <w:rPr>
                <w:lang w:val="en-US"/>
              </w:rPr>
              <w:t>n</w:t>
            </w:r>
            <w:r w:rsidRPr="00714946">
              <w:rPr>
                <w:lang w:val="en-US"/>
              </w:rPr>
              <w:t>ew measure)</w:t>
            </w:r>
          </w:p>
        </w:tc>
        <w:tc>
          <w:tcPr>
            <w:tcW w:w="844" w:type="dxa"/>
            <w:vAlign w:val="center"/>
          </w:tcPr>
          <w:p w14:paraId="3A3C7CCF" w14:textId="77777777" w:rsidR="00EB71F8" w:rsidRPr="00714946" w:rsidRDefault="00EB71F8" w:rsidP="00315FCD">
            <w:pPr>
              <w:jc w:val="center"/>
              <w:rPr>
                <w:lang w:val="en-US"/>
              </w:rPr>
            </w:pPr>
            <w:r w:rsidRPr="00714946">
              <w:rPr>
                <w:lang w:val="en-US"/>
              </w:rPr>
              <w:t>3.53</w:t>
            </w:r>
          </w:p>
        </w:tc>
        <w:tc>
          <w:tcPr>
            <w:tcW w:w="992" w:type="dxa"/>
            <w:vAlign w:val="center"/>
          </w:tcPr>
          <w:p w14:paraId="3D8CE45F" w14:textId="77777777" w:rsidR="00EB71F8" w:rsidRPr="00714946" w:rsidRDefault="00EB71F8" w:rsidP="00315FCD">
            <w:pPr>
              <w:jc w:val="center"/>
              <w:rPr>
                <w:lang w:val="en-US"/>
              </w:rPr>
            </w:pPr>
            <w:r w:rsidRPr="00714946">
              <w:rPr>
                <w:lang w:val="en-US"/>
              </w:rPr>
              <w:t>0.15</w:t>
            </w:r>
          </w:p>
        </w:tc>
        <w:tc>
          <w:tcPr>
            <w:tcW w:w="1123" w:type="dxa"/>
            <w:vAlign w:val="center"/>
          </w:tcPr>
          <w:p w14:paraId="6121DBD0" w14:textId="77777777" w:rsidR="00EB71F8" w:rsidRPr="00714946" w:rsidRDefault="00EB71F8" w:rsidP="00315FCD">
            <w:pPr>
              <w:jc w:val="center"/>
              <w:rPr>
                <w:lang w:val="en-US"/>
              </w:rPr>
            </w:pPr>
            <w:r w:rsidRPr="00714946">
              <w:rPr>
                <w:lang w:val="en-US"/>
              </w:rPr>
              <w:t>-0.184**</w:t>
            </w:r>
          </w:p>
        </w:tc>
        <w:tc>
          <w:tcPr>
            <w:tcW w:w="956" w:type="dxa"/>
            <w:vAlign w:val="center"/>
          </w:tcPr>
          <w:p w14:paraId="6AFAA974" w14:textId="77777777" w:rsidR="00EB71F8" w:rsidRPr="00714946" w:rsidRDefault="00EB71F8" w:rsidP="00315FCD">
            <w:pPr>
              <w:jc w:val="center"/>
              <w:rPr>
                <w:lang w:val="en-US"/>
              </w:rPr>
            </w:pPr>
            <w:r w:rsidRPr="00714946">
              <w:rPr>
                <w:lang w:val="en-US"/>
              </w:rPr>
              <w:t>-0.023</w:t>
            </w:r>
          </w:p>
        </w:tc>
        <w:tc>
          <w:tcPr>
            <w:tcW w:w="1040" w:type="dxa"/>
            <w:vAlign w:val="center"/>
          </w:tcPr>
          <w:p w14:paraId="2D43C0C0" w14:textId="77777777" w:rsidR="00EB71F8" w:rsidRPr="00714946" w:rsidRDefault="00EB71F8" w:rsidP="00315FCD">
            <w:pPr>
              <w:jc w:val="center"/>
              <w:rPr>
                <w:lang w:val="en-US"/>
              </w:rPr>
            </w:pPr>
            <w:r w:rsidRPr="00714946">
              <w:rPr>
                <w:lang w:val="en-US"/>
              </w:rPr>
              <w:t>0.144*</w:t>
            </w:r>
          </w:p>
        </w:tc>
        <w:tc>
          <w:tcPr>
            <w:tcW w:w="1116" w:type="dxa"/>
          </w:tcPr>
          <w:p w14:paraId="1B465819" w14:textId="77777777" w:rsidR="00EB71F8" w:rsidRPr="00714946" w:rsidRDefault="00EB71F8" w:rsidP="00315FCD">
            <w:pPr>
              <w:jc w:val="center"/>
              <w:rPr>
                <w:lang w:val="en-US"/>
              </w:rPr>
            </w:pPr>
          </w:p>
        </w:tc>
      </w:tr>
      <w:tr w:rsidR="00EB71F8" w:rsidRPr="00714946" w14:paraId="2D3569F7" w14:textId="77777777" w:rsidTr="00315FCD">
        <w:trPr>
          <w:trHeight w:val="415"/>
          <w:jc w:val="center"/>
        </w:trPr>
        <w:tc>
          <w:tcPr>
            <w:tcW w:w="2713" w:type="dxa"/>
            <w:vAlign w:val="center"/>
          </w:tcPr>
          <w:p w14:paraId="65CFB85D" w14:textId="77777777" w:rsidR="00EB71F8" w:rsidRPr="00714946" w:rsidRDefault="00EB71F8" w:rsidP="00315FCD">
            <w:pPr>
              <w:jc w:val="center"/>
              <w:rPr>
                <w:lang w:val="en-US"/>
              </w:rPr>
            </w:pPr>
            <w:r w:rsidRPr="00714946">
              <w:rPr>
                <w:lang w:val="en-US"/>
              </w:rPr>
              <w:t>DC (McKay</w:t>
            </w:r>
            <w:r>
              <w:rPr>
                <w:lang w:val="en-US"/>
              </w:rPr>
              <w:t xml:space="preserve"> et al.</w:t>
            </w:r>
            <w:r w:rsidRPr="00714946">
              <w:rPr>
                <w:lang w:val="en-US"/>
              </w:rPr>
              <w:t>, 2008)</w:t>
            </w:r>
          </w:p>
        </w:tc>
        <w:tc>
          <w:tcPr>
            <w:tcW w:w="844" w:type="dxa"/>
            <w:vAlign w:val="center"/>
          </w:tcPr>
          <w:p w14:paraId="6CE0BD58" w14:textId="77777777" w:rsidR="00EB71F8" w:rsidRPr="00714946" w:rsidRDefault="00EB71F8" w:rsidP="00315FCD">
            <w:pPr>
              <w:jc w:val="center"/>
              <w:rPr>
                <w:lang w:val="en-US"/>
              </w:rPr>
            </w:pPr>
            <w:r w:rsidRPr="00714946">
              <w:rPr>
                <w:lang w:val="en-US"/>
              </w:rPr>
              <w:t>3.86</w:t>
            </w:r>
          </w:p>
        </w:tc>
        <w:tc>
          <w:tcPr>
            <w:tcW w:w="992" w:type="dxa"/>
            <w:vAlign w:val="center"/>
          </w:tcPr>
          <w:p w14:paraId="04CCD8F3" w14:textId="77777777" w:rsidR="00EB71F8" w:rsidRPr="00714946" w:rsidRDefault="00EB71F8" w:rsidP="00315FCD">
            <w:pPr>
              <w:jc w:val="center"/>
              <w:rPr>
                <w:lang w:val="en-US"/>
              </w:rPr>
            </w:pPr>
            <w:r w:rsidRPr="00714946">
              <w:rPr>
                <w:lang w:val="en-US"/>
              </w:rPr>
              <w:t>0.16</w:t>
            </w:r>
          </w:p>
        </w:tc>
        <w:tc>
          <w:tcPr>
            <w:tcW w:w="1123" w:type="dxa"/>
            <w:vAlign w:val="center"/>
          </w:tcPr>
          <w:p w14:paraId="41AB9F0B" w14:textId="77777777" w:rsidR="00EB71F8" w:rsidRPr="00714946" w:rsidRDefault="00EB71F8" w:rsidP="00315FCD">
            <w:pPr>
              <w:jc w:val="center"/>
              <w:rPr>
                <w:lang w:val="en-US"/>
              </w:rPr>
            </w:pPr>
            <w:r w:rsidRPr="00714946">
              <w:rPr>
                <w:lang w:val="en-US"/>
              </w:rPr>
              <w:t>-0.308**</w:t>
            </w:r>
          </w:p>
        </w:tc>
        <w:tc>
          <w:tcPr>
            <w:tcW w:w="956" w:type="dxa"/>
            <w:vAlign w:val="center"/>
          </w:tcPr>
          <w:p w14:paraId="70014EBF" w14:textId="77777777" w:rsidR="00EB71F8" w:rsidRPr="00714946" w:rsidRDefault="00EB71F8" w:rsidP="00315FCD">
            <w:pPr>
              <w:jc w:val="center"/>
              <w:rPr>
                <w:lang w:val="en-US"/>
              </w:rPr>
            </w:pPr>
            <w:r w:rsidRPr="00714946">
              <w:rPr>
                <w:lang w:val="en-US"/>
              </w:rPr>
              <w:t>-0.184*</w:t>
            </w:r>
          </w:p>
        </w:tc>
        <w:tc>
          <w:tcPr>
            <w:tcW w:w="1040" w:type="dxa"/>
            <w:vAlign w:val="center"/>
          </w:tcPr>
          <w:p w14:paraId="7D36E8D9" w14:textId="77777777" w:rsidR="00EB71F8" w:rsidRPr="00714946" w:rsidRDefault="00EB71F8" w:rsidP="00315FCD">
            <w:pPr>
              <w:jc w:val="center"/>
              <w:rPr>
                <w:lang w:val="en-US"/>
              </w:rPr>
            </w:pPr>
            <w:r w:rsidRPr="00714946">
              <w:rPr>
                <w:lang w:val="en-US"/>
              </w:rPr>
              <w:t>0.115*</w:t>
            </w:r>
          </w:p>
        </w:tc>
        <w:tc>
          <w:tcPr>
            <w:tcW w:w="1116" w:type="dxa"/>
            <w:vAlign w:val="center"/>
          </w:tcPr>
          <w:p w14:paraId="3E8FC997" w14:textId="77777777" w:rsidR="00EB71F8" w:rsidRPr="00714946" w:rsidRDefault="00EB71F8" w:rsidP="00315FCD">
            <w:pPr>
              <w:jc w:val="center"/>
              <w:rPr>
                <w:lang w:val="en-US"/>
              </w:rPr>
            </w:pPr>
            <w:r w:rsidRPr="00714946">
              <w:rPr>
                <w:lang w:val="en-US"/>
              </w:rPr>
              <w:t>0.896***</w:t>
            </w:r>
          </w:p>
        </w:tc>
      </w:tr>
    </w:tbl>
    <w:p w14:paraId="752F06D6" w14:textId="77777777" w:rsidR="00EB71F8" w:rsidRPr="00C937C2" w:rsidRDefault="00EB71F8" w:rsidP="00EB71F8">
      <w:pPr>
        <w:spacing w:line="480" w:lineRule="auto"/>
        <w:jc w:val="both"/>
        <w:rPr>
          <w:i/>
          <w:lang w:val="en-US"/>
        </w:rPr>
      </w:pPr>
      <w:r w:rsidRPr="00714946">
        <w:rPr>
          <w:lang w:val="en-US"/>
        </w:rPr>
        <w:tab/>
        <w:t xml:space="preserve">     </w:t>
      </w:r>
      <w:r w:rsidRPr="00714946">
        <w:rPr>
          <w:i/>
          <w:sz w:val="20"/>
          <w:lang w:val="en-US"/>
        </w:rPr>
        <w:t>N = 11 at unit level; N = 221 at individual level  –  *** p &lt; 0.001   ** p &lt; 0.01   * p &lt; 0.05</w:t>
      </w:r>
    </w:p>
    <w:p w14:paraId="3231DBD3" w14:textId="6D4C7AE9" w:rsidR="00EB71F8" w:rsidRDefault="00EB71F8" w:rsidP="00483EC1">
      <w:pPr>
        <w:rPr>
          <w:lang w:val="en-US" w:eastAsia="en-GB"/>
        </w:rPr>
      </w:pPr>
    </w:p>
    <w:p w14:paraId="2A141D14" w14:textId="60AC5969" w:rsidR="00EB71F8" w:rsidRDefault="00EB71F8" w:rsidP="00483EC1">
      <w:pPr>
        <w:rPr>
          <w:lang w:val="en-US" w:eastAsia="en-GB"/>
        </w:rPr>
      </w:pPr>
    </w:p>
    <w:p w14:paraId="42D887C2" w14:textId="77777777" w:rsidR="00EB71F8" w:rsidRDefault="00EB71F8" w:rsidP="00EB71F8">
      <w:pPr>
        <w:spacing w:line="480" w:lineRule="auto"/>
        <w:jc w:val="center"/>
        <w:rPr>
          <w:lang w:val="en-US"/>
        </w:rPr>
      </w:pPr>
      <w:r w:rsidRPr="00D535CF">
        <w:rPr>
          <w:lang w:val="en-US"/>
        </w:rPr>
        <w:t>Table XIII: Results of HLM analysis on social integration</w:t>
      </w:r>
    </w:p>
    <w:tbl>
      <w:tblPr>
        <w:tblStyle w:val="Grilledutableau"/>
        <w:tblW w:w="11012" w:type="dxa"/>
        <w:jc w:val="center"/>
        <w:tblLayout w:type="fixed"/>
        <w:tblLook w:val="04A0" w:firstRow="1" w:lastRow="0" w:firstColumn="1" w:lastColumn="0" w:noHBand="0" w:noVBand="1"/>
      </w:tblPr>
      <w:tblGrid>
        <w:gridCol w:w="2146"/>
        <w:gridCol w:w="798"/>
        <w:gridCol w:w="799"/>
        <w:gridCol w:w="1174"/>
        <w:gridCol w:w="952"/>
        <w:gridCol w:w="851"/>
        <w:gridCol w:w="1173"/>
        <w:gridCol w:w="1044"/>
        <w:gridCol w:w="992"/>
        <w:gridCol w:w="1083"/>
      </w:tblGrid>
      <w:tr w:rsidR="008C541D" w:rsidRPr="0087018C" w14:paraId="4B5A9CB6" w14:textId="77777777" w:rsidTr="009A446F">
        <w:trPr>
          <w:jc w:val="center"/>
        </w:trPr>
        <w:tc>
          <w:tcPr>
            <w:tcW w:w="2146" w:type="dxa"/>
            <w:tcBorders>
              <w:bottom w:val="nil"/>
            </w:tcBorders>
          </w:tcPr>
          <w:p w14:paraId="07DCE69C" w14:textId="77777777" w:rsidR="00EB71F8" w:rsidRPr="009A446F" w:rsidRDefault="00EB71F8" w:rsidP="00315FCD">
            <w:pPr>
              <w:jc w:val="both"/>
              <w:rPr>
                <w:b/>
                <w:sz w:val="22"/>
                <w:szCs w:val="22"/>
                <w:lang w:val="en-US"/>
              </w:rPr>
            </w:pPr>
            <w:r w:rsidRPr="009A446F">
              <w:rPr>
                <w:b/>
                <w:sz w:val="22"/>
                <w:szCs w:val="22"/>
                <w:lang w:val="en-US"/>
              </w:rPr>
              <w:t>Variable (coefficient)</w:t>
            </w:r>
          </w:p>
        </w:tc>
        <w:tc>
          <w:tcPr>
            <w:tcW w:w="2771" w:type="dxa"/>
            <w:gridSpan w:val="3"/>
          </w:tcPr>
          <w:p w14:paraId="4087ACF0" w14:textId="77777777" w:rsidR="00EB71F8" w:rsidRPr="009A446F" w:rsidRDefault="00EB71F8" w:rsidP="00315FCD">
            <w:pPr>
              <w:jc w:val="center"/>
              <w:rPr>
                <w:b/>
                <w:sz w:val="22"/>
                <w:szCs w:val="22"/>
                <w:lang w:val="en-US"/>
              </w:rPr>
            </w:pPr>
            <w:r w:rsidRPr="009A446F">
              <w:rPr>
                <w:b/>
                <w:sz w:val="22"/>
                <w:szCs w:val="22"/>
                <w:lang w:val="en-US"/>
              </w:rPr>
              <w:t>Model 1 (Null)</w:t>
            </w:r>
          </w:p>
        </w:tc>
        <w:tc>
          <w:tcPr>
            <w:tcW w:w="2976" w:type="dxa"/>
            <w:gridSpan w:val="3"/>
          </w:tcPr>
          <w:p w14:paraId="30024ADB" w14:textId="77777777" w:rsidR="00EB71F8" w:rsidRPr="009A446F" w:rsidRDefault="00EB71F8" w:rsidP="00315FCD">
            <w:pPr>
              <w:jc w:val="center"/>
              <w:rPr>
                <w:b/>
                <w:sz w:val="22"/>
                <w:szCs w:val="22"/>
                <w:lang w:val="en-US"/>
              </w:rPr>
            </w:pPr>
            <w:r w:rsidRPr="009A446F">
              <w:rPr>
                <w:b/>
                <w:sz w:val="22"/>
                <w:szCs w:val="22"/>
                <w:lang w:val="en-US"/>
              </w:rPr>
              <w:t>Model 2 (Fixed)</w:t>
            </w:r>
          </w:p>
        </w:tc>
        <w:tc>
          <w:tcPr>
            <w:tcW w:w="3119" w:type="dxa"/>
            <w:gridSpan w:val="3"/>
          </w:tcPr>
          <w:p w14:paraId="62FE7AF7" w14:textId="77777777" w:rsidR="00EB71F8" w:rsidRPr="009A446F" w:rsidRDefault="00EB71F8" w:rsidP="00315FCD">
            <w:pPr>
              <w:jc w:val="center"/>
              <w:rPr>
                <w:b/>
                <w:sz w:val="22"/>
                <w:szCs w:val="22"/>
                <w:lang w:val="en-US"/>
              </w:rPr>
            </w:pPr>
            <w:r w:rsidRPr="009A446F">
              <w:rPr>
                <w:b/>
                <w:sz w:val="22"/>
                <w:szCs w:val="22"/>
                <w:lang w:val="en-US"/>
              </w:rPr>
              <w:t>Model 3</w:t>
            </w:r>
          </w:p>
          <w:p w14:paraId="57C0338A" w14:textId="77777777" w:rsidR="00EB71F8" w:rsidRPr="009A446F" w:rsidRDefault="00EB71F8" w:rsidP="00315FCD">
            <w:pPr>
              <w:jc w:val="center"/>
              <w:rPr>
                <w:b/>
                <w:sz w:val="22"/>
                <w:szCs w:val="22"/>
                <w:lang w:val="en-US"/>
              </w:rPr>
            </w:pPr>
            <w:r w:rsidRPr="009A446F">
              <w:rPr>
                <w:b/>
                <w:sz w:val="22"/>
                <w:szCs w:val="22"/>
                <w:lang w:val="en-US"/>
              </w:rPr>
              <w:t xml:space="preserve"> (measure from McKay et al., 2008)</w:t>
            </w:r>
          </w:p>
          <w:p w14:paraId="03861EDC" w14:textId="77777777" w:rsidR="00EB71F8" w:rsidRPr="009A446F" w:rsidRDefault="00EB71F8" w:rsidP="00315FCD">
            <w:pPr>
              <w:jc w:val="center"/>
              <w:rPr>
                <w:b/>
                <w:sz w:val="22"/>
                <w:szCs w:val="22"/>
                <w:lang w:val="en-US"/>
              </w:rPr>
            </w:pPr>
          </w:p>
        </w:tc>
      </w:tr>
      <w:tr w:rsidR="00EB71F8" w:rsidRPr="009A446F" w14:paraId="3F4EC2B9" w14:textId="77777777" w:rsidTr="009A446F">
        <w:trPr>
          <w:trHeight w:val="403"/>
          <w:jc w:val="center"/>
        </w:trPr>
        <w:tc>
          <w:tcPr>
            <w:tcW w:w="2146" w:type="dxa"/>
            <w:tcBorders>
              <w:top w:val="nil"/>
              <w:bottom w:val="single" w:sz="4" w:space="0" w:color="auto"/>
            </w:tcBorders>
          </w:tcPr>
          <w:p w14:paraId="6E3AD432" w14:textId="77777777" w:rsidR="00EB71F8" w:rsidRPr="009A446F" w:rsidRDefault="00EB71F8" w:rsidP="00315FCD">
            <w:pPr>
              <w:jc w:val="both"/>
              <w:rPr>
                <w:sz w:val="22"/>
                <w:szCs w:val="22"/>
                <w:lang w:val="en-US"/>
              </w:rPr>
            </w:pPr>
          </w:p>
        </w:tc>
        <w:tc>
          <w:tcPr>
            <w:tcW w:w="798" w:type="dxa"/>
            <w:tcBorders>
              <w:bottom w:val="single" w:sz="4" w:space="0" w:color="auto"/>
            </w:tcBorders>
          </w:tcPr>
          <w:p w14:paraId="61EB7973" w14:textId="77777777" w:rsidR="00EB71F8" w:rsidRPr="009A446F" w:rsidRDefault="00EB71F8" w:rsidP="00315FCD">
            <w:pPr>
              <w:jc w:val="center"/>
              <w:rPr>
                <w:sz w:val="22"/>
                <w:szCs w:val="22"/>
                <w:lang w:val="en-US"/>
              </w:rPr>
            </w:pPr>
            <w:r w:rsidRPr="009A446F">
              <w:rPr>
                <w:sz w:val="22"/>
                <w:szCs w:val="22"/>
                <w:lang w:val="en-US"/>
              </w:rPr>
              <w:t>b</w:t>
            </w:r>
          </w:p>
        </w:tc>
        <w:tc>
          <w:tcPr>
            <w:tcW w:w="799" w:type="dxa"/>
            <w:tcBorders>
              <w:bottom w:val="single" w:sz="4" w:space="0" w:color="auto"/>
            </w:tcBorders>
          </w:tcPr>
          <w:p w14:paraId="219F1136" w14:textId="77777777" w:rsidR="00EB71F8" w:rsidRPr="009A446F" w:rsidRDefault="00EB71F8" w:rsidP="00315FCD">
            <w:pPr>
              <w:jc w:val="center"/>
              <w:rPr>
                <w:sz w:val="22"/>
                <w:szCs w:val="22"/>
                <w:lang w:val="en-US"/>
              </w:rPr>
            </w:pPr>
            <w:r w:rsidRPr="009A446F">
              <w:rPr>
                <w:sz w:val="22"/>
                <w:szCs w:val="22"/>
                <w:lang w:val="en-US"/>
              </w:rPr>
              <w:t>SE</w:t>
            </w:r>
          </w:p>
        </w:tc>
        <w:tc>
          <w:tcPr>
            <w:tcW w:w="1174" w:type="dxa"/>
            <w:tcBorders>
              <w:bottom w:val="single" w:sz="4" w:space="0" w:color="auto"/>
            </w:tcBorders>
          </w:tcPr>
          <w:p w14:paraId="6E6415B0" w14:textId="77777777" w:rsidR="00EB71F8" w:rsidRPr="009A446F" w:rsidRDefault="00EB71F8" w:rsidP="00315FCD">
            <w:pPr>
              <w:jc w:val="center"/>
              <w:rPr>
                <w:sz w:val="22"/>
                <w:szCs w:val="22"/>
                <w:lang w:val="en-US"/>
              </w:rPr>
            </w:pPr>
            <w:r w:rsidRPr="009A446F">
              <w:rPr>
                <w:sz w:val="22"/>
                <w:szCs w:val="22"/>
                <w:lang w:val="en-US"/>
              </w:rPr>
              <w:t>t</w:t>
            </w:r>
          </w:p>
        </w:tc>
        <w:tc>
          <w:tcPr>
            <w:tcW w:w="952" w:type="dxa"/>
            <w:tcBorders>
              <w:bottom w:val="single" w:sz="4" w:space="0" w:color="auto"/>
            </w:tcBorders>
          </w:tcPr>
          <w:p w14:paraId="10A0EF4F" w14:textId="77777777" w:rsidR="00EB71F8" w:rsidRPr="009A446F" w:rsidRDefault="00EB71F8" w:rsidP="00315FCD">
            <w:pPr>
              <w:jc w:val="center"/>
              <w:rPr>
                <w:sz w:val="22"/>
                <w:szCs w:val="22"/>
                <w:lang w:val="en-US"/>
              </w:rPr>
            </w:pPr>
            <w:r w:rsidRPr="009A446F">
              <w:rPr>
                <w:sz w:val="22"/>
                <w:szCs w:val="22"/>
                <w:lang w:val="en-US"/>
              </w:rPr>
              <w:t>b</w:t>
            </w:r>
          </w:p>
        </w:tc>
        <w:tc>
          <w:tcPr>
            <w:tcW w:w="851" w:type="dxa"/>
            <w:tcBorders>
              <w:bottom w:val="single" w:sz="4" w:space="0" w:color="auto"/>
            </w:tcBorders>
          </w:tcPr>
          <w:p w14:paraId="0909729C" w14:textId="77777777" w:rsidR="00EB71F8" w:rsidRPr="009A446F" w:rsidRDefault="00EB71F8" w:rsidP="00315FCD">
            <w:pPr>
              <w:jc w:val="center"/>
              <w:rPr>
                <w:sz w:val="22"/>
                <w:szCs w:val="22"/>
                <w:lang w:val="en-US"/>
              </w:rPr>
            </w:pPr>
            <w:r w:rsidRPr="009A446F">
              <w:rPr>
                <w:sz w:val="22"/>
                <w:szCs w:val="22"/>
                <w:lang w:val="en-US"/>
              </w:rPr>
              <w:t>SE</w:t>
            </w:r>
          </w:p>
        </w:tc>
        <w:tc>
          <w:tcPr>
            <w:tcW w:w="1173" w:type="dxa"/>
            <w:tcBorders>
              <w:bottom w:val="single" w:sz="4" w:space="0" w:color="auto"/>
            </w:tcBorders>
          </w:tcPr>
          <w:p w14:paraId="4A7E7408" w14:textId="77777777" w:rsidR="00EB71F8" w:rsidRPr="009A446F" w:rsidRDefault="00EB71F8" w:rsidP="00315FCD">
            <w:pPr>
              <w:jc w:val="center"/>
              <w:rPr>
                <w:sz w:val="22"/>
                <w:szCs w:val="22"/>
                <w:lang w:val="en-US"/>
              </w:rPr>
            </w:pPr>
            <w:r w:rsidRPr="009A446F">
              <w:rPr>
                <w:sz w:val="22"/>
                <w:szCs w:val="22"/>
                <w:lang w:val="en-US"/>
              </w:rPr>
              <w:t>t</w:t>
            </w:r>
          </w:p>
        </w:tc>
        <w:tc>
          <w:tcPr>
            <w:tcW w:w="1044" w:type="dxa"/>
            <w:tcBorders>
              <w:bottom w:val="single" w:sz="4" w:space="0" w:color="auto"/>
            </w:tcBorders>
          </w:tcPr>
          <w:p w14:paraId="70363AEF" w14:textId="77777777" w:rsidR="00EB71F8" w:rsidRPr="009A446F" w:rsidRDefault="00EB71F8" w:rsidP="00315FCD">
            <w:pPr>
              <w:jc w:val="center"/>
              <w:rPr>
                <w:sz w:val="22"/>
                <w:szCs w:val="22"/>
                <w:lang w:val="en-US"/>
              </w:rPr>
            </w:pPr>
            <w:r w:rsidRPr="009A446F">
              <w:rPr>
                <w:sz w:val="22"/>
                <w:szCs w:val="22"/>
                <w:lang w:val="en-US"/>
              </w:rPr>
              <w:t>b</w:t>
            </w:r>
          </w:p>
        </w:tc>
        <w:tc>
          <w:tcPr>
            <w:tcW w:w="992" w:type="dxa"/>
            <w:tcBorders>
              <w:bottom w:val="single" w:sz="4" w:space="0" w:color="auto"/>
            </w:tcBorders>
          </w:tcPr>
          <w:p w14:paraId="6B7FCF78" w14:textId="77777777" w:rsidR="00EB71F8" w:rsidRPr="009A446F" w:rsidRDefault="00EB71F8" w:rsidP="00315FCD">
            <w:pPr>
              <w:jc w:val="center"/>
              <w:rPr>
                <w:sz w:val="22"/>
                <w:szCs w:val="22"/>
                <w:lang w:val="en-US"/>
              </w:rPr>
            </w:pPr>
            <w:r w:rsidRPr="009A446F">
              <w:rPr>
                <w:sz w:val="22"/>
                <w:szCs w:val="22"/>
                <w:lang w:val="en-US"/>
              </w:rPr>
              <w:t>SE</w:t>
            </w:r>
          </w:p>
        </w:tc>
        <w:tc>
          <w:tcPr>
            <w:tcW w:w="1083" w:type="dxa"/>
            <w:tcBorders>
              <w:bottom w:val="single" w:sz="4" w:space="0" w:color="auto"/>
            </w:tcBorders>
          </w:tcPr>
          <w:p w14:paraId="2147171F" w14:textId="77777777" w:rsidR="00EB71F8" w:rsidRPr="009A446F" w:rsidRDefault="00EB71F8" w:rsidP="00315FCD">
            <w:pPr>
              <w:jc w:val="center"/>
              <w:rPr>
                <w:sz w:val="22"/>
                <w:szCs w:val="22"/>
                <w:lang w:val="en-US"/>
              </w:rPr>
            </w:pPr>
            <w:r w:rsidRPr="009A446F">
              <w:rPr>
                <w:sz w:val="22"/>
                <w:szCs w:val="22"/>
                <w:lang w:val="en-US"/>
              </w:rPr>
              <w:t>t</w:t>
            </w:r>
          </w:p>
        </w:tc>
      </w:tr>
      <w:tr w:rsidR="00EB71F8" w:rsidRPr="009A446F" w14:paraId="542454EF" w14:textId="77777777" w:rsidTr="009A446F">
        <w:trPr>
          <w:jc w:val="center"/>
        </w:trPr>
        <w:tc>
          <w:tcPr>
            <w:tcW w:w="2146" w:type="dxa"/>
            <w:tcBorders>
              <w:bottom w:val="single" w:sz="4" w:space="0" w:color="auto"/>
            </w:tcBorders>
          </w:tcPr>
          <w:p w14:paraId="4B911177" w14:textId="3050AE1D" w:rsidR="00EB71F8" w:rsidRPr="009A446F" w:rsidRDefault="009A446F" w:rsidP="00315FCD">
            <w:pPr>
              <w:jc w:val="both"/>
              <w:rPr>
                <w:sz w:val="20"/>
                <w:szCs w:val="20"/>
              </w:rPr>
            </w:pPr>
            <w:r>
              <w:rPr>
                <w:sz w:val="22"/>
                <w:szCs w:val="22"/>
              </w:rPr>
              <w:t xml:space="preserve">Intercept </w:t>
            </w:r>
            <w:r>
              <w:rPr>
                <w:sz w:val="20"/>
                <w:szCs w:val="20"/>
              </w:rPr>
              <w:t>(SI</w:t>
            </w:r>
            <w:r w:rsidR="00EB71F8" w:rsidRPr="009A446F">
              <w:rPr>
                <w:sz w:val="20"/>
                <w:szCs w:val="20"/>
              </w:rPr>
              <w:t xml:space="preserve">) </w:t>
            </w:r>
          </w:p>
          <w:p w14:paraId="1757EF67" w14:textId="77777777" w:rsidR="00EB71F8" w:rsidRPr="009A446F" w:rsidRDefault="00EB71F8" w:rsidP="00315FCD">
            <w:pPr>
              <w:jc w:val="both"/>
              <w:rPr>
                <w:sz w:val="22"/>
                <w:szCs w:val="22"/>
              </w:rPr>
            </w:pPr>
            <w:r w:rsidRPr="009A446F">
              <w:rPr>
                <w:sz w:val="22"/>
                <w:szCs w:val="22"/>
              </w:rPr>
              <w:t>Unit diversity climate</w:t>
            </w:r>
          </w:p>
        </w:tc>
        <w:tc>
          <w:tcPr>
            <w:tcW w:w="798" w:type="dxa"/>
            <w:tcBorders>
              <w:bottom w:val="single" w:sz="4" w:space="0" w:color="auto"/>
            </w:tcBorders>
          </w:tcPr>
          <w:p w14:paraId="23880ED9" w14:textId="77777777" w:rsidR="00EB71F8" w:rsidRPr="009A446F" w:rsidRDefault="00EB71F8" w:rsidP="00315FCD">
            <w:pPr>
              <w:jc w:val="center"/>
              <w:rPr>
                <w:sz w:val="22"/>
                <w:szCs w:val="22"/>
                <w:lang w:val="en-US"/>
              </w:rPr>
            </w:pPr>
            <w:r w:rsidRPr="009A446F">
              <w:rPr>
                <w:sz w:val="22"/>
                <w:szCs w:val="22"/>
                <w:lang w:val="en-US"/>
              </w:rPr>
              <w:t>4.161</w:t>
            </w:r>
          </w:p>
        </w:tc>
        <w:tc>
          <w:tcPr>
            <w:tcW w:w="799" w:type="dxa"/>
            <w:tcBorders>
              <w:bottom w:val="single" w:sz="4" w:space="0" w:color="auto"/>
            </w:tcBorders>
          </w:tcPr>
          <w:p w14:paraId="35AE58CC" w14:textId="77777777" w:rsidR="00EB71F8" w:rsidRPr="009A446F" w:rsidRDefault="00EB71F8" w:rsidP="00315FCD">
            <w:pPr>
              <w:jc w:val="center"/>
              <w:rPr>
                <w:sz w:val="22"/>
                <w:szCs w:val="22"/>
                <w:lang w:val="en-US"/>
              </w:rPr>
            </w:pPr>
            <w:r w:rsidRPr="009A446F">
              <w:rPr>
                <w:sz w:val="22"/>
                <w:szCs w:val="22"/>
                <w:lang w:val="en-US"/>
              </w:rPr>
              <w:t>0.044</w:t>
            </w:r>
          </w:p>
        </w:tc>
        <w:tc>
          <w:tcPr>
            <w:tcW w:w="1174" w:type="dxa"/>
            <w:tcBorders>
              <w:bottom w:val="single" w:sz="4" w:space="0" w:color="auto"/>
            </w:tcBorders>
          </w:tcPr>
          <w:p w14:paraId="7C916C43" w14:textId="77777777" w:rsidR="00EB71F8" w:rsidRPr="009A446F" w:rsidRDefault="00EB71F8" w:rsidP="00315FCD">
            <w:pPr>
              <w:jc w:val="center"/>
              <w:rPr>
                <w:sz w:val="22"/>
                <w:szCs w:val="22"/>
                <w:lang w:val="en-US"/>
              </w:rPr>
            </w:pPr>
            <w:r w:rsidRPr="009A446F">
              <w:rPr>
                <w:sz w:val="22"/>
                <w:szCs w:val="22"/>
                <w:lang w:val="en-US"/>
              </w:rPr>
              <w:t>94.35***</w:t>
            </w:r>
          </w:p>
        </w:tc>
        <w:tc>
          <w:tcPr>
            <w:tcW w:w="952" w:type="dxa"/>
            <w:tcBorders>
              <w:bottom w:val="single" w:sz="4" w:space="0" w:color="auto"/>
            </w:tcBorders>
          </w:tcPr>
          <w:p w14:paraId="71F34497" w14:textId="77777777" w:rsidR="00EB71F8" w:rsidRPr="009A446F" w:rsidRDefault="00EB71F8" w:rsidP="00315FCD">
            <w:pPr>
              <w:jc w:val="center"/>
              <w:rPr>
                <w:sz w:val="22"/>
                <w:szCs w:val="22"/>
                <w:lang w:val="en-US"/>
              </w:rPr>
            </w:pPr>
            <w:r w:rsidRPr="009A446F">
              <w:rPr>
                <w:sz w:val="22"/>
                <w:szCs w:val="22"/>
                <w:lang w:val="en-US"/>
              </w:rPr>
              <w:t>4.162</w:t>
            </w:r>
          </w:p>
          <w:p w14:paraId="1C9B579C" w14:textId="77777777" w:rsidR="00EB71F8" w:rsidRPr="009A446F" w:rsidRDefault="00EB71F8" w:rsidP="00315FCD">
            <w:pPr>
              <w:jc w:val="center"/>
              <w:rPr>
                <w:sz w:val="22"/>
                <w:szCs w:val="22"/>
                <w:lang w:val="en-US"/>
              </w:rPr>
            </w:pPr>
            <w:r w:rsidRPr="009A446F">
              <w:rPr>
                <w:sz w:val="22"/>
                <w:szCs w:val="22"/>
                <w:lang w:val="en-US"/>
              </w:rPr>
              <w:t>0.570</w:t>
            </w:r>
          </w:p>
        </w:tc>
        <w:tc>
          <w:tcPr>
            <w:tcW w:w="851" w:type="dxa"/>
            <w:tcBorders>
              <w:bottom w:val="single" w:sz="4" w:space="0" w:color="auto"/>
            </w:tcBorders>
          </w:tcPr>
          <w:p w14:paraId="0E7CADCD" w14:textId="77777777" w:rsidR="00EB71F8" w:rsidRPr="009A446F" w:rsidRDefault="00EB71F8" w:rsidP="00315FCD">
            <w:pPr>
              <w:jc w:val="center"/>
              <w:rPr>
                <w:sz w:val="22"/>
                <w:szCs w:val="22"/>
                <w:lang w:val="en-US"/>
              </w:rPr>
            </w:pPr>
            <w:r w:rsidRPr="009A446F">
              <w:rPr>
                <w:sz w:val="22"/>
                <w:szCs w:val="22"/>
                <w:lang w:val="en-US"/>
              </w:rPr>
              <w:t>0.039</w:t>
            </w:r>
          </w:p>
          <w:p w14:paraId="602458CE" w14:textId="77777777" w:rsidR="00EB71F8" w:rsidRPr="009A446F" w:rsidRDefault="00EB71F8" w:rsidP="00315FCD">
            <w:pPr>
              <w:jc w:val="center"/>
              <w:rPr>
                <w:sz w:val="22"/>
                <w:szCs w:val="22"/>
                <w:lang w:val="en-US"/>
              </w:rPr>
            </w:pPr>
            <w:r w:rsidRPr="009A446F">
              <w:rPr>
                <w:sz w:val="22"/>
                <w:szCs w:val="22"/>
                <w:lang w:val="en-US"/>
              </w:rPr>
              <w:t>0.075</w:t>
            </w:r>
          </w:p>
        </w:tc>
        <w:tc>
          <w:tcPr>
            <w:tcW w:w="1173" w:type="dxa"/>
            <w:tcBorders>
              <w:bottom w:val="single" w:sz="4" w:space="0" w:color="auto"/>
            </w:tcBorders>
          </w:tcPr>
          <w:p w14:paraId="6D6FADAD" w14:textId="77777777" w:rsidR="00EB71F8" w:rsidRPr="009A446F" w:rsidRDefault="00EB71F8" w:rsidP="00315FCD">
            <w:pPr>
              <w:jc w:val="center"/>
              <w:rPr>
                <w:sz w:val="22"/>
                <w:szCs w:val="22"/>
                <w:lang w:val="en-US"/>
              </w:rPr>
            </w:pPr>
            <w:r w:rsidRPr="009A446F">
              <w:rPr>
                <w:sz w:val="22"/>
                <w:szCs w:val="22"/>
                <w:lang w:val="en-US"/>
              </w:rPr>
              <w:t>105.9***</w:t>
            </w:r>
          </w:p>
          <w:p w14:paraId="7066B3B1" w14:textId="77777777" w:rsidR="00EB71F8" w:rsidRPr="009A446F" w:rsidRDefault="00EB71F8" w:rsidP="00315FCD">
            <w:pPr>
              <w:jc w:val="center"/>
              <w:rPr>
                <w:sz w:val="22"/>
                <w:szCs w:val="22"/>
                <w:lang w:val="en-US"/>
              </w:rPr>
            </w:pPr>
            <w:r w:rsidRPr="009A446F">
              <w:rPr>
                <w:sz w:val="22"/>
                <w:szCs w:val="22"/>
                <w:lang w:val="en-US"/>
              </w:rPr>
              <w:t>7.60***</w:t>
            </w:r>
          </w:p>
        </w:tc>
        <w:tc>
          <w:tcPr>
            <w:tcW w:w="1044" w:type="dxa"/>
            <w:tcBorders>
              <w:bottom w:val="single" w:sz="4" w:space="0" w:color="auto"/>
            </w:tcBorders>
          </w:tcPr>
          <w:p w14:paraId="2F08723B" w14:textId="77777777" w:rsidR="00EB71F8" w:rsidRPr="009A446F" w:rsidRDefault="00EB71F8" w:rsidP="00315FCD">
            <w:pPr>
              <w:jc w:val="center"/>
              <w:rPr>
                <w:sz w:val="22"/>
                <w:szCs w:val="22"/>
                <w:lang w:val="en-US"/>
              </w:rPr>
            </w:pPr>
            <w:r w:rsidRPr="009A446F">
              <w:rPr>
                <w:sz w:val="22"/>
                <w:szCs w:val="22"/>
                <w:lang w:val="en-US"/>
              </w:rPr>
              <w:t>4.28</w:t>
            </w:r>
          </w:p>
          <w:p w14:paraId="72130EAF" w14:textId="77777777" w:rsidR="00EB71F8" w:rsidRPr="009A446F" w:rsidRDefault="00EB71F8" w:rsidP="00315FCD">
            <w:pPr>
              <w:jc w:val="center"/>
              <w:rPr>
                <w:sz w:val="22"/>
                <w:szCs w:val="22"/>
                <w:lang w:val="en-US"/>
              </w:rPr>
            </w:pPr>
            <w:r w:rsidRPr="009A446F">
              <w:rPr>
                <w:sz w:val="22"/>
                <w:szCs w:val="22"/>
                <w:lang w:val="en-US"/>
              </w:rPr>
              <w:t>0.422</w:t>
            </w:r>
          </w:p>
        </w:tc>
        <w:tc>
          <w:tcPr>
            <w:tcW w:w="992" w:type="dxa"/>
            <w:tcBorders>
              <w:bottom w:val="single" w:sz="4" w:space="0" w:color="auto"/>
            </w:tcBorders>
          </w:tcPr>
          <w:p w14:paraId="602733D4" w14:textId="77777777" w:rsidR="00EB71F8" w:rsidRPr="009A446F" w:rsidRDefault="00EB71F8" w:rsidP="00315FCD">
            <w:pPr>
              <w:jc w:val="center"/>
              <w:rPr>
                <w:sz w:val="22"/>
                <w:szCs w:val="22"/>
                <w:lang w:val="en-US"/>
              </w:rPr>
            </w:pPr>
            <w:r w:rsidRPr="009A446F">
              <w:rPr>
                <w:sz w:val="22"/>
                <w:szCs w:val="22"/>
                <w:lang w:val="en-US"/>
              </w:rPr>
              <w:t>0.044</w:t>
            </w:r>
          </w:p>
          <w:p w14:paraId="5AFC275A" w14:textId="77777777" w:rsidR="00EB71F8" w:rsidRPr="009A446F" w:rsidRDefault="00EB71F8" w:rsidP="00315FCD">
            <w:pPr>
              <w:jc w:val="center"/>
              <w:rPr>
                <w:sz w:val="22"/>
                <w:szCs w:val="22"/>
                <w:lang w:val="en-US"/>
              </w:rPr>
            </w:pPr>
            <w:r w:rsidRPr="009A446F">
              <w:rPr>
                <w:sz w:val="22"/>
                <w:szCs w:val="22"/>
                <w:lang w:val="en-US"/>
              </w:rPr>
              <w:t>0.069</w:t>
            </w:r>
          </w:p>
        </w:tc>
        <w:tc>
          <w:tcPr>
            <w:tcW w:w="1083" w:type="dxa"/>
            <w:tcBorders>
              <w:bottom w:val="single" w:sz="4" w:space="0" w:color="auto"/>
            </w:tcBorders>
          </w:tcPr>
          <w:p w14:paraId="167E91A6" w14:textId="77777777" w:rsidR="00EB71F8" w:rsidRPr="009A446F" w:rsidRDefault="00EB71F8" w:rsidP="00315FCD">
            <w:pPr>
              <w:jc w:val="center"/>
              <w:rPr>
                <w:sz w:val="22"/>
                <w:szCs w:val="22"/>
                <w:lang w:val="en-US"/>
              </w:rPr>
            </w:pPr>
            <w:r w:rsidRPr="009A446F">
              <w:rPr>
                <w:sz w:val="22"/>
                <w:szCs w:val="22"/>
                <w:lang w:val="en-US"/>
              </w:rPr>
              <w:t>97.8***</w:t>
            </w:r>
          </w:p>
          <w:p w14:paraId="10A63AA4" w14:textId="77777777" w:rsidR="00EB71F8" w:rsidRPr="009A446F" w:rsidRDefault="00EB71F8" w:rsidP="00315FCD">
            <w:pPr>
              <w:jc w:val="center"/>
              <w:rPr>
                <w:sz w:val="22"/>
                <w:szCs w:val="22"/>
                <w:lang w:val="en-US"/>
              </w:rPr>
            </w:pPr>
            <w:r w:rsidRPr="009A446F">
              <w:rPr>
                <w:sz w:val="22"/>
                <w:szCs w:val="22"/>
                <w:lang w:val="en-US"/>
              </w:rPr>
              <w:t>6.10***</w:t>
            </w:r>
          </w:p>
        </w:tc>
      </w:tr>
      <w:tr w:rsidR="00EB71F8" w:rsidRPr="009A446F" w14:paraId="7BF44F1C" w14:textId="77777777" w:rsidTr="009A446F">
        <w:trPr>
          <w:jc w:val="center"/>
        </w:trPr>
        <w:tc>
          <w:tcPr>
            <w:tcW w:w="2146" w:type="dxa"/>
            <w:tcBorders>
              <w:top w:val="single" w:sz="4" w:space="0" w:color="auto"/>
              <w:bottom w:val="single" w:sz="4" w:space="0" w:color="auto"/>
            </w:tcBorders>
            <w:vAlign w:val="center"/>
          </w:tcPr>
          <w:p w14:paraId="10DB26E0" w14:textId="77777777" w:rsidR="00EB71F8" w:rsidRPr="009A446F" w:rsidRDefault="00EB71F8" w:rsidP="009A446F">
            <w:pPr>
              <w:jc w:val="center"/>
              <w:rPr>
                <w:sz w:val="22"/>
                <w:szCs w:val="22"/>
                <w:lang w:val="en-US"/>
              </w:rPr>
            </w:pPr>
            <w:r w:rsidRPr="009A446F">
              <w:rPr>
                <w:sz w:val="22"/>
                <w:szCs w:val="22"/>
                <w:lang w:val="en-US"/>
              </w:rPr>
              <w:t>Deviance (-2 log likelihood)</w:t>
            </w:r>
          </w:p>
        </w:tc>
        <w:tc>
          <w:tcPr>
            <w:tcW w:w="2771" w:type="dxa"/>
            <w:gridSpan w:val="3"/>
            <w:tcBorders>
              <w:top w:val="single" w:sz="4" w:space="0" w:color="auto"/>
              <w:bottom w:val="single" w:sz="4" w:space="0" w:color="auto"/>
            </w:tcBorders>
            <w:vAlign w:val="center"/>
          </w:tcPr>
          <w:p w14:paraId="426F0EE1" w14:textId="77777777" w:rsidR="00EB71F8" w:rsidRPr="009A446F" w:rsidRDefault="00EB71F8" w:rsidP="00315FCD">
            <w:pPr>
              <w:jc w:val="center"/>
              <w:rPr>
                <w:sz w:val="22"/>
                <w:szCs w:val="22"/>
                <w:lang w:val="en-US"/>
              </w:rPr>
            </w:pPr>
            <w:r w:rsidRPr="009A446F">
              <w:rPr>
                <w:sz w:val="22"/>
                <w:szCs w:val="22"/>
                <w:lang w:val="en-US"/>
              </w:rPr>
              <w:t>433.9</w:t>
            </w:r>
          </w:p>
        </w:tc>
        <w:tc>
          <w:tcPr>
            <w:tcW w:w="2976" w:type="dxa"/>
            <w:gridSpan w:val="3"/>
            <w:tcBorders>
              <w:top w:val="single" w:sz="4" w:space="0" w:color="auto"/>
              <w:bottom w:val="single" w:sz="4" w:space="0" w:color="auto"/>
            </w:tcBorders>
            <w:vAlign w:val="center"/>
          </w:tcPr>
          <w:p w14:paraId="399AADB9" w14:textId="77777777" w:rsidR="00EB71F8" w:rsidRPr="009A446F" w:rsidRDefault="00EB71F8" w:rsidP="00315FCD">
            <w:pPr>
              <w:jc w:val="center"/>
              <w:rPr>
                <w:sz w:val="22"/>
                <w:szCs w:val="22"/>
                <w:lang w:val="en-US"/>
              </w:rPr>
            </w:pPr>
            <w:r w:rsidRPr="009A446F">
              <w:rPr>
                <w:sz w:val="22"/>
                <w:szCs w:val="22"/>
                <w:lang w:val="en-US"/>
              </w:rPr>
              <w:t>395.7</w:t>
            </w:r>
          </w:p>
        </w:tc>
        <w:tc>
          <w:tcPr>
            <w:tcW w:w="3119" w:type="dxa"/>
            <w:gridSpan w:val="3"/>
            <w:tcBorders>
              <w:top w:val="single" w:sz="4" w:space="0" w:color="auto"/>
              <w:bottom w:val="single" w:sz="4" w:space="0" w:color="auto"/>
            </w:tcBorders>
          </w:tcPr>
          <w:p w14:paraId="7E075FD4" w14:textId="77777777" w:rsidR="00EB71F8" w:rsidRPr="009A446F" w:rsidRDefault="00EB71F8" w:rsidP="00315FCD">
            <w:pPr>
              <w:jc w:val="center"/>
              <w:rPr>
                <w:sz w:val="22"/>
                <w:szCs w:val="22"/>
                <w:lang w:val="en-US"/>
              </w:rPr>
            </w:pPr>
            <w:r w:rsidRPr="009A446F">
              <w:rPr>
                <w:sz w:val="22"/>
                <w:szCs w:val="22"/>
                <w:lang w:val="en-US"/>
              </w:rPr>
              <w:t>170.2</w:t>
            </w:r>
          </w:p>
        </w:tc>
      </w:tr>
      <w:tr w:rsidR="00EB71F8" w:rsidRPr="009A446F" w14:paraId="604923D0" w14:textId="77777777" w:rsidTr="009A446F">
        <w:trPr>
          <w:jc w:val="center"/>
        </w:trPr>
        <w:tc>
          <w:tcPr>
            <w:tcW w:w="2146" w:type="dxa"/>
            <w:tcBorders>
              <w:top w:val="single" w:sz="4" w:space="0" w:color="auto"/>
              <w:bottom w:val="single" w:sz="4" w:space="0" w:color="auto"/>
            </w:tcBorders>
            <w:vAlign w:val="center"/>
          </w:tcPr>
          <w:p w14:paraId="668BD231" w14:textId="77777777" w:rsidR="00EB71F8" w:rsidRPr="009A446F" w:rsidRDefault="00EB71F8" w:rsidP="009A446F">
            <w:pPr>
              <w:jc w:val="center"/>
              <w:rPr>
                <w:sz w:val="22"/>
                <w:szCs w:val="22"/>
                <w:lang w:val="en-US"/>
              </w:rPr>
            </w:pPr>
            <w:r w:rsidRPr="009A446F">
              <w:rPr>
                <w:rFonts w:ascii="Arial" w:hAnsi="Arial" w:cs="Arial"/>
                <w:lang w:val="en-US"/>
              </w:rPr>
              <w:t>Δ</w:t>
            </w:r>
            <w:r w:rsidRPr="009A446F">
              <w:rPr>
                <w:rFonts w:ascii="Arial" w:hAnsi="Arial" w:cs="Arial"/>
                <w:sz w:val="22"/>
                <w:szCs w:val="22"/>
                <w:lang w:val="en-US"/>
              </w:rPr>
              <w:t>(</w:t>
            </w:r>
            <w:r w:rsidRPr="009A446F">
              <w:rPr>
                <w:sz w:val="22"/>
                <w:szCs w:val="22"/>
                <w:lang w:val="en-US"/>
              </w:rPr>
              <w:t>-2 log likelihood)</w:t>
            </w:r>
          </w:p>
        </w:tc>
        <w:tc>
          <w:tcPr>
            <w:tcW w:w="2771" w:type="dxa"/>
            <w:gridSpan w:val="3"/>
            <w:tcBorders>
              <w:top w:val="single" w:sz="4" w:space="0" w:color="auto"/>
              <w:bottom w:val="single" w:sz="4" w:space="0" w:color="auto"/>
            </w:tcBorders>
            <w:vAlign w:val="center"/>
          </w:tcPr>
          <w:p w14:paraId="1D0B86BB" w14:textId="6AA1B7D9" w:rsidR="00EB71F8" w:rsidRPr="009A446F" w:rsidRDefault="00EB71F8" w:rsidP="00315FCD">
            <w:pPr>
              <w:jc w:val="center"/>
              <w:rPr>
                <w:sz w:val="22"/>
                <w:szCs w:val="22"/>
                <w:lang w:val="en-US"/>
              </w:rPr>
            </w:pPr>
          </w:p>
        </w:tc>
        <w:tc>
          <w:tcPr>
            <w:tcW w:w="2976" w:type="dxa"/>
            <w:gridSpan w:val="3"/>
            <w:tcBorders>
              <w:top w:val="single" w:sz="4" w:space="0" w:color="auto"/>
              <w:bottom w:val="single" w:sz="4" w:space="0" w:color="auto"/>
            </w:tcBorders>
            <w:vAlign w:val="center"/>
          </w:tcPr>
          <w:p w14:paraId="5E3C811C" w14:textId="77777777" w:rsidR="00EB71F8" w:rsidRPr="009A446F" w:rsidRDefault="00EB71F8" w:rsidP="00315FCD">
            <w:pPr>
              <w:jc w:val="center"/>
              <w:rPr>
                <w:sz w:val="22"/>
                <w:szCs w:val="22"/>
                <w:lang w:val="en-US"/>
              </w:rPr>
            </w:pPr>
            <w:r w:rsidRPr="009A446F">
              <w:rPr>
                <w:sz w:val="22"/>
                <w:szCs w:val="22"/>
                <w:lang w:val="en-US"/>
              </w:rPr>
              <w:t>38.2***</w:t>
            </w:r>
          </w:p>
        </w:tc>
        <w:tc>
          <w:tcPr>
            <w:tcW w:w="3119" w:type="dxa"/>
            <w:gridSpan w:val="3"/>
            <w:tcBorders>
              <w:top w:val="single" w:sz="4" w:space="0" w:color="auto"/>
              <w:bottom w:val="single" w:sz="4" w:space="0" w:color="auto"/>
            </w:tcBorders>
          </w:tcPr>
          <w:p w14:paraId="5231EC75" w14:textId="77777777" w:rsidR="00EB71F8" w:rsidRPr="009A446F" w:rsidRDefault="00EB71F8" w:rsidP="00315FCD">
            <w:pPr>
              <w:jc w:val="center"/>
              <w:rPr>
                <w:sz w:val="22"/>
                <w:szCs w:val="22"/>
                <w:lang w:val="en-US"/>
              </w:rPr>
            </w:pPr>
          </w:p>
        </w:tc>
      </w:tr>
      <w:tr w:rsidR="00EB71F8" w:rsidRPr="009A446F" w14:paraId="2CDB946D" w14:textId="77777777" w:rsidTr="009A446F">
        <w:trPr>
          <w:jc w:val="center"/>
        </w:trPr>
        <w:tc>
          <w:tcPr>
            <w:tcW w:w="2146" w:type="dxa"/>
            <w:tcBorders>
              <w:top w:val="single" w:sz="4" w:space="0" w:color="auto"/>
              <w:bottom w:val="single" w:sz="4" w:space="0" w:color="auto"/>
            </w:tcBorders>
            <w:vAlign w:val="center"/>
          </w:tcPr>
          <w:p w14:paraId="70EFBE32" w14:textId="77777777" w:rsidR="00EB71F8" w:rsidRPr="009A446F" w:rsidRDefault="00EB71F8" w:rsidP="009A446F">
            <w:pPr>
              <w:jc w:val="center"/>
              <w:rPr>
                <w:sz w:val="22"/>
                <w:szCs w:val="22"/>
                <w:lang w:val="en-US"/>
              </w:rPr>
            </w:pPr>
            <w:r w:rsidRPr="009A446F">
              <w:rPr>
                <w:sz w:val="22"/>
                <w:szCs w:val="22"/>
                <w:lang w:val="en-US"/>
              </w:rPr>
              <w:t>AIC</w:t>
            </w:r>
          </w:p>
        </w:tc>
        <w:tc>
          <w:tcPr>
            <w:tcW w:w="2771" w:type="dxa"/>
            <w:gridSpan w:val="3"/>
            <w:tcBorders>
              <w:top w:val="single" w:sz="4" w:space="0" w:color="auto"/>
              <w:bottom w:val="single" w:sz="4" w:space="0" w:color="auto"/>
            </w:tcBorders>
            <w:vAlign w:val="center"/>
          </w:tcPr>
          <w:p w14:paraId="386089FD" w14:textId="77777777" w:rsidR="00EB71F8" w:rsidRPr="009A446F" w:rsidRDefault="00EB71F8" w:rsidP="00315FCD">
            <w:pPr>
              <w:jc w:val="center"/>
              <w:rPr>
                <w:sz w:val="22"/>
                <w:szCs w:val="22"/>
                <w:lang w:val="en-US"/>
              </w:rPr>
            </w:pPr>
            <w:r w:rsidRPr="009A446F">
              <w:rPr>
                <w:sz w:val="22"/>
                <w:szCs w:val="22"/>
                <w:lang w:val="en-US"/>
              </w:rPr>
              <w:t>447.9</w:t>
            </w:r>
          </w:p>
        </w:tc>
        <w:tc>
          <w:tcPr>
            <w:tcW w:w="2976" w:type="dxa"/>
            <w:gridSpan w:val="3"/>
            <w:tcBorders>
              <w:top w:val="single" w:sz="4" w:space="0" w:color="auto"/>
              <w:bottom w:val="single" w:sz="4" w:space="0" w:color="auto"/>
            </w:tcBorders>
            <w:vAlign w:val="center"/>
          </w:tcPr>
          <w:p w14:paraId="6A9A7245" w14:textId="77777777" w:rsidR="00EB71F8" w:rsidRPr="009A446F" w:rsidRDefault="00EB71F8" w:rsidP="00315FCD">
            <w:pPr>
              <w:jc w:val="center"/>
              <w:rPr>
                <w:sz w:val="22"/>
                <w:szCs w:val="22"/>
                <w:lang w:val="en-US"/>
              </w:rPr>
            </w:pPr>
            <w:r w:rsidRPr="009A446F">
              <w:rPr>
                <w:sz w:val="22"/>
                <w:szCs w:val="22"/>
                <w:lang w:val="en-US"/>
              </w:rPr>
              <w:t>399.8</w:t>
            </w:r>
          </w:p>
        </w:tc>
        <w:tc>
          <w:tcPr>
            <w:tcW w:w="3119" w:type="dxa"/>
            <w:gridSpan w:val="3"/>
            <w:tcBorders>
              <w:top w:val="single" w:sz="4" w:space="0" w:color="auto"/>
              <w:bottom w:val="single" w:sz="4" w:space="0" w:color="auto"/>
            </w:tcBorders>
          </w:tcPr>
          <w:p w14:paraId="421EA638" w14:textId="77777777" w:rsidR="00EB71F8" w:rsidRPr="009A446F" w:rsidRDefault="00EB71F8" w:rsidP="00315FCD">
            <w:pPr>
              <w:jc w:val="center"/>
              <w:rPr>
                <w:sz w:val="22"/>
                <w:szCs w:val="22"/>
                <w:lang w:val="en-US"/>
              </w:rPr>
            </w:pPr>
            <w:r w:rsidRPr="009A446F">
              <w:rPr>
                <w:sz w:val="22"/>
                <w:szCs w:val="22"/>
                <w:lang w:val="en-US"/>
              </w:rPr>
              <w:t>174.4</w:t>
            </w:r>
          </w:p>
        </w:tc>
      </w:tr>
      <w:tr w:rsidR="00EB71F8" w:rsidRPr="009A446F" w14:paraId="60B86A1D" w14:textId="77777777" w:rsidTr="009A446F">
        <w:trPr>
          <w:jc w:val="center"/>
        </w:trPr>
        <w:tc>
          <w:tcPr>
            <w:tcW w:w="2146" w:type="dxa"/>
            <w:tcBorders>
              <w:top w:val="single" w:sz="4" w:space="0" w:color="auto"/>
              <w:bottom w:val="single" w:sz="4" w:space="0" w:color="auto"/>
            </w:tcBorders>
            <w:vAlign w:val="center"/>
          </w:tcPr>
          <w:p w14:paraId="7ED9EA84" w14:textId="77777777" w:rsidR="00EB71F8" w:rsidRPr="009A446F" w:rsidRDefault="00EB71F8" w:rsidP="009A446F">
            <w:pPr>
              <w:jc w:val="center"/>
              <w:rPr>
                <w:sz w:val="22"/>
                <w:szCs w:val="22"/>
                <w:lang w:val="en-US"/>
              </w:rPr>
            </w:pPr>
            <w:r w:rsidRPr="009A446F">
              <w:rPr>
                <w:sz w:val="22"/>
                <w:szCs w:val="22"/>
                <w:lang w:val="en-US"/>
              </w:rPr>
              <w:t>BIC</w:t>
            </w:r>
          </w:p>
        </w:tc>
        <w:tc>
          <w:tcPr>
            <w:tcW w:w="2771" w:type="dxa"/>
            <w:gridSpan w:val="3"/>
            <w:tcBorders>
              <w:top w:val="single" w:sz="4" w:space="0" w:color="auto"/>
              <w:bottom w:val="single" w:sz="4" w:space="0" w:color="auto"/>
            </w:tcBorders>
            <w:vAlign w:val="center"/>
          </w:tcPr>
          <w:p w14:paraId="0906D0C1" w14:textId="77777777" w:rsidR="00EB71F8" w:rsidRPr="009A446F" w:rsidRDefault="00EB71F8" w:rsidP="00315FCD">
            <w:pPr>
              <w:jc w:val="center"/>
              <w:rPr>
                <w:sz w:val="22"/>
                <w:szCs w:val="22"/>
                <w:lang w:val="en-US"/>
              </w:rPr>
            </w:pPr>
            <w:r w:rsidRPr="009A446F">
              <w:rPr>
                <w:sz w:val="22"/>
                <w:szCs w:val="22"/>
                <w:lang w:val="en-US"/>
              </w:rPr>
              <w:t>454.7</w:t>
            </w:r>
          </w:p>
        </w:tc>
        <w:tc>
          <w:tcPr>
            <w:tcW w:w="2976" w:type="dxa"/>
            <w:gridSpan w:val="3"/>
            <w:tcBorders>
              <w:top w:val="single" w:sz="4" w:space="0" w:color="auto"/>
              <w:bottom w:val="single" w:sz="4" w:space="0" w:color="auto"/>
            </w:tcBorders>
            <w:vAlign w:val="center"/>
          </w:tcPr>
          <w:p w14:paraId="658326E5" w14:textId="77777777" w:rsidR="00EB71F8" w:rsidRPr="009A446F" w:rsidRDefault="00EB71F8" w:rsidP="00315FCD">
            <w:pPr>
              <w:jc w:val="center"/>
              <w:rPr>
                <w:sz w:val="22"/>
                <w:szCs w:val="22"/>
                <w:lang w:val="en-US"/>
              </w:rPr>
            </w:pPr>
            <w:r w:rsidRPr="009A446F">
              <w:rPr>
                <w:sz w:val="22"/>
                <w:szCs w:val="22"/>
                <w:lang w:val="en-US"/>
              </w:rPr>
              <w:t>406.5</w:t>
            </w:r>
          </w:p>
        </w:tc>
        <w:tc>
          <w:tcPr>
            <w:tcW w:w="3119" w:type="dxa"/>
            <w:gridSpan w:val="3"/>
            <w:tcBorders>
              <w:top w:val="single" w:sz="4" w:space="0" w:color="auto"/>
              <w:bottom w:val="single" w:sz="4" w:space="0" w:color="auto"/>
            </w:tcBorders>
          </w:tcPr>
          <w:p w14:paraId="73781487" w14:textId="77777777" w:rsidR="00EB71F8" w:rsidRPr="009A446F" w:rsidRDefault="00EB71F8" w:rsidP="00315FCD">
            <w:pPr>
              <w:jc w:val="center"/>
              <w:rPr>
                <w:sz w:val="22"/>
                <w:szCs w:val="22"/>
                <w:lang w:val="en-US"/>
              </w:rPr>
            </w:pPr>
            <w:r w:rsidRPr="009A446F">
              <w:rPr>
                <w:sz w:val="22"/>
                <w:szCs w:val="22"/>
                <w:lang w:val="en-US"/>
              </w:rPr>
              <w:t>179.8</w:t>
            </w:r>
          </w:p>
        </w:tc>
      </w:tr>
      <w:tr w:rsidR="00EB71F8" w:rsidRPr="009A446F" w14:paraId="27692A3C" w14:textId="77777777" w:rsidTr="009A446F">
        <w:trPr>
          <w:jc w:val="center"/>
        </w:trPr>
        <w:tc>
          <w:tcPr>
            <w:tcW w:w="2146" w:type="dxa"/>
            <w:tcBorders>
              <w:top w:val="single" w:sz="4" w:space="0" w:color="auto"/>
              <w:bottom w:val="single" w:sz="4" w:space="0" w:color="auto"/>
            </w:tcBorders>
            <w:vAlign w:val="center"/>
          </w:tcPr>
          <w:p w14:paraId="1DCBCA1B" w14:textId="77777777" w:rsidR="00EB71F8" w:rsidRPr="009A446F" w:rsidRDefault="00EB71F8" w:rsidP="009A446F">
            <w:pPr>
              <w:jc w:val="center"/>
              <w:rPr>
                <w:sz w:val="22"/>
                <w:szCs w:val="22"/>
                <w:lang w:val="en-US"/>
              </w:rPr>
            </w:pPr>
            <w:r w:rsidRPr="009A446F">
              <w:rPr>
                <w:sz w:val="22"/>
                <w:szCs w:val="22"/>
                <w:lang w:val="en-US"/>
              </w:rPr>
              <w:t>R²</w:t>
            </w:r>
          </w:p>
        </w:tc>
        <w:tc>
          <w:tcPr>
            <w:tcW w:w="2771" w:type="dxa"/>
            <w:gridSpan w:val="3"/>
            <w:tcBorders>
              <w:top w:val="single" w:sz="4" w:space="0" w:color="auto"/>
              <w:bottom w:val="single" w:sz="4" w:space="0" w:color="auto"/>
            </w:tcBorders>
            <w:vAlign w:val="center"/>
          </w:tcPr>
          <w:p w14:paraId="2E15330B" w14:textId="77777777" w:rsidR="00EB71F8" w:rsidRPr="009A446F" w:rsidRDefault="00EB71F8" w:rsidP="00315FCD">
            <w:pPr>
              <w:jc w:val="center"/>
              <w:rPr>
                <w:sz w:val="22"/>
                <w:szCs w:val="22"/>
                <w:lang w:val="en-US"/>
              </w:rPr>
            </w:pPr>
            <w:r w:rsidRPr="009A446F">
              <w:rPr>
                <w:sz w:val="22"/>
                <w:szCs w:val="22"/>
                <w:lang w:val="en-US"/>
              </w:rPr>
              <w:t>0.055</w:t>
            </w:r>
          </w:p>
        </w:tc>
        <w:tc>
          <w:tcPr>
            <w:tcW w:w="2976" w:type="dxa"/>
            <w:gridSpan w:val="3"/>
            <w:tcBorders>
              <w:top w:val="single" w:sz="4" w:space="0" w:color="auto"/>
              <w:bottom w:val="single" w:sz="4" w:space="0" w:color="auto"/>
            </w:tcBorders>
            <w:vAlign w:val="center"/>
          </w:tcPr>
          <w:p w14:paraId="7E54008A" w14:textId="77777777" w:rsidR="00EB71F8" w:rsidRPr="009A446F" w:rsidRDefault="00EB71F8" w:rsidP="00315FCD">
            <w:pPr>
              <w:jc w:val="center"/>
              <w:rPr>
                <w:sz w:val="22"/>
                <w:szCs w:val="22"/>
                <w:lang w:val="en-US"/>
              </w:rPr>
            </w:pPr>
            <w:r w:rsidRPr="009A446F">
              <w:rPr>
                <w:sz w:val="22"/>
                <w:szCs w:val="22"/>
                <w:lang w:val="en-US"/>
              </w:rPr>
              <w:t>0.287</w:t>
            </w:r>
          </w:p>
        </w:tc>
        <w:tc>
          <w:tcPr>
            <w:tcW w:w="3119" w:type="dxa"/>
            <w:gridSpan w:val="3"/>
            <w:tcBorders>
              <w:top w:val="single" w:sz="4" w:space="0" w:color="auto"/>
              <w:bottom w:val="single" w:sz="4" w:space="0" w:color="auto"/>
            </w:tcBorders>
          </w:tcPr>
          <w:p w14:paraId="77A59C46" w14:textId="77777777" w:rsidR="00EB71F8" w:rsidRPr="009A446F" w:rsidRDefault="00EB71F8" w:rsidP="00315FCD">
            <w:pPr>
              <w:jc w:val="center"/>
              <w:rPr>
                <w:sz w:val="22"/>
                <w:szCs w:val="22"/>
                <w:lang w:val="en-US"/>
              </w:rPr>
            </w:pPr>
            <w:r w:rsidRPr="009A446F">
              <w:rPr>
                <w:sz w:val="22"/>
                <w:szCs w:val="22"/>
                <w:lang w:val="en-US"/>
              </w:rPr>
              <w:t>0.230</w:t>
            </w:r>
          </w:p>
        </w:tc>
      </w:tr>
      <w:tr w:rsidR="00EB71F8" w:rsidRPr="009A446F" w14:paraId="4C39669A" w14:textId="77777777" w:rsidTr="009A446F">
        <w:trPr>
          <w:jc w:val="center"/>
        </w:trPr>
        <w:tc>
          <w:tcPr>
            <w:tcW w:w="2146" w:type="dxa"/>
            <w:tcBorders>
              <w:top w:val="single" w:sz="4" w:space="0" w:color="auto"/>
              <w:bottom w:val="single" w:sz="4" w:space="0" w:color="auto"/>
            </w:tcBorders>
            <w:vAlign w:val="center"/>
          </w:tcPr>
          <w:p w14:paraId="0885FC91" w14:textId="77777777" w:rsidR="00EB71F8" w:rsidRPr="009A446F" w:rsidRDefault="00EB71F8" w:rsidP="009A446F">
            <w:pPr>
              <w:jc w:val="center"/>
              <w:rPr>
                <w:sz w:val="22"/>
                <w:szCs w:val="22"/>
                <w:lang w:val="en-US"/>
              </w:rPr>
            </w:pPr>
            <w:r w:rsidRPr="009A446F">
              <w:rPr>
                <w:rFonts w:ascii="Arial" w:hAnsi="Arial" w:cs="Arial"/>
                <w:lang w:val="en-US"/>
              </w:rPr>
              <w:t>Δ</w:t>
            </w:r>
            <w:r w:rsidRPr="009A446F">
              <w:rPr>
                <w:sz w:val="22"/>
                <w:szCs w:val="22"/>
                <w:lang w:val="en-US"/>
              </w:rPr>
              <w:t xml:space="preserve"> R²</w:t>
            </w:r>
          </w:p>
        </w:tc>
        <w:tc>
          <w:tcPr>
            <w:tcW w:w="2771" w:type="dxa"/>
            <w:gridSpan w:val="3"/>
            <w:tcBorders>
              <w:top w:val="single" w:sz="4" w:space="0" w:color="auto"/>
              <w:bottom w:val="single" w:sz="4" w:space="0" w:color="auto"/>
            </w:tcBorders>
            <w:vAlign w:val="center"/>
          </w:tcPr>
          <w:p w14:paraId="17370611" w14:textId="77777777" w:rsidR="00EB71F8" w:rsidRPr="009A446F" w:rsidRDefault="00EB71F8" w:rsidP="00315FCD">
            <w:pPr>
              <w:jc w:val="center"/>
              <w:rPr>
                <w:sz w:val="22"/>
                <w:szCs w:val="22"/>
                <w:lang w:val="en-US"/>
              </w:rPr>
            </w:pPr>
          </w:p>
        </w:tc>
        <w:tc>
          <w:tcPr>
            <w:tcW w:w="2976" w:type="dxa"/>
            <w:gridSpan w:val="3"/>
            <w:tcBorders>
              <w:top w:val="single" w:sz="4" w:space="0" w:color="auto"/>
              <w:bottom w:val="single" w:sz="4" w:space="0" w:color="auto"/>
            </w:tcBorders>
            <w:vAlign w:val="center"/>
          </w:tcPr>
          <w:p w14:paraId="34F08747" w14:textId="77777777" w:rsidR="00EB71F8" w:rsidRPr="009A446F" w:rsidRDefault="00EB71F8" w:rsidP="00315FCD">
            <w:pPr>
              <w:jc w:val="center"/>
              <w:rPr>
                <w:sz w:val="22"/>
                <w:szCs w:val="22"/>
                <w:lang w:val="en-US"/>
              </w:rPr>
            </w:pPr>
            <w:r w:rsidRPr="009A446F">
              <w:rPr>
                <w:sz w:val="22"/>
                <w:szCs w:val="22"/>
                <w:lang w:val="en-US"/>
              </w:rPr>
              <w:t>0.232</w:t>
            </w:r>
          </w:p>
        </w:tc>
        <w:tc>
          <w:tcPr>
            <w:tcW w:w="3119" w:type="dxa"/>
            <w:gridSpan w:val="3"/>
            <w:tcBorders>
              <w:top w:val="single" w:sz="4" w:space="0" w:color="auto"/>
              <w:bottom w:val="single" w:sz="4" w:space="0" w:color="auto"/>
            </w:tcBorders>
          </w:tcPr>
          <w:p w14:paraId="0A82851D" w14:textId="77777777" w:rsidR="00EB71F8" w:rsidRPr="009A446F" w:rsidRDefault="00EB71F8" w:rsidP="00315FCD">
            <w:pPr>
              <w:jc w:val="center"/>
              <w:rPr>
                <w:sz w:val="22"/>
                <w:szCs w:val="22"/>
                <w:lang w:val="en-US"/>
              </w:rPr>
            </w:pPr>
          </w:p>
        </w:tc>
      </w:tr>
    </w:tbl>
    <w:p w14:paraId="5121FD35" w14:textId="77777777" w:rsidR="00EB71F8" w:rsidRPr="009A446F" w:rsidRDefault="00EB71F8" w:rsidP="00EB71F8">
      <w:pPr>
        <w:jc w:val="both"/>
        <w:rPr>
          <w:i/>
          <w:sz w:val="18"/>
          <w:szCs w:val="22"/>
          <w:lang w:val="en-US"/>
        </w:rPr>
      </w:pPr>
      <w:r w:rsidRPr="009A446F">
        <w:rPr>
          <w:sz w:val="22"/>
          <w:szCs w:val="22"/>
          <w:lang w:val="en-US"/>
        </w:rPr>
        <w:t xml:space="preserve">       </w:t>
      </w:r>
      <w:r w:rsidRPr="009A446F">
        <w:rPr>
          <w:i/>
          <w:sz w:val="18"/>
          <w:szCs w:val="22"/>
          <w:lang w:val="en-US"/>
        </w:rPr>
        <w:t>N = 11 at unit level; N = 221 at individual level  –  *** p &lt; 0.001   ** p &lt; 0.01   * p &lt; 0.05</w:t>
      </w:r>
    </w:p>
    <w:p w14:paraId="4EEF067B" w14:textId="79938DC9" w:rsidR="00EB71F8" w:rsidRDefault="00EB71F8" w:rsidP="00483EC1">
      <w:pPr>
        <w:rPr>
          <w:lang w:val="en-US" w:eastAsia="en-GB"/>
        </w:rPr>
      </w:pPr>
    </w:p>
    <w:p w14:paraId="2CB35321" w14:textId="7688DD3F" w:rsidR="00EB71F8" w:rsidRDefault="00EB71F8" w:rsidP="00483EC1">
      <w:pPr>
        <w:rPr>
          <w:lang w:val="en-US" w:eastAsia="en-GB"/>
        </w:rPr>
      </w:pPr>
    </w:p>
    <w:p w14:paraId="439698F7" w14:textId="77777777" w:rsidR="00EB71F8" w:rsidRDefault="00EB71F8" w:rsidP="00EB71F8">
      <w:pPr>
        <w:spacing w:line="480" w:lineRule="auto"/>
        <w:jc w:val="center"/>
        <w:rPr>
          <w:lang w:val="en-US"/>
        </w:rPr>
      </w:pPr>
      <w:r w:rsidRPr="00D535CF">
        <w:rPr>
          <w:lang w:val="en-US"/>
        </w:rPr>
        <w:t xml:space="preserve">Table XIV: </w:t>
      </w:r>
      <w:r>
        <w:rPr>
          <w:lang w:val="en-US"/>
        </w:rPr>
        <w:t>Unit-level model fit assessment</w:t>
      </w:r>
    </w:p>
    <w:tbl>
      <w:tblPr>
        <w:tblStyle w:val="Grilledutableau"/>
        <w:tblW w:w="5700" w:type="dxa"/>
        <w:jc w:val="center"/>
        <w:tblLayout w:type="fixed"/>
        <w:tblLook w:val="04A0" w:firstRow="1" w:lastRow="0" w:firstColumn="1" w:lastColumn="0" w:noHBand="0" w:noVBand="1"/>
      </w:tblPr>
      <w:tblGrid>
        <w:gridCol w:w="2303"/>
        <w:gridCol w:w="1705"/>
        <w:gridCol w:w="1692"/>
      </w:tblGrid>
      <w:tr w:rsidR="00641068" w:rsidRPr="00714946" w14:paraId="59E65820" w14:textId="77777777" w:rsidTr="0053329E">
        <w:trPr>
          <w:jc w:val="center"/>
        </w:trPr>
        <w:tc>
          <w:tcPr>
            <w:tcW w:w="2303" w:type="dxa"/>
          </w:tcPr>
          <w:p w14:paraId="03771F2A" w14:textId="77777777" w:rsidR="00641068" w:rsidRPr="00640477" w:rsidRDefault="00641068" w:rsidP="00315FCD">
            <w:pPr>
              <w:jc w:val="both"/>
              <w:rPr>
                <w:b/>
                <w:lang w:val="en-US"/>
              </w:rPr>
            </w:pPr>
            <w:r w:rsidRPr="00640477">
              <w:rPr>
                <w:b/>
                <w:lang w:val="en-US"/>
              </w:rPr>
              <w:t>Model / Fit statistics</w:t>
            </w:r>
          </w:p>
        </w:tc>
        <w:tc>
          <w:tcPr>
            <w:tcW w:w="1705" w:type="dxa"/>
          </w:tcPr>
          <w:p w14:paraId="0BF34329" w14:textId="77777777" w:rsidR="00641068" w:rsidRPr="00640477" w:rsidRDefault="00641068" w:rsidP="00315FCD">
            <w:pPr>
              <w:jc w:val="center"/>
              <w:rPr>
                <w:b/>
                <w:lang w:val="en-US"/>
              </w:rPr>
            </w:pPr>
            <w:r w:rsidRPr="00640477">
              <w:rPr>
                <w:b/>
                <w:lang w:val="en-US"/>
              </w:rPr>
              <w:t xml:space="preserve">Model A </w:t>
            </w:r>
            <w:r w:rsidRPr="00640477">
              <w:rPr>
                <w:b/>
                <w:lang w:val="en-US"/>
              </w:rPr>
              <w:sym w:font="Wingdings" w:char="F0E0"/>
            </w:r>
            <w:r w:rsidRPr="00640477">
              <w:rPr>
                <w:b/>
                <w:lang w:val="en-US"/>
              </w:rPr>
              <w:t xml:space="preserve"> SI</w:t>
            </w:r>
          </w:p>
        </w:tc>
        <w:tc>
          <w:tcPr>
            <w:tcW w:w="1692" w:type="dxa"/>
          </w:tcPr>
          <w:p w14:paraId="0E643884" w14:textId="77777777" w:rsidR="00641068" w:rsidRPr="00640477" w:rsidRDefault="00641068" w:rsidP="00315FCD">
            <w:pPr>
              <w:jc w:val="center"/>
              <w:rPr>
                <w:b/>
                <w:lang w:val="en-US"/>
              </w:rPr>
            </w:pPr>
            <w:r w:rsidRPr="00640477">
              <w:rPr>
                <w:b/>
                <w:lang w:val="en-US"/>
              </w:rPr>
              <w:t xml:space="preserve">Model B </w:t>
            </w:r>
            <w:r w:rsidRPr="00640477">
              <w:rPr>
                <w:b/>
                <w:lang w:val="en-US"/>
              </w:rPr>
              <w:sym w:font="Wingdings" w:char="F0E0"/>
            </w:r>
            <w:r w:rsidRPr="00640477">
              <w:rPr>
                <w:b/>
                <w:lang w:val="en-US"/>
              </w:rPr>
              <w:t xml:space="preserve"> SI</w:t>
            </w:r>
          </w:p>
        </w:tc>
      </w:tr>
      <w:tr w:rsidR="00641068" w:rsidRPr="001013E1" w14:paraId="0D93ECDF" w14:textId="77777777" w:rsidTr="0053329E">
        <w:trPr>
          <w:trHeight w:val="1399"/>
          <w:jc w:val="center"/>
        </w:trPr>
        <w:tc>
          <w:tcPr>
            <w:tcW w:w="2303" w:type="dxa"/>
            <w:vAlign w:val="center"/>
          </w:tcPr>
          <w:p w14:paraId="74CF9931" w14:textId="77777777" w:rsidR="00641068" w:rsidRPr="009D4803" w:rsidRDefault="00641068" w:rsidP="00315FCD">
            <w:pPr>
              <w:jc w:val="center"/>
            </w:pPr>
            <w:r w:rsidRPr="00F003B2">
              <w:rPr>
                <w:lang w:val="en-US"/>
              </w:rPr>
              <w:t>χ</w:t>
            </w:r>
            <w:r w:rsidRPr="009D4803">
              <w:t>²</w:t>
            </w:r>
          </w:p>
          <w:p w14:paraId="5B34D746" w14:textId="77777777" w:rsidR="00641068" w:rsidRPr="009D4803" w:rsidRDefault="00641068" w:rsidP="00315FCD">
            <w:pPr>
              <w:jc w:val="center"/>
            </w:pPr>
            <w:r w:rsidRPr="009D4803">
              <w:t>CMIN/df</w:t>
            </w:r>
          </w:p>
          <w:p w14:paraId="1533769E" w14:textId="77777777" w:rsidR="00641068" w:rsidRPr="009D4803" w:rsidRDefault="00641068" w:rsidP="00315FCD">
            <w:pPr>
              <w:jc w:val="center"/>
            </w:pPr>
            <w:r w:rsidRPr="009D4803">
              <w:t>CFI</w:t>
            </w:r>
          </w:p>
          <w:p w14:paraId="725A4B3C" w14:textId="77777777" w:rsidR="00641068" w:rsidRPr="009D4803" w:rsidRDefault="00641068" w:rsidP="00315FCD">
            <w:pPr>
              <w:jc w:val="center"/>
            </w:pPr>
            <w:r w:rsidRPr="009D4803">
              <w:t>SRMR</w:t>
            </w:r>
          </w:p>
          <w:p w14:paraId="0D0533B6" w14:textId="77777777" w:rsidR="00641068" w:rsidRPr="009D4803" w:rsidRDefault="00641068" w:rsidP="00315FCD">
            <w:pPr>
              <w:jc w:val="center"/>
            </w:pPr>
            <w:r w:rsidRPr="009D4803">
              <w:t>RMSEA</w:t>
            </w:r>
          </w:p>
        </w:tc>
        <w:tc>
          <w:tcPr>
            <w:tcW w:w="1705" w:type="dxa"/>
            <w:vAlign w:val="center"/>
          </w:tcPr>
          <w:p w14:paraId="1B9D8AC9" w14:textId="77777777" w:rsidR="00641068" w:rsidRDefault="00641068" w:rsidP="00315FCD">
            <w:pPr>
              <w:jc w:val="center"/>
              <w:rPr>
                <w:lang w:val="en-US"/>
              </w:rPr>
            </w:pPr>
            <w:r>
              <w:rPr>
                <w:lang w:val="en-US"/>
              </w:rPr>
              <w:t>196.5***</w:t>
            </w:r>
          </w:p>
          <w:p w14:paraId="05E2074E" w14:textId="77777777" w:rsidR="00641068" w:rsidRDefault="00641068" w:rsidP="00315FCD">
            <w:pPr>
              <w:jc w:val="center"/>
              <w:rPr>
                <w:lang w:val="en-US"/>
              </w:rPr>
            </w:pPr>
            <w:r>
              <w:rPr>
                <w:lang w:val="en-US"/>
              </w:rPr>
              <w:t>2.29</w:t>
            </w:r>
          </w:p>
          <w:p w14:paraId="4B3EFD59" w14:textId="77777777" w:rsidR="00641068" w:rsidRDefault="00641068" w:rsidP="00315FCD">
            <w:pPr>
              <w:jc w:val="center"/>
              <w:rPr>
                <w:lang w:val="en-US"/>
              </w:rPr>
            </w:pPr>
            <w:r>
              <w:rPr>
                <w:lang w:val="en-US"/>
              </w:rPr>
              <w:t>0.90</w:t>
            </w:r>
          </w:p>
          <w:p w14:paraId="4A8A1A25" w14:textId="77777777" w:rsidR="00641068" w:rsidRDefault="00641068" w:rsidP="00315FCD">
            <w:pPr>
              <w:jc w:val="center"/>
              <w:rPr>
                <w:lang w:val="en-US"/>
              </w:rPr>
            </w:pPr>
            <w:r>
              <w:rPr>
                <w:lang w:val="en-US"/>
              </w:rPr>
              <w:t>0.072</w:t>
            </w:r>
          </w:p>
          <w:p w14:paraId="2F19DCFA" w14:textId="77777777" w:rsidR="00641068" w:rsidRDefault="00641068" w:rsidP="00315FCD">
            <w:pPr>
              <w:jc w:val="center"/>
              <w:rPr>
                <w:lang w:val="en-US"/>
              </w:rPr>
            </w:pPr>
            <w:r>
              <w:rPr>
                <w:lang w:val="en-US"/>
              </w:rPr>
              <w:t>0.076</w:t>
            </w:r>
          </w:p>
        </w:tc>
        <w:tc>
          <w:tcPr>
            <w:tcW w:w="1692" w:type="dxa"/>
            <w:vAlign w:val="center"/>
          </w:tcPr>
          <w:p w14:paraId="0E3F2D01" w14:textId="77777777" w:rsidR="00641068" w:rsidRDefault="00641068" w:rsidP="00315FCD">
            <w:pPr>
              <w:jc w:val="center"/>
              <w:rPr>
                <w:lang w:val="en-US"/>
              </w:rPr>
            </w:pPr>
            <w:r>
              <w:rPr>
                <w:lang w:val="en-US"/>
              </w:rPr>
              <w:t>162.1***</w:t>
            </w:r>
          </w:p>
          <w:p w14:paraId="28AE2C19" w14:textId="77777777" w:rsidR="00641068" w:rsidRDefault="00641068" w:rsidP="00315FCD">
            <w:pPr>
              <w:jc w:val="center"/>
              <w:rPr>
                <w:lang w:val="en-US"/>
              </w:rPr>
            </w:pPr>
            <w:r>
              <w:rPr>
                <w:lang w:val="en-US"/>
              </w:rPr>
              <w:t>1.977</w:t>
            </w:r>
          </w:p>
          <w:p w14:paraId="3CDE7F6B" w14:textId="77777777" w:rsidR="00641068" w:rsidRDefault="00641068" w:rsidP="00315FCD">
            <w:pPr>
              <w:jc w:val="center"/>
              <w:rPr>
                <w:lang w:val="en-US"/>
              </w:rPr>
            </w:pPr>
            <w:r>
              <w:rPr>
                <w:lang w:val="en-US"/>
              </w:rPr>
              <w:t>0.93</w:t>
            </w:r>
          </w:p>
          <w:p w14:paraId="3ECAF886" w14:textId="77777777" w:rsidR="00641068" w:rsidRDefault="00641068" w:rsidP="00315FCD">
            <w:pPr>
              <w:jc w:val="center"/>
              <w:rPr>
                <w:lang w:val="en-US"/>
              </w:rPr>
            </w:pPr>
            <w:r>
              <w:rPr>
                <w:lang w:val="en-US"/>
              </w:rPr>
              <w:t>0.068</w:t>
            </w:r>
          </w:p>
          <w:p w14:paraId="0BACFF8E" w14:textId="77777777" w:rsidR="00641068" w:rsidRPr="00881CE8" w:rsidRDefault="00641068" w:rsidP="00315FCD">
            <w:pPr>
              <w:jc w:val="center"/>
              <w:rPr>
                <w:lang w:val="en-US"/>
              </w:rPr>
            </w:pPr>
            <w:r>
              <w:rPr>
                <w:lang w:val="en-US"/>
              </w:rPr>
              <w:t>0.067</w:t>
            </w:r>
          </w:p>
        </w:tc>
      </w:tr>
    </w:tbl>
    <w:p w14:paraId="7B9CA5EE" w14:textId="31F6BE27" w:rsidR="00EB71F8" w:rsidRDefault="00EB71F8" w:rsidP="00483EC1">
      <w:pPr>
        <w:rPr>
          <w:lang w:val="en-US" w:eastAsia="en-GB"/>
        </w:rPr>
      </w:pPr>
    </w:p>
    <w:p w14:paraId="61E9BF33" w14:textId="5F58E9FB" w:rsidR="00EB71F8" w:rsidRDefault="00EB71F8" w:rsidP="00483EC1">
      <w:pPr>
        <w:rPr>
          <w:lang w:val="en-US" w:eastAsia="en-GB"/>
        </w:rPr>
      </w:pPr>
    </w:p>
    <w:p w14:paraId="08361515" w14:textId="77777777" w:rsidR="00A96732" w:rsidRDefault="00A96732">
      <w:pPr>
        <w:spacing w:after="200" w:line="276" w:lineRule="auto"/>
        <w:rPr>
          <w:lang w:val="en-GB" w:eastAsia="en-GB"/>
        </w:rPr>
      </w:pPr>
      <w:r>
        <w:br w:type="page"/>
      </w:r>
    </w:p>
    <w:p w14:paraId="55C3771B" w14:textId="0F59EF18" w:rsidR="00EB71F8" w:rsidRPr="00F135E0" w:rsidRDefault="00EB71F8" w:rsidP="00EB71F8">
      <w:pPr>
        <w:pStyle w:val="Tabletitle"/>
        <w:spacing w:before="0" w:line="480" w:lineRule="auto"/>
        <w:jc w:val="center"/>
      </w:pPr>
      <w:r w:rsidRPr="00F135E0">
        <w:lastRenderedPageBreak/>
        <w:t xml:space="preserve">Table </w:t>
      </w:r>
      <w:r>
        <w:t>XV</w:t>
      </w:r>
      <w:r w:rsidRPr="00F135E0">
        <w:t xml:space="preserve">: </w:t>
      </w:r>
      <w:r>
        <w:t>Diversity climate</w:t>
      </w:r>
      <w:r w:rsidRPr="00F135E0">
        <w:t xml:space="preserve"> taxonomy</w:t>
      </w:r>
    </w:p>
    <w:tbl>
      <w:tblPr>
        <w:tblW w:w="6275" w:type="dxa"/>
        <w:jc w:val="center"/>
        <w:tblCellMar>
          <w:left w:w="70" w:type="dxa"/>
          <w:right w:w="70" w:type="dxa"/>
        </w:tblCellMar>
        <w:tblLook w:val="04A0" w:firstRow="1" w:lastRow="0" w:firstColumn="1" w:lastColumn="0" w:noHBand="0" w:noVBand="1"/>
      </w:tblPr>
      <w:tblGrid>
        <w:gridCol w:w="1687"/>
        <w:gridCol w:w="1541"/>
        <w:gridCol w:w="1633"/>
        <w:gridCol w:w="1414"/>
      </w:tblGrid>
      <w:tr w:rsidR="00EB71F8" w:rsidRPr="00F135E0" w14:paraId="0ED15A47" w14:textId="77777777" w:rsidTr="00315FCD">
        <w:trPr>
          <w:trHeight w:val="444"/>
          <w:jc w:val="center"/>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46BD19C1" w14:textId="77777777" w:rsidR="00EB71F8" w:rsidRPr="00F135E0" w:rsidRDefault="00EB71F8" w:rsidP="00315FCD">
            <w:pPr>
              <w:jc w:val="center"/>
              <w:rPr>
                <w:b/>
                <w:bCs/>
                <w:color w:val="000000"/>
                <w:lang w:val="en-US"/>
              </w:rPr>
            </w:pPr>
            <w:r w:rsidRPr="00F135E0">
              <w:rPr>
                <w:b/>
                <w:bCs/>
                <w:color w:val="000000"/>
                <w:lang w:val="en-US"/>
              </w:rPr>
              <w:t xml:space="preserve">Organizational </w:t>
            </w:r>
            <w:r>
              <w:rPr>
                <w:b/>
                <w:bCs/>
                <w:color w:val="000000"/>
                <w:lang w:val="en-US"/>
              </w:rPr>
              <w:t>configuration</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1DDDF" w14:textId="77777777" w:rsidR="00EB71F8" w:rsidRPr="00F135E0" w:rsidRDefault="00EB71F8" w:rsidP="00315FCD">
            <w:pPr>
              <w:jc w:val="center"/>
              <w:rPr>
                <w:b/>
                <w:bCs/>
                <w:color w:val="000000"/>
                <w:lang w:val="en-US"/>
              </w:rPr>
            </w:pPr>
            <w:r w:rsidRPr="00F135E0">
              <w:rPr>
                <w:b/>
                <w:bCs/>
                <w:color w:val="000000"/>
                <w:lang w:val="en-US"/>
              </w:rPr>
              <w:t>Intentionality</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14:paraId="79F9AF44" w14:textId="77777777" w:rsidR="00EB71F8" w:rsidRPr="00F135E0" w:rsidRDefault="00EB71F8" w:rsidP="00315FCD">
            <w:pPr>
              <w:jc w:val="center"/>
              <w:rPr>
                <w:b/>
                <w:bCs/>
                <w:color w:val="000000"/>
                <w:lang w:val="en-US"/>
              </w:rPr>
            </w:pPr>
            <w:r w:rsidRPr="00F135E0">
              <w:rPr>
                <w:b/>
                <w:bCs/>
                <w:color w:val="000000"/>
                <w:lang w:val="en-US"/>
              </w:rPr>
              <w:t>Programmatic</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7AC5BC2F" w14:textId="77777777" w:rsidR="00EB71F8" w:rsidRPr="00F135E0" w:rsidRDefault="00EB71F8" w:rsidP="00315FCD">
            <w:pPr>
              <w:jc w:val="center"/>
              <w:rPr>
                <w:b/>
                <w:bCs/>
                <w:color w:val="000000"/>
                <w:lang w:val="en-US"/>
              </w:rPr>
            </w:pPr>
            <w:r w:rsidRPr="00F135E0">
              <w:rPr>
                <w:b/>
                <w:bCs/>
                <w:color w:val="000000"/>
                <w:lang w:val="en-US"/>
              </w:rPr>
              <w:t>Praxis</w:t>
            </w:r>
          </w:p>
        </w:tc>
      </w:tr>
      <w:tr w:rsidR="00EB71F8" w:rsidRPr="00F135E0" w14:paraId="011F315E" w14:textId="77777777" w:rsidTr="00315FCD">
        <w:trPr>
          <w:trHeight w:val="444"/>
          <w:jc w:val="center"/>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10810B5F" w14:textId="77777777" w:rsidR="00EB71F8" w:rsidRPr="00F135E0" w:rsidRDefault="00EB71F8" w:rsidP="00315FCD">
            <w:pPr>
              <w:jc w:val="center"/>
              <w:rPr>
                <w:bCs/>
                <w:color w:val="000000"/>
                <w:lang w:val="en-US"/>
              </w:rPr>
            </w:pPr>
            <w:r w:rsidRPr="00F135E0">
              <w:rPr>
                <w:bCs/>
                <w:color w:val="000000"/>
                <w:lang w:val="en-US"/>
              </w:rPr>
              <w:t>I</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DEA1E" w14:textId="77777777" w:rsidR="00EB71F8" w:rsidRPr="00F135E0" w:rsidRDefault="00EB71F8" w:rsidP="00315FCD">
            <w:pPr>
              <w:jc w:val="center"/>
              <w:rPr>
                <w:bCs/>
                <w:color w:val="000000"/>
                <w:lang w:val="en-US"/>
              </w:rPr>
            </w:pPr>
            <w:r w:rsidRPr="00F135E0">
              <w:rPr>
                <w:bCs/>
                <w:color w:val="000000"/>
                <w:lang w:val="en-US"/>
              </w:rPr>
              <w:t>Low</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14:paraId="622B59FD" w14:textId="77777777" w:rsidR="00EB71F8" w:rsidRPr="00F135E0" w:rsidRDefault="00EB71F8" w:rsidP="00315FCD">
            <w:pPr>
              <w:jc w:val="center"/>
              <w:rPr>
                <w:bCs/>
                <w:color w:val="000000"/>
                <w:lang w:val="en-US"/>
              </w:rPr>
            </w:pPr>
            <w:r w:rsidRPr="00F135E0">
              <w:rPr>
                <w:bCs/>
                <w:color w:val="000000"/>
                <w:lang w:val="en-US"/>
              </w:rPr>
              <w:t>Low</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342817A0" w14:textId="77777777" w:rsidR="00EB71F8" w:rsidRPr="00F135E0" w:rsidRDefault="00EB71F8" w:rsidP="00315FCD">
            <w:pPr>
              <w:jc w:val="center"/>
              <w:rPr>
                <w:bCs/>
                <w:color w:val="000000"/>
                <w:lang w:val="en-US"/>
              </w:rPr>
            </w:pPr>
            <w:r w:rsidRPr="00F135E0">
              <w:rPr>
                <w:bCs/>
                <w:color w:val="000000"/>
                <w:lang w:val="en-US"/>
              </w:rPr>
              <w:t>Low</w:t>
            </w:r>
          </w:p>
        </w:tc>
      </w:tr>
      <w:tr w:rsidR="00EB71F8" w:rsidRPr="00F135E0" w14:paraId="1C993F1D" w14:textId="77777777" w:rsidTr="00315FCD">
        <w:trPr>
          <w:trHeight w:val="444"/>
          <w:jc w:val="center"/>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24B58744" w14:textId="77777777" w:rsidR="00EB71F8" w:rsidRPr="00F135E0" w:rsidRDefault="00EB71F8" w:rsidP="00315FCD">
            <w:pPr>
              <w:jc w:val="center"/>
              <w:rPr>
                <w:bCs/>
                <w:color w:val="000000"/>
                <w:lang w:val="en-US"/>
              </w:rPr>
            </w:pPr>
            <w:r w:rsidRPr="00F135E0">
              <w:rPr>
                <w:bCs/>
                <w:color w:val="000000"/>
                <w:lang w:val="en-US"/>
              </w:rPr>
              <w:t>II</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3044F" w14:textId="77777777" w:rsidR="00EB71F8" w:rsidRPr="00F135E0" w:rsidRDefault="00EB71F8" w:rsidP="00315FCD">
            <w:pPr>
              <w:jc w:val="center"/>
              <w:rPr>
                <w:b/>
                <w:bCs/>
                <w:color w:val="000000"/>
                <w:lang w:val="en-US"/>
              </w:rPr>
            </w:pPr>
            <w:r w:rsidRPr="00F135E0">
              <w:rPr>
                <w:b/>
                <w:bCs/>
                <w:color w:val="000000"/>
                <w:lang w:val="en-US"/>
              </w:rPr>
              <w:t>High</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14:paraId="6B993069" w14:textId="77777777" w:rsidR="00EB71F8" w:rsidRPr="00F135E0" w:rsidRDefault="00EB71F8" w:rsidP="00315FCD">
            <w:pPr>
              <w:jc w:val="center"/>
              <w:rPr>
                <w:bCs/>
                <w:color w:val="000000"/>
                <w:lang w:val="en-US"/>
              </w:rPr>
            </w:pPr>
            <w:r w:rsidRPr="00F135E0">
              <w:rPr>
                <w:bCs/>
                <w:color w:val="000000"/>
                <w:lang w:val="en-US"/>
              </w:rPr>
              <w:t>Low</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6EE32F44" w14:textId="77777777" w:rsidR="00EB71F8" w:rsidRPr="00F135E0" w:rsidRDefault="00EB71F8" w:rsidP="00315FCD">
            <w:pPr>
              <w:jc w:val="center"/>
              <w:rPr>
                <w:bCs/>
                <w:color w:val="000000"/>
                <w:lang w:val="en-US"/>
              </w:rPr>
            </w:pPr>
            <w:r w:rsidRPr="00F135E0">
              <w:rPr>
                <w:bCs/>
                <w:color w:val="000000"/>
                <w:lang w:val="en-US"/>
              </w:rPr>
              <w:t>Low</w:t>
            </w:r>
          </w:p>
        </w:tc>
      </w:tr>
      <w:tr w:rsidR="00EB71F8" w:rsidRPr="00F135E0" w14:paraId="61DE5024" w14:textId="77777777" w:rsidTr="00315FCD">
        <w:trPr>
          <w:trHeight w:val="444"/>
          <w:jc w:val="center"/>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3E16F54E" w14:textId="77777777" w:rsidR="00EB71F8" w:rsidRPr="00F135E0" w:rsidRDefault="00EB71F8" w:rsidP="00315FCD">
            <w:pPr>
              <w:jc w:val="center"/>
              <w:rPr>
                <w:bCs/>
                <w:color w:val="000000"/>
                <w:lang w:val="en-US"/>
              </w:rPr>
            </w:pPr>
            <w:r w:rsidRPr="00F135E0">
              <w:rPr>
                <w:bCs/>
                <w:color w:val="000000"/>
                <w:lang w:val="en-US"/>
              </w:rPr>
              <w:t>III</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D8CE7" w14:textId="77777777" w:rsidR="00EB71F8" w:rsidRPr="00F135E0" w:rsidRDefault="00EB71F8" w:rsidP="00315FCD">
            <w:pPr>
              <w:jc w:val="center"/>
              <w:rPr>
                <w:bCs/>
                <w:color w:val="000000"/>
                <w:lang w:val="en-US"/>
              </w:rPr>
            </w:pPr>
            <w:r w:rsidRPr="00F135E0">
              <w:rPr>
                <w:bCs/>
                <w:color w:val="000000"/>
                <w:lang w:val="en-US"/>
              </w:rPr>
              <w:t>Low</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14:paraId="15A32C0C" w14:textId="77777777" w:rsidR="00EB71F8" w:rsidRPr="00F135E0" w:rsidRDefault="00EB71F8" w:rsidP="00315FCD">
            <w:pPr>
              <w:jc w:val="center"/>
              <w:rPr>
                <w:bCs/>
                <w:color w:val="000000"/>
                <w:lang w:val="en-US"/>
              </w:rPr>
            </w:pPr>
            <w:r w:rsidRPr="00F135E0">
              <w:rPr>
                <w:b/>
                <w:bCs/>
                <w:color w:val="000000"/>
                <w:lang w:val="en-US"/>
              </w:rPr>
              <w:t>High</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2FDD8FB1" w14:textId="77777777" w:rsidR="00EB71F8" w:rsidRPr="00F135E0" w:rsidRDefault="00EB71F8" w:rsidP="00315FCD">
            <w:pPr>
              <w:jc w:val="center"/>
              <w:rPr>
                <w:bCs/>
                <w:color w:val="000000"/>
                <w:lang w:val="en-US"/>
              </w:rPr>
            </w:pPr>
            <w:r w:rsidRPr="00F135E0">
              <w:rPr>
                <w:bCs/>
                <w:color w:val="000000"/>
                <w:lang w:val="en-US"/>
              </w:rPr>
              <w:t>Low</w:t>
            </w:r>
          </w:p>
        </w:tc>
      </w:tr>
      <w:tr w:rsidR="00EB71F8" w:rsidRPr="00F135E0" w14:paraId="13BAE914" w14:textId="77777777" w:rsidTr="00315FCD">
        <w:trPr>
          <w:trHeight w:val="444"/>
          <w:jc w:val="center"/>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28B562ED" w14:textId="77777777" w:rsidR="00EB71F8" w:rsidRPr="00F135E0" w:rsidRDefault="00EB71F8" w:rsidP="00315FCD">
            <w:pPr>
              <w:jc w:val="center"/>
              <w:rPr>
                <w:bCs/>
                <w:color w:val="000000"/>
                <w:lang w:val="en-US"/>
              </w:rPr>
            </w:pPr>
            <w:r w:rsidRPr="00F135E0">
              <w:rPr>
                <w:bCs/>
                <w:color w:val="000000"/>
                <w:lang w:val="en-US"/>
              </w:rPr>
              <w:t>IV</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0DC83" w14:textId="77777777" w:rsidR="00EB71F8" w:rsidRPr="00F135E0" w:rsidRDefault="00EB71F8" w:rsidP="00315FCD">
            <w:pPr>
              <w:jc w:val="center"/>
              <w:rPr>
                <w:bCs/>
                <w:color w:val="000000"/>
                <w:lang w:val="en-US"/>
              </w:rPr>
            </w:pPr>
            <w:r w:rsidRPr="00F135E0">
              <w:rPr>
                <w:bCs/>
                <w:color w:val="000000"/>
                <w:lang w:val="en-US"/>
              </w:rPr>
              <w:t>Low</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14:paraId="23387332" w14:textId="77777777" w:rsidR="00EB71F8" w:rsidRPr="00F135E0" w:rsidRDefault="00EB71F8" w:rsidP="00315FCD">
            <w:pPr>
              <w:jc w:val="center"/>
              <w:rPr>
                <w:bCs/>
                <w:color w:val="000000"/>
                <w:lang w:val="en-US"/>
              </w:rPr>
            </w:pPr>
            <w:r w:rsidRPr="00F135E0">
              <w:rPr>
                <w:bCs/>
                <w:color w:val="000000"/>
                <w:lang w:val="en-US"/>
              </w:rPr>
              <w:t>Low</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47A80454" w14:textId="77777777" w:rsidR="00EB71F8" w:rsidRPr="00F135E0" w:rsidRDefault="00EB71F8" w:rsidP="00315FCD">
            <w:pPr>
              <w:jc w:val="center"/>
              <w:rPr>
                <w:bCs/>
                <w:color w:val="000000"/>
                <w:lang w:val="en-US"/>
              </w:rPr>
            </w:pPr>
            <w:r w:rsidRPr="00F135E0">
              <w:rPr>
                <w:b/>
                <w:bCs/>
                <w:color w:val="000000"/>
                <w:lang w:val="en-US"/>
              </w:rPr>
              <w:t>High</w:t>
            </w:r>
          </w:p>
        </w:tc>
      </w:tr>
      <w:tr w:rsidR="00EB71F8" w:rsidRPr="00F135E0" w14:paraId="0318A85C" w14:textId="77777777" w:rsidTr="00315FCD">
        <w:trPr>
          <w:trHeight w:val="444"/>
          <w:jc w:val="center"/>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048C6096" w14:textId="77777777" w:rsidR="00EB71F8" w:rsidRPr="00F135E0" w:rsidRDefault="00EB71F8" w:rsidP="00315FCD">
            <w:pPr>
              <w:jc w:val="center"/>
              <w:rPr>
                <w:bCs/>
                <w:color w:val="000000"/>
                <w:lang w:val="en-US"/>
              </w:rPr>
            </w:pPr>
            <w:r w:rsidRPr="00F135E0">
              <w:rPr>
                <w:bCs/>
                <w:color w:val="000000"/>
                <w:lang w:val="en-US"/>
              </w:rPr>
              <w:t>V</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21670" w14:textId="77777777" w:rsidR="00EB71F8" w:rsidRPr="00F135E0" w:rsidRDefault="00EB71F8" w:rsidP="00315FCD">
            <w:pPr>
              <w:jc w:val="center"/>
              <w:rPr>
                <w:bCs/>
                <w:color w:val="000000"/>
                <w:lang w:val="en-US"/>
              </w:rPr>
            </w:pPr>
            <w:r w:rsidRPr="00F135E0">
              <w:rPr>
                <w:b/>
                <w:bCs/>
                <w:color w:val="000000"/>
                <w:lang w:val="en-US"/>
              </w:rPr>
              <w:t>High</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14:paraId="06038628" w14:textId="77777777" w:rsidR="00EB71F8" w:rsidRPr="00F135E0" w:rsidRDefault="00EB71F8" w:rsidP="00315FCD">
            <w:pPr>
              <w:jc w:val="center"/>
              <w:rPr>
                <w:bCs/>
                <w:color w:val="000000"/>
                <w:lang w:val="en-US"/>
              </w:rPr>
            </w:pPr>
            <w:r w:rsidRPr="00F135E0">
              <w:rPr>
                <w:b/>
                <w:bCs/>
                <w:color w:val="000000"/>
                <w:lang w:val="en-US"/>
              </w:rPr>
              <w:t>High</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503E5A3D" w14:textId="77777777" w:rsidR="00EB71F8" w:rsidRPr="00F135E0" w:rsidRDefault="00EB71F8" w:rsidP="00315FCD">
            <w:pPr>
              <w:jc w:val="center"/>
              <w:rPr>
                <w:bCs/>
                <w:color w:val="000000"/>
                <w:lang w:val="en-US"/>
              </w:rPr>
            </w:pPr>
            <w:r w:rsidRPr="00F135E0">
              <w:rPr>
                <w:bCs/>
                <w:color w:val="000000"/>
                <w:lang w:val="en-US"/>
              </w:rPr>
              <w:t>Low</w:t>
            </w:r>
          </w:p>
        </w:tc>
      </w:tr>
      <w:tr w:rsidR="00EB71F8" w:rsidRPr="00F135E0" w14:paraId="622938FB" w14:textId="77777777" w:rsidTr="00315FCD">
        <w:trPr>
          <w:trHeight w:val="444"/>
          <w:jc w:val="center"/>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63FF8EDC" w14:textId="77777777" w:rsidR="00EB71F8" w:rsidRPr="00F135E0" w:rsidRDefault="00EB71F8" w:rsidP="00315FCD">
            <w:pPr>
              <w:jc w:val="center"/>
              <w:rPr>
                <w:bCs/>
                <w:color w:val="000000"/>
                <w:lang w:val="en-US"/>
              </w:rPr>
            </w:pPr>
            <w:r w:rsidRPr="00F135E0">
              <w:rPr>
                <w:bCs/>
                <w:color w:val="000000"/>
                <w:lang w:val="en-US"/>
              </w:rPr>
              <w:t>VI</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88C07" w14:textId="77777777" w:rsidR="00EB71F8" w:rsidRPr="00F135E0" w:rsidRDefault="00EB71F8" w:rsidP="00315FCD">
            <w:pPr>
              <w:jc w:val="center"/>
              <w:rPr>
                <w:bCs/>
                <w:color w:val="000000"/>
                <w:lang w:val="en-US"/>
              </w:rPr>
            </w:pPr>
            <w:r w:rsidRPr="00F135E0">
              <w:rPr>
                <w:bCs/>
                <w:color w:val="000000"/>
                <w:lang w:val="en-US"/>
              </w:rPr>
              <w:t>Low</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14:paraId="6EC0CDEB" w14:textId="77777777" w:rsidR="00EB71F8" w:rsidRPr="00F135E0" w:rsidRDefault="00EB71F8" w:rsidP="00315FCD">
            <w:pPr>
              <w:jc w:val="center"/>
              <w:rPr>
                <w:bCs/>
                <w:color w:val="000000"/>
                <w:lang w:val="en-US"/>
              </w:rPr>
            </w:pPr>
            <w:r w:rsidRPr="00F135E0">
              <w:rPr>
                <w:b/>
                <w:bCs/>
                <w:color w:val="000000"/>
                <w:lang w:val="en-US"/>
              </w:rPr>
              <w:t>High</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75A8A75B" w14:textId="77777777" w:rsidR="00EB71F8" w:rsidRPr="00F135E0" w:rsidRDefault="00EB71F8" w:rsidP="00315FCD">
            <w:pPr>
              <w:jc w:val="center"/>
              <w:rPr>
                <w:bCs/>
                <w:color w:val="000000"/>
                <w:lang w:val="en-US"/>
              </w:rPr>
            </w:pPr>
            <w:r w:rsidRPr="00F135E0">
              <w:rPr>
                <w:b/>
                <w:bCs/>
                <w:color w:val="000000"/>
                <w:lang w:val="en-US"/>
              </w:rPr>
              <w:t>High</w:t>
            </w:r>
          </w:p>
        </w:tc>
      </w:tr>
      <w:tr w:rsidR="00EB71F8" w:rsidRPr="00F135E0" w14:paraId="7CCB3AF8" w14:textId="77777777" w:rsidTr="00315FCD">
        <w:trPr>
          <w:trHeight w:val="444"/>
          <w:jc w:val="center"/>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627BD6D0" w14:textId="77777777" w:rsidR="00EB71F8" w:rsidRPr="00F135E0" w:rsidRDefault="00EB71F8" w:rsidP="00315FCD">
            <w:pPr>
              <w:jc w:val="center"/>
              <w:rPr>
                <w:bCs/>
                <w:color w:val="000000"/>
                <w:lang w:val="en-US"/>
              </w:rPr>
            </w:pPr>
            <w:r w:rsidRPr="00F135E0">
              <w:rPr>
                <w:bCs/>
                <w:color w:val="000000"/>
                <w:lang w:val="en-US"/>
              </w:rPr>
              <w:t>VII</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CDD67" w14:textId="77777777" w:rsidR="00EB71F8" w:rsidRPr="00F135E0" w:rsidRDefault="00EB71F8" w:rsidP="00315FCD">
            <w:pPr>
              <w:jc w:val="center"/>
              <w:rPr>
                <w:bCs/>
                <w:color w:val="000000"/>
                <w:lang w:val="en-US"/>
              </w:rPr>
            </w:pPr>
            <w:r w:rsidRPr="00F135E0">
              <w:rPr>
                <w:b/>
                <w:bCs/>
                <w:color w:val="000000"/>
                <w:lang w:val="en-US"/>
              </w:rPr>
              <w:t>High</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14:paraId="70F68B36" w14:textId="77777777" w:rsidR="00EB71F8" w:rsidRPr="00F135E0" w:rsidRDefault="00EB71F8" w:rsidP="00315FCD">
            <w:pPr>
              <w:jc w:val="center"/>
              <w:rPr>
                <w:bCs/>
                <w:color w:val="000000"/>
                <w:lang w:val="en-US"/>
              </w:rPr>
            </w:pPr>
            <w:r w:rsidRPr="00F135E0">
              <w:rPr>
                <w:bCs/>
                <w:color w:val="000000"/>
                <w:lang w:val="en-US"/>
              </w:rPr>
              <w:t>Low</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3D478BCE" w14:textId="77777777" w:rsidR="00EB71F8" w:rsidRPr="00F135E0" w:rsidRDefault="00EB71F8" w:rsidP="00315FCD">
            <w:pPr>
              <w:jc w:val="center"/>
              <w:rPr>
                <w:bCs/>
                <w:color w:val="000000"/>
                <w:lang w:val="en-US"/>
              </w:rPr>
            </w:pPr>
            <w:r w:rsidRPr="00F135E0">
              <w:rPr>
                <w:b/>
                <w:bCs/>
                <w:color w:val="000000"/>
                <w:lang w:val="en-US"/>
              </w:rPr>
              <w:t>High</w:t>
            </w:r>
          </w:p>
        </w:tc>
      </w:tr>
      <w:tr w:rsidR="00EB71F8" w:rsidRPr="00F135E0" w14:paraId="5F23AC74" w14:textId="77777777" w:rsidTr="00315FCD">
        <w:trPr>
          <w:trHeight w:val="444"/>
          <w:jc w:val="center"/>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14:paraId="1BA233D5" w14:textId="77777777" w:rsidR="00EB71F8" w:rsidRPr="00F135E0" w:rsidRDefault="00EB71F8" w:rsidP="00315FCD">
            <w:pPr>
              <w:jc w:val="center"/>
              <w:rPr>
                <w:bCs/>
                <w:color w:val="000000"/>
                <w:lang w:val="en-US"/>
              </w:rPr>
            </w:pPr>
            <w:r w:rsidRPr="00F135E0">
              <w:rPr>
                <w:bCs/>
                <w:color w:val="000000"/>
                <w:lang w:val="en-US"/>
              </w:rPr>
              <w:t>VIII</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B300C" w14:textId="77777777" w:rsidR="00EB71F8" w:rsidRPr="00F135E0" w:rsidRDefault="00EB71F8" w:rsidP="00315FCD">
            <w:pPr>
              <w:jc w:val="center"/>
              <w:rPr>
                <w:bCs/>
                <w:color w:val="000000"/>
                <w:lang w:val="en-US"/>
              </w:rPr>
            </w:pPr>
            <w:r w:rsidRPr="00F135E0">
              <w:rPr>
                <w:b/>
                <w:bCs/>
                <w:color w:val="000000"/>
                <w:lang w:val="en-US"/>
              </w:rPr>
              <w:t>High</w:t>
            </w:r>
          </w:p>
        </w:tc>
        <w:tc>
          <w:tcPr>
            <w:tcW w:w="1633" w:type="dxa"/>
            <w:tcBorders>
              <w:top w:val="single" w:sz="4" w:space="0" w:color="auto"/>
              <w:left w:val="nil"/>
              <w:bottom w:val="single" w:sz="4" w:space="0" w:color="auto"/>
              <w:right w:val="single" w:sz="4" w:space="0" w:color="auto"/>
            </w:tcBorders>
            <w:shd w:val="clear" w:color="auto" w:fill="auto"/>
            <w:noWrap/>
            <w:vAlign w:val="center"/>
            <w:hideMark/>
          </w:tcPr>
          <w:p w14:paraId="1A5F02A5" w14:textId="77777777" w:rsidR="00EB71F8" w:rsidRPr="00F135E0" w:rsidRDefault="00EB71F8" w:rsidP="00315FCD">
            <w:pPr>
              <w:jc w:val="center"/>
              <w:rPr>
                <w:bCs/>
                <w:color w:val="000000"/>
                <w:lang w:val="en-US"/>
              </w:rPr>
            </w:pPr>
            <w:r w:rsidRPr="00F135E0">
              <w:rPr>
                <w:b/>
                <w:bCs/>
                <w:color w:val="000000"/>
                <w:lang w:val="en-US"/>
              </w:rPr>
              <w:t>High</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14:paraId="49F535F4" w14:textId="77777777" w:rsidR="00EB71F8" w:rsidRPr="00F135E0" w:rsidRDefault="00EB71F8" w:rsidP="00315FCD">
            <w:pPr>
              <w:jc w:val="center"/>
              <w:rPr>
                <w:bCs/>
                <w:color w:val="000000"/>
                <w:lang w:val="en-US"/>
              </w:rPr>
            </w:pPr>
            <w:r w:rsidRPr="00F135E0">
              <w:rPr>
                <w:b/>
                <w:bCs/>
                <w:color w:val="000000"/>
                <w:lang w:val="en-US"/>
              </w:rPr>
              <w:t>High</w:t>
            </w:r>
          </w:p>
        </w:tc>
      </w:tr>
    </w:tbl>
    <w:p w14:paraId="711535F2" w14:textId="43BFA4D4" w:rsidR="00EB71F8" w:rsidRDefault="00EB71F8" w:rsidP="00483EC1">
      <w:pPr>
        <w:rPr>
          <w:lang w:val="en-US" w:eastAsia="en-GB"/>
        </w:rPr>
      </w:pPr>
    </w:p>
    <w:p w14:paraId="2A23363A" w14:textId="77777777" w:rsidR="00EB71F8" w:rsidRDefault="00EB71F8">
      <w:pPr>
        <w:spacing w:after="200" w:line="276" w:lineRule="auto"/>
        <w:rPr>
          <w:lang w:val="en-US" w:eastAsia="en-GB"/>
        </w:rPr>
      </w:pPr>
      <w:r>
        <w:rPr>
          <w:lang w:val="en-US" w:eastAsia="en-GB"/>
        </w:rPr>
        <w:br w:type="page"/>
      </w:r>
    </w:p>
    <w:p w14:paraId="2BACCC19" w14:textId="2A6D1194" w:rsidR="00EB71F8" w:rsidRPr="00A96732" w:rsidRDefault="00EB71F8" w:rsidP="00EB71F8">
      <w:pPr>
        <w:jc w:val="center"/>
        <w:rPr>
          <w:lang w:val="en-US"/>
        </w:rPr>
      </w:pPr>
      <w:r w:rsidRPr="00A96732">
        <w:rPr>
          <w:color w:val="333333"/>
          <w:lang w:val="en-US"/>
        </w:rPr>
        <w:lastRenderedPageBreak/>
        <w:t xml:space="preserve">Figure 1: </w:t>
      </w:r>
      <w:r w:rsidRPr="00A96732">
        <w:rPr>
          <w:color w:val="000000"/>
          <w:lang w:val="en-US"/>
        </w:rPr>
        <w:t>Model Fit Assessment (N= 398)</w:t>
      </w:r>
    </w:p>
    <w:p w14:paraId="1F1EB79F" w14:textId="77777777" w:rsidR="00EB71F8" w:rsidRDefault="00EB71F8" w:rsidP="00EB71F8">
      <w:pPr>
        <w:jc w:val="center"/>
        <w:rPr>
          <w:lang w:val="en-US"/>
        </w:rPr>
      </w:pPr>
    </w:p>
    <w:tbl>
      <w:tblPr>
        <w:tblStyle w:val="Grilledutableau"/>
        <w:tblW w:w="9316" w:type="dxa"/>
        <w:tblLook w:val="04A0" w:firstRow="1" w:lastRow="0" w:firstColumn="1" w:lastColumn="0" w:noHBand="0" w:noVBand="1"/>
      </w:tblPr>
      <w:tblGrid>
        <w:gridCol w:w="2122"/>
        <w:gridCol w:w="1817"/>
        <w:gridCol w:w="1337"/>
        <w:gridCol w:w="201"/>
        <w:gridCol w:w="1538"/>
        <w:gridCol w:w="68"/>
        <w:gridCol w:w="2222"/>
        <w:gridCol w:w="11"/>
      </w:tblGrid>
      <w:tr w:rsidR="00EB71F8" w:rsidRPr="0087018C" w14:paraId="0A7DBA3D" w14:textId="77777777" w:rsidTr="00315FCD">
        <w:tc>
          <w:tcPr>
            <w:tcW w:w="9316" w:type="dxa"/>
            <w:gridSpan w:val="8"/>
            <w:tcBorders>
              <w:bottom w:val="single" w:sz="4" w:space="0" w:color="auto"/>
            </w:tcBorders>
            <w:shd w:val="clear" w:color="auto" w:fill="auto"/>
            <w:vAlign w:val="center"/>
          </w:tcPr>
          <w:p w14:paraId="78770EBF" w14:textId="77777777" w:rsidR="00EB71F8" w:rsidRPr="00FE2DDE" w:rsidRDefault="00EB71F8" w:rsidP="00315FCD">
            <w:pPr>
              <w:jc w:val="center"/>
              <w:rPr>
                <w:b/>
                <w:lang w:val="en-US"/>
              </w:rPr>
            </w:pPr>
            <w:r w:rsidRPr="00FE2DDE">
              <w:rPr>
                <w:b/>
                <w:lang w:val="en-US"/>
              </w:rPr>
              <w:t>MODEL A: DC as a second-order reflexive construct</w:t>
            </w:r>
          </w:p>
        </w:tc>
      </w:tr>
      <w:tr w:rsidR="00EB71F8" w:rsidRPr="00FE2DDE" w14:paraId="05522087" w14:textId="77777777" w:rsidTr="00315FCD">
        <w:tc>
          <w:tcPr>
            <w:tcW w:w="9316" w:type="dxa"/>
            <w:gridSpan w:val="8"/>
            <w:tcBorders>
              <w:bottom w:val="nil"/>
            </w:tcBorders>
            <w:shd w:val="clear" w:color="auto" w:fill="auto"/>
            <w:vAlign w:val="center"/>
          </w:tcPr>
          <w:p w14:paraId="145E6B96" w14:textId="77777777" w:rsidR="00EB71F8" w:rsidRPr="00FE2DDE" w:rsidRDefault="00EB71F8" w:rsidP="00315FCD">
            <w:pPr>
              <w:jc w:val="center"/>
            </w:pPr>
            <w:r w:rsidRPr="00FE2DDE">
              <w:object w:dxaOrig="9976" w:dyaOrig="5528" w14:anchorId="23E427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8pt;height:193.8pt" o:ole="">
                  <v:imagedata r:id="rId9" o:title=""/>
                </v:shape>
                <o:OLEObject Type="Embed" ProgID="Visio.Drawing.15" ShapeID="_x0000_i1025" DrawAspect="Content" ObjectID="_1624209176" r:id="rId10"/>
              </w:object>
            </w:r>
          </w:p>
        </w:tc>
      </w:tr>
      <w:tr w:rsidR="00EB71F8" w:rsidRPr="00FE2DDE" w14:paraId="56A712AE" w14:textId="77777777" w:rsidTr="00315FCD">
        <w:trPr>
          <w:gridAfter w:val="1"/>
          <w:wAfter w:w="11" w:type="dxa"/>
        </w:trPr>
        <w:tc>
          <w:tcPr>
            <w:tcW w:w="2122" w:type="dxa"/>
            <w:tcBorders>
              <w:top w:val="nil"/>
              <w:bottom w:val="nil"/>
              <w:right w:val="nil"/>
            </w:tcBorders>
            <w:shd w:val="clear" w:color="auto" w:fill="auto"/>
            <w:vAlign w:val="center"/>
          </w:tcPr>
          <w:p w14:paraId="3AB69603" w14:textId="77777777" w:rsidR="00EB71F8" w:rsidRPr="00714946" w:rsidRDefault="00EB71F8" w:rsidP="00315FCD">
            <w:pPr>
              <w:jc w:val="center"/>
              <w:rPr>
                <w:i/>
                <w:sz w:val="22"/>
                <w:szCs w:val="22"/>
              </w:rPr>
            </w:pPr>
            <w:r w:rsidRPr="00714946">
              <w:rPr>
                <w:i/>
                <w:sz w:val="22"/>
                <w:szCs w:val="22"/>
              </w:rPr>
              <w:t>χ²</w:t>
            </w:r>
            <w:r w:rsidRPr="00714946">
              <w:rPr>
                <w:i/>
                <w:sz w:val="22"/>
                <w:szCs w:val="22"/>
                <w:vertAlign w:val="subscript"/>
              </w:rPr>
              <w:t xml:space="preserve"> </w:t>
            </w:r>
            <w:r w:rsidRPr="00714946">
              <w:rPr>
                <w:i/>
                <w:sz w:val="22"/>
                <w:szCs w:val="22"/>
              </w:rPr>
              <w:t>= 167.0</w:t>
            </w:r>
          </w:p>
          <w:p w14:paraId="09A5C90F" w14:textId="77777777" w:rsidR="00EB71F8" w:rsidRPr="00714946" w:rsidRDefault="00EB71F8" w:rsidP="00315FCD">
            <w:pPr>
              <w:jc w:val="center"/>
              <w:rPr>
                <w:i/>
                <w:sz w:val="22"/>
                <w:szCs w:val="22"/>
              </w:rPr>
            </w:pPr>
            <w:r w:rsidRPr="00714946">
              <w:rPr>
                <w:i/>
                <w:sz w:val="22"/>
                <w:szCs w:val="22"/>
              </w:rPr>
              <w:t>p &lt; 0.000</w:t>
            </w:r>
          </w:p>
        </w:tc>
        <w:tc>
          <w:tcPr>
            <w:tcW w:w="1817" w:type="dxa"/>
            <w:tcBorders>
              <w:top w:val="nil"/>
              <w:left w:val="nil"/>
              <w:bottom w:val="nil"/>
              <w:right w:val="nil"/>
            </w:tcBorders>
            <w:shd w:val="clear" w:color="auto" w:fill="auto"/>
            <w:vAlign w:val="center"/>
          </w:tcPr>
          <w:p w14:paraId="381F015E" w14:textId="77777777" w:rsidR="00EB71F8" w:rsidRPr="00714946" w:rsidRDefault="00EB71F8" w:rsidP="00315FCD">
            <w:pPr>
              <w:jc w:val="center"/>
              <w:rPr>
                <w:i/>
                <w:sz w:val="22"/>
                <w:szCs w:val="22"/>
              </w:rPr>
            </w:pPr>
            <w:r w:rsidRPr="00714946">
              <w:rPr>
                <w:i/>
                <w:sz w:val="22"/>
                <w:szCs w:val="22"/>
              </w:rPr>
              <w:t>CMIN/df = 4.07</w:t>
            </w:r>
          </w:p>
        </w:tc>
        <w:tc>
          <w:tcPr>
            <w:tcW w:w="1538" w:type="dxa"/>
            <w:gridSpan w:val="2"/>
            <w:tcBorders>
              <w:top w:val="nil"/>
              <w:left w:val="nil"/>
              <w:bottom w:val="nil"/>
              <w:right w:val="nil"/>
            </w:tcBorders>
            <w:shd w:val="clear" w:color="auto" w:fill="auto"/>
            <w:vAlign w:val="center"/>
          </w:tcPr>
          <w:p w14:paraId="1884407A" w14:textId="77777777" w:rsidR="00EB71F8" w:rsidRPr="00714946" w:rsidRDefault="00EB71F8" w:rsidP="00315FCD">
            <w:pPr>
              <w:jc w:val="center"/>
              <w:rPr>
                <w:i/>
                <w:sz w:val="22"/>
                <w:szCs w:val="22"/>
              </w:rPr>
            </w:pPr>
            <w:r w:rsidRPr="00714946">
              <w:rPr>
                <w:i/>
                <w:sz w:val="22"/>
                <w:szCs w:val="22"/>
              </w:rPr>
              <w:t>CFI = 0.943</w:t>
            </w:r>
          </w:p>
        </w:tc>
        <w:tc>
          <w:tcPr>
            <w:tcW w:w="1606" w:type="dxa"/>
            <w:gridSpan w:val="2"/>
            <w:tcBorders>
              <w:top w:val="nil"/>
              <w:left w:val="nil"/>
              <w:bottom w:val="nil"/>
              <w:right w:val="nil"/>
            </w:tcBorders>
            <w:shd w:val="clear" w:color="auto" w:fill="auto"/>
            <w:vAlign w:val="center"/>
          </w:tcPr>
          <w:p w14:paraId="24AA4D2E" w14:textId="77777777" w:rsidR="00EB71F8" w:rsidRPr="00714946" w:rsidRDefault="00EB71F8" w:rsidP="00315FCD">
            <w:pPr>
              <w:jc w:val="center"/>
              <w:rPr>
                <w:i/>
                <w:sz w:val="22"/>
                <w:szCs w:val="22"/>
              </w:rPr>
            </w:pPr>
            <w:r w:rsidRPr="00714946">
              <w:rPr>
                <w:i/>
                <w:sz w:val="22"/>
                <w:szCs w:val="22"/>
              </w:rPr>
              <w:t>SRMR = 0.072</w:t>
            </w:r>
          </w:p>
        </w:tc>
        <w:tc>
          <w:tcPr>
            <w:tcW w:w="2222" w:type="dxa"/>
            <w:tcBorders>
              <w:top w:val="nil"/>
              <w:left w:val="nil"/>
              <w:bottom w:val="nil"/>
            </w:tcBorders>
            <w:shd w:val="clear" w:color="auto" w:fill="auto"/>
            <w:vAlign w:val="center"/>
          </w:tcPr>
          <w:p w14:paraId="345FB4C7" w14:textId="77777777" w:rsidR="00EB71F8" w:rsidRPr="00714946" w:rsidRDefault="00EB71F8" w:rsidP="00315FCD">
            <w:pPr>
              <w:jc w:val="center"/>
              <w:rPr>
                <w:i/>
                <w:sz w:val="22"/>
                <w:szCs w:val="22"/>
              </w:rPr>
            </w:pPr>
            <w:r w:rsidRPr="00714946">
              <w:rPr>
                <w:i/>
                <w:sz w:val="22"/>
                <w:szCs w:val="22"/>
              </w:rPr>
              <w:t>RMSEA = 0.088</w:t>
            </w:r>
          </w:p>
        </w:tc>
      </w:tr>
      <w:tr w:rsidR="00EB71F8" w:rsidRPr="0087018C" w14:paraId="0EA161DB" w14:textId="77777777" w:rsidTr="00315FCD">
        <w:tc>
          <w:tcPr>
            <w:tcW w:w="9316" w:type="dxa"/>
            <w:gridSpan w:val="8"/>
            <w:tcBorders>
              <w:bottom w:val="single" w:sz="4" w:space="0" w:color="auto"/>
            </w:tcBorders>
            <w:shd w:val="clear" w:color="auto" w:fill="auto"/>
            <w:vAlign w:val="center"/>
          </w:tcPr>
          <w:p w14:paraId="628475A0" w14:textId="77777777" w:rsidR="00EB71F8" w:rsidRPr="00FE2DDE" w:rsidRDefault="00EB71F8" w:rsidP="00315FCD">
            <w:pPr>
              <w:jc w:val="center"/>
              <w:rPr>
                <w:b/>
                <w:lang w:val="en-US"/>
              </w:rPr>
            </w:pPr>
            <w:r w:rsidRPr="00FE2DDE">
              <w:rPr>
                <w:b/>
                <w:lang w:val="en-US"/>
              </w:rPr>
              <w:t>MODEL B: DC as a first-order reflexive construct</w:t>
            </w:r>
          </w:p>
        </w:tc>
      </w:tr>
      <w:tr w:rsidR="00EB71F8" w:rsidRPr="00FE2DDE" w14:paraId="3CD2C301" w14:textId="77777777" w:rsidTr="00315FCD">
        <w:tc>
          <w:tcPr>
            <w:tcW w:w="9316" w:type="dxa"/>
            <w:gridSpan w:val="8"/>
            <w:tcBorders>
              <w:bottom w:val="nil"/>
            </w:tcBorders>
            <w:shd w:val="clear" w:color="auto" w:fill="auto"/>
            <w:vAlign w:val="center"/>
          </w:tcPr>
          <w:p w14:paraId="6033C328" w14:textId="77777777" w:rsidR="00EB71F8" w:rsidRPr="00FE2DDE" w:rsidRDefault="00EB71F8" w:rsidP="00315FCD">
            <w:pPr>
              <w:jc w:val="center"/>
            </w:pPr>
            <w:r w:rsidRPr="00FE2DDE">
              <w:object w:dxaOrig="10006" w:dyaOrig="4291" w14:anchorId="02C8C6E8">
                <v:shape id="_x0000_i1026" type="#_x0000_t75" style="width:412pt;height:175.5pt" o:ole="">
                  <v:imagedata r:id="rId11" o:title=""/>
                </v:shape>
                <o:OLEObject Type="Embed" ProgID="Visio.Drawing.15" ShapeID="_x0000_i1026" DrawAspect="Content" ObjectID="_1624209177" r:id="rId12"/>
              </w:object>
            </w:r>
          </w:p>
        </w:tc>
      </w:tr>
      <w:tr w:rsidR="00EB71F8" w:rsidRPr="00FE2DDE" w14:paraId="770F8633" w14:textId="77777777" w:rsidTr="00315FCD">
        <w:trPr>
          <w:gridAfter w:val="1"/>
          <w:wAfter w:w="11" w:type="dxa"/>
        </w:trPr>
        <w:tc>
          <w:tcPr>
            <w:tcW w:w="2122" w:type="dxa"/>
            <w:tcBorders>
              <w:top w:val="nil"/>
              <w:right w:val="nil"/>
            </w:tcBorders>
            <w:shd w:val="clear" w:color="auto" w:fill="auto"/>
            <w:vAlign w:val="center"/>
          </w:tcPr>
          <w:p w14:paraId="7C8FBF4C" w14:textId="77777777" w:rsidR="00EB71F8" w:rsidRPr="00FE2DDE" w:rsidRDefault="00EB71F8" w:rsidP="00315FCD">
            <w:pPr>
              <w:jc w:val="center"/>
              <w:rPr>
                <w:i/>
                <w:sz w:val="22"/>
                <w:szCs w:val="22"/>
              </w:rPr>
            </w:pPr>
            <w:r w:rsidRPr="00FE2DDE">
              <w:rPr>
                <w:i/>
                <w:sz w:val="22"/>
                <w:szCs w:val="22"/>
              </w:rPr>
              <w:t>χ²</w:t>
            </w:r>
            <w:r>
              <w:rPr>
                <w:i/>
                <w:sz w:val="22"/>
                <w:szCs w:val="22"/>
              </w:rPr>
              <w:t xml:space="preserve"> = 525.9</w:t>
            </w:r>
          </w:p>
          <w:p w14:paraId="31AAC0D2" w14:textId="77777777" w:rsidR="00EB71F8" w:rsidRPr="00FE2DDE" w:rsidRDefault="00EB71F8" w:rsidP="00315FCD">
            <w:pPr>
              <w:jc w:val="center"/>
              <w:rPr>
                <w:sz w:val="22"/>
                <w:szCs w:val="22"/>
                <w:lang w:val="en-US"/>
              </w:rPr>
            </w:pPr>
            <w:r w:rsidRPr="00FE2DDE">
              <w:rPr>
                <w:i/>
                <w:sz w:val="22"/>
                <w:szCs w:val="22"/>
              </w:rPr>
              <w:t>p &lt; 0.000</w:t>
            </w:r>
          </w:p>
        </w:tc>
        <w:tc>
          <w:tcPr>
            <w:tcW w:w="1817" w:type="dxa"/>
            <w:tcBorders>
              <w:top w:val="nil"/>
              <w:left w:val="nil"/>
              <w:right w:val="nil"/>
            </w:tcBorders>
            <w:shd w:val="clear" w:color="auto" w:fill="auto"/>
            <w:vAlign w:val="center"/>
          </w:tcPr>
          <w:p w14:paraId="7EB3F5A7" w14:textId="77777777" w:rsidR="00EB71F8" w:rsidRPr="00FE2DDE" w:rsidRDefault="00EB71F8" w:rsidP="00315FCD">
            <w:pPr>
              <w:jc w:val="center"/>
              <w:rPr>
                <w:sz w:val="22"/>
                <w:szCs w:val="22"/>
                <w:lang w:val="en-US"/>
              </w:rPr>
            </w:pPr>
            <w:r w:rsidRPr="00FE2DDE">
              <w:rPr>
                <w:i/>
                <w:sz w:val="22"/>
                <w:szCs w:val="22"/>
                <w:lang w:val="en-US"/>
              </w:rPr>
              <w:t>CMIN/df = 1</w:t>
            </w:r>
            <w:r>
              <w:rPr>
                <w:i/>
                <w:sz w:val="22"/>
                <w:szCs w:val="22"/>
                <w:lang w:val="en-US"/>
              </w:rPr>
              <w:t>2</w:t>
            </w:r>
            <w:r w:rsidRPr="00FE2DDE">
              <w:rPr>
                <w:i/>
                <w:sz w:val="22"/>
                <w:szCs w:val="22"/>
                <w:lang w:val="en-US"/>
              </w:rPr>
              <w:t>.</w:t>
            </w:r>
            <w:r>
              <w:rPr>
                <w:i/>
                <w:sz w:val="22"/>
                <w:szCs w:val="22"/>
                <w:lang w:val="en-US"/>
              </w:rPr>
              <w:t>52</w:t>
            </w:r>
          </w:p>
        </w:tc>
        <w:tc>
          <w:tcPr>
            <w:tcW w:w="1337" w:type="dxa"/>
            <w:tcBorders>
              <w:top w:val="nil"/>
              <w:left w:val="nil"/>
              <w:right w:val="nil"/>
            </w:tcBorders>
            <w:shd w:val="clear" w:color="auto" w:fill="auto"/>
            <w:vAlign w:val="center"/>
          </w:tcPr>
          <w:p w14:paraId="58E3FECE" w14:textId="77777777" w:rsidR="00EB71F8" w:rsidRPr="00FE2DDE" w:rsidRDefault="00EB71F8" w:rsidP="00315FCD">
            <w:pPr>
              <w:jc w:val="center"/>
              <w:rPr>
                <w:sz w:val="22"/>
                <w:szCs w:val="22"/>
                <w:lang w:val="en-US"/>
              </w:rPr>
            </w:pPr>
            <w:r w:rsidRPr="00FE2DDE">
              <w:rPr>
                <w:i/>
                <w:sz w:val="22"/>
                <w:szCs w:val="22"/>
                <w:lang w:val="en-US"/>
              </w:rPr>
              <w:t>CFI = 0.7</w:t>
            </w:r>
            <w:r>
              <w:rPr>
                <w:i/>
                <w:sz w:val="22"/>
                <w:szCs w:val="22"/>
                <w:lang w:val="en-US"/>
              </w:rPr>
              <w:t>82</w:t>
            </w:r>
          </w:p>
        </w:tc>
        <w:tc>
          <w:tcPr>
            <w:tcW w:w="1739" w:type="dxa"/>
            <w:gridSpan w:val="2"/>
            <w:tcBorders>
              <w:top w:val="nil"/>
              <w:left w:val="nil"/>
              <w:right w:val="nil"/>
            </w:tcBorders>
            <w:shd w:val="clear" w:color="auto" w:fill="auto"/>
            <w:vAlign w:val="center"/>
          </w:tcPr>
          <w:p w14:paraId="3DB2F77B" w14:textId="77777777" w:rsidR="00EB71F8" w:rsidRPr="00FE2DDE" w:rsidRDefault="00EB71F8" w:rsidP="00315FCD">
            <w:pPr>
              <w:jc w:val="center"/>
              <w:rPr>
                <w:sz w:val="22"/>
                <w:szCs w:val="22"/>
                <w:lang w:val="en-US"/>
              </w:rPr>
            </w:pPr>
            <w:r w:rsidRPr="00FE2DDE">
              <w:rPr>
                <w:i/>
                <w:sz w:val="22"/>
                <w:szCs w:val="22"/>
                <w:lang w:val="en-US"/>
              </w:rPr>
              <w:t>SRMR = 0.1</w:t>
            </w:r>
            <w:r>
              <w:rPr>
                <w:i/>
                <w:sz w:val="22"/>
                <w:szCs w:val="22"/>
                <w:lang w:val="en-US"/>
              </w:rPr>
              <w:t>20</w:t>
            </w:r>
          </w:p>
        </w:tc>
        <w:tc>
          <w:tcPr>
            <w:tcW w:w="2290" w:type="dxa"/>
            <w:gridSpan w:val="2"/>
            <w:tcBorders>
              <w:top w:val="nil"/>
              <w:left w:val="nil"/>
            </w:tcBorders>
            <w:shd w:val="clear" w:color="auto" w:fill="auto"/>
            <w:vAlign w:val="center"/>
          </w:tcPr>
          <w:p w14:paraId="15CD10F0" w14:textId="77777777" w:rsidR="00EB71F8" w:rsidRPr="00FE2DDE" w:rsidRDefault="00EB71F8" w:rsidP="00315FCD">
            <w:pPr>
              <w:jc w:val="center"/>
              <w:rPr>
                <w:sz w:val="22"/>
                <w:szCs w:val="22"/>
                <w:lang w:val="en-US"/>
              </w:rPr>
            </w:pPr>
            <w:r w:rsidRPr="00FE2DDE">
              <w:rPr>
                <w:i/>
                <w:sz w:val="22"/>
                <w:szCs w:val="22"/>
                <w:lang w:val="en-US"/>
              </w:rPr>
              <w:t>RMSEA = 0.1</w:t>
            </w:r>
            <w:r>
              <w:rPr>
                <w:i/>
                <w:sz w:val="22"/>
                <w:szCs w:val="22"/>
                <w:lang w:val="en-US"/>
              </w:rPr>
              <w:t>70</w:t>
            </w:r>
          </w:p>
        </w:tc>
      </w:tr>
    </w:tbl>
    <w:p w14:paraId="62F09CE3" w14:textId="77777777" w:rsidR="00EB71F8" w:rsidRPr="00483EC1" w:rsidRDefault="00EB71F8" w:rsidP="00483EC1">
      <w:pPr>
        <w:rPr>
          <w:lang w:val="en-US" w:eastAsia="en-GB"/>
        </w:rPr>
      </w:pPr>
    </w:p>
    <w:sectPr w:rsidR="00EB71F8" w:rsidRPr="00483EC1" w:rsidSect="003823BD">
      <w:footerReference w:type="default" r:id="rId13"/>
      <w:footerReference w:type="firs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5C94B" w14:textId="77777777" w:rsidR="005467E6" w:rsidRDefault="005467E6" w:rsidP="003462A4">
      <w:r>
        <w:separator/>
      </w:r>
    </w:p>
  </w:endnote>
  <w:endnote w:type="continuationSeparator" w:id="0">
    <w:p w14:paraId="3E74795F" w14:textId="77777777" w:rsidR="005467E6" w:rsidRDefault="005467E6" w:rsidP="00346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604748"/>
      <w:docPartObj>
        <w:docPartGallery w:val="Page Numbers (Bottom of Page)"/>
        <w:docPartUnique/>
      </w:docPartObj>
    </w:sdtPr>
    <w:sdtEndPr>
      <w:rPr>
        <w:rFonts w:ascii="Times New Roman" w:hAnsi="Times New Roman" w:cs="Times New Roman"/>
      </w:rPr>
    </w:sdtEndPr>
    <w:sdtContent>
      <w:p w14:paraId="27850CA4" w14:textId="381F7A1D" w:rsidR="00367786" w:rsidRPr="00F24B7E" w:rsidRDefault="00367786">
        <w:pPr>
          <w:pStyle w:val="Pieddepage"/>
          <w:jc w:val="right"/>
          <w:rPr>
            <w:rFonts w:ascii="Times New Roman" w:hAnsi="Times New Roman" w:cs="Times New Roman"/>
          </w:rPr>
        </w:pPr>
        <w:r w:rsidRPr="00F24B7E">
          <w:rPr>
            <w:rFonts w:ascii="Times New Roman" w:hAnsi="Times New Roman" w:cs="Times New Roman"/>
          </w:rPr>
          <w:fldChar w:fldCharType="begin"/>
        </w:r>
        <w:r w:rsidRPr="00854664">
          <w:rPr>
            <w:rFonts w:ascii="Times New Roman" w:hAnsi="Times New Roman" w:cs="Times New Roman"/>
          </w:rPr>
          <w:instrText>PAGE   \* MERGEFORMAT</w:instrText>
        </w:r>
        <w:r w:rsidRPr="00F24B7E">
          <w:rPr>
            <w:rFonts w:ascii="Times New Roman" w:hAnsi="Times New Roman" w:cs="Times New Roman"/>
          </w:rPr>
          <w:fldChar w:fldCharType="separate"/>
        </w:r>
        <w:r w:rsidRPr="00854664">
          <w:rPr>
            <w:rFonts w:ascii="Times New Roman" w:hAnsi="Times New Roman" w:cs="Times New Roman"/>
          </w:rPr>
          <w:t>2</w:t>
        </w:r>
        <w:r w:rsidRPr="00F24B7E">
          <w:rPr>
            <w:rFonts w:ascii="Times New Roman" w:hAnsi="Times New Roman" w:cs="Times New Roman"/>
          </w:rPr>
          <w:fldChar w:fldCharType="end"/>
        </w:r>
      </w:p>
    </w:sdtContent>
  </w:sdt>
  <w:p w14:paraId="3EFAE011" w14:textId="77777777" w:rsidR="00367786" w:rsidRDefault="003677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AF7D1" w14:textId="1593BBBD" w:rsidR="00367786" w:rsidRDefault="00367786" w:rsidP="00A5710D">
    <w:pPr>
      <w:pStyle w:val="Pieddepage"/>
      <w:jc w:val="right"/>
    </w:pPr>
    <w:r>
      <w:fldChar w:fldCharType="begin"/>
    </w:r>
    <w:r w:rsidRPr="00A5710D">
      <w:instrText>PAGE   \* MERGEFORMAT</w:instrText>
    </w:r>
    <w:r>
      <w:fldChar w:fldCharType="separate"/>
    </w:r>
    <w:r>
      <w:rPr>
        <w:noProof/>
      </w:rPr>
      <w:t>1</w:t>
    </w:r>
    <w:r>
      <w:fldChar w:fldCharType="end"/>
    </w:r>
  </w:p>
  <w:p w14:paraId="769A0CA3" w14:textId="77777777" w:rsidR="00367786" w:rsidRDefault="003677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C1412" w14:textId="77777777" w:rsidR="005467E6" w:rsidRDefault="005467E6" w:rsidP="003462A4">
      <w:r>
        <w:separator/>
      </w:r>
    </w:p>
  </w:footnote>
  <w:footnote w:type="continuationSeparator" w:id="0">
    <w:p w14:paraId="0236471B" w14:textId="77777777" w:rsidR="005467E6" w:rsidRDefault="005467E6" w:rsidP="003462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02F85"/>
    <w:multiLevelType w:val="hybridMultilevel"/>
    <w:tmpl w:val="EC3A1D26"/>
    <w:lvl w:ilvl="0" w:tplc="09DA65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8E7F2B"/>
    <w:multiLevelType w:val="hybridMultilevel"/>
    <w:tmpl w:val="48DEC2EA"/>
    <w:lvl w:ilvl="0" w:tplc="AF7248D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3B65381"/>
    <w:multiLevelType w:val="hybridMultilevel"/>
    <w:tmpl w:val="17685000"/>
    <w:lvl w:ilvl="0" w:tplc="6FDA5DA8">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53936802"/>
    <w:multiLevelType w:val="hybridMultilevel"/>
    <w:tmpl w:val="BF4433F4"/>
    <w:lvl w:ilvl="0" w:tplc="58A41E4C">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3A47FBA"/>
    <w:multiLevelType w:val="hybridMultilevel"/>
    <w:tmpl w:val="AB3EF92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55E217A8"/>
    <w:multiLevelType w:val="hybridMultilevel"/>
    <w:tmpl w:val="17685000"/>
    <w:lvl w:ilvl="0" w:tplc="6FDA5DA8">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6B817DC6"/>
    <w:multiLevelType w:val="hybridMultilevel"/>
    <w:tmpl w:val="17685000"/>
    <w:lvl w:ilvl="0" w:tplc="6FDA5DA8">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6E8A62AD"/>
    <w:multiLevelType w:val="hybridMultilevel"/>
    <w:tmpl w:val="370E6164"/>
    <w:lvl w:ilvl="0" w:tplc="90C09D9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2"/>
  </w:num>
  <w:num w:numId="5">
    <w:abstractNumId w:val="6"/>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A3F"/>
    <w:rsid w:val="00001C02"/>
    <w:rsid w:val="00001E48"/>
    <w:rsid w:val="00001F3B"/>
    <w:rsid w:val="00001FFD"/>
    <w:rsid w:val="00002FB3"/>
    <w:rsid w:val="0000325F"/>
    <w:rsid w:val="00003336"/>
    <w:rsid w:val="000044D2"/>
    <w:rsid w:val="00004B52"/>
    <w:rsid w:val="00005F88"/>
    <w:rsid w:val="000061AB"/>
    <w:rsid w:val="00007D83"/>
    <w:rsid w:val="00010101"/>
    <w:rsid w:val="000116C0"/>
    <w:rsid w:val="00012337"/>
    <w:rsid w:val="0001254E"/>
    <w:rsid w:val="00013580"/>
    <w:rsid w:val="000164B2"/>
    <w:rsid w:val="0001666A"/>
    <w:rsid w:val="00016E9C"/>
    <w:rsid w:val="00016F63"/>
    <w:rsid w:val="00017110"/>
    <w:rsid w:val="00017324"/>
    <w:rsid w:val="00017370"/>
    <w:rsid w:val="00017555"/>
    <w:rsid w:val="0001764D"/>
    <w:rsid w:val="00017EC5"/>
    <w:rsid w:val="000209DF"/>
    <w:rsid w:val="000214D4"/>
    <w:rsid w:val="00021DE3"/>
    <w:rsid w:val="00021E59"/>
    <w:rsid w:val="00022F7F"/>
    <w:rsid w:val="00022FC3"/>
    <w:rsid w:val="00023035"/>
    <w:rsid w:val="00023B37"/>
    <w:rsid w:val="000244BD"/>
    <w:rsid w:val="000249A5"/>
    <w:rsid w:val="00024B85"/>
    <w:rsid w:val="0002525A"/>
    <w:rsid w:val="00025A95"/>
    <w:rsid w:val="00026C37"/>
    <w:rsid w:val="00027829"/>
    <w:rsid w:val="00030135"/>
    <w:rsid w:val="000301C9"/>
    <w:rsid w:val="00034990"/>
    <w:rsid w:val="00034C6E"/>
    <w:rsid w:val="000357AC"/>
    <w:rsid w:val="00035BF0"/>
    <w:rsid w:val="00035F38"/>
    <w:rsid w:val="00036284"/>
    <w:rsid w:val="00036D32"/>
    <w:rsid w:val="00036DF3"/>
    <w:rsid w:val="00037059"/>
    <w:rsid w:val="000373F6"/>
    <w:rsid w:val="0004089C"/>
    <w:rsid w:val="00041B74"/>
    <w:rsid w:val="000424D7"/>
    <w:rsid w:val="00042609"/>
    <w:rsid w:val="0004272C"/>
    <w:rsid w:val="000429F3"/>
    <w:rsid w:val="000430E2"/>
    <w:rsid w:val="00044969"/>
    <w:rsid w:val="00044CD8"/>
    <w:rsid w:val="00044D70"/>
    <w:rsid w:val="000459FF"/>
    <w:rsid w:val="00045A06"/>
    <w:rsid w:val="00045C38"/>
    <w:rsid w:val="00046605"/>
    <w:rsid w:val="000468A0"/>
    <w:rsid w:val="00046CB8"/>
    <w:rsid w:val="00047707"/>
    <w:rsid w:val="00047D6B"/>
    <w:rsid w:val="000520B3"/>
    <w:rsid w:val="0005211F"/>
    <w:rsid w:val="000531DD"/>
    <w:rsid w:val="000532A5"/>
    <w:rsid w:val="00053360"/>
    <w:rsid w:val="00053864"/>
    <w:rsid w:val="00053D6A"/>
    <w:rsid w:val="000548EB"/>
    <w:rsid w:val="00054DD0"/>
    <w:rsid w:val="000556CE"/>
    <w:rsid w:val="0005685B"/>
    <w:rsid w:val="00056F3C"/>
    <w:rsid w:val="0005713F"/>
    <w:rsid w:val="00057672"/>
    <w:rsid w:val="00061143"/>
    <w:rsid w:val="000613AE"/>
    <w:rsid w:val="00062019"/>
    <w:rsid w:val="000620EE"/>
    <w:rsid w:val="0006370D"/>
    <w:rsid w:val="00063ABF"/>
    <w:rsid w:val="00064776"/>
    <w:rsid w:val="00064860"/>
    <w:rsid w:val="000653A1"/>
    <w:rsid w:val="000653ED"/>
    <w:rsid w:val="0006557B"/>
    <w:rsid w:val="000665AF"/>
    <w:rsid w:val="00066737"/>
    <w:rsid w:val="0006692E"/>
    <w:rsid w:val="00066C3C"/>
    <w:rsid w:val="0006709A"/>
    <w:rsid w:val="0006768A"/>
    <w:rsid w:val="000701F6"/>
    <w:rsid w:val="00070BDE"/>
    <w:rsid w:val="000715FA"/>
    <w:rsid w:val="000718A1"/>
    <w:rsid w:val="0007196F"/>
    <w:rsid w:val="00072859"/>
    <w:rsid w:val="00072B04"/>
    <w:rsid w:val="00072B3A"/>
    <w:rsid w:val="00072C68"/>
    <w:rsid w:val="00072FD6"/>
    <w:rsid w:val="00073D22"/>
    <w:rsid w:val="00074F90"/>
    <w:rsid w:val="00075C29"/>
    <w:rsid w:val="00076321"/>
    <w:rsid w:val="0007693E"/>
    <w:rsid w:val="00077116"/>
    <w:rsid w:val="00077412"/>
    <w:rsid w:val="000779AA"/>
    <w:rsid w:val="00077C56"/>
    <w:rsid w:val="00077DF1"/>
    <w:rsid w:val="000806DE"/>
    <w:rsid w:val="00081ED6"/>
    <w:rsid w:val="000826A0"/>
    <w:rsid w:val="000832B0"/>
    <w:rsid w:val="00083838"/>
    <w:rsid w:val="0008407D"/>
    <w:rsid w:val="000860A0"/>
    <w:rsid w:val="0008762C"/>
    <w:rsid w:val="000876BC"/>
    <w:rsid w:val="00087E43"/>
    <w:rsid w:val="00090223"/>
    <w:rsid w:val="000903D7"/>
    <w:rsid w:val="00090711"/>
    <w:rsid w:val="0009073C"/>
    <w:rsid w:val="00091E55"/>
    <w:rsid w:val="000927FB"/>
    <w:rsid w:val="00092F6B"/>
    <w:rsid w:val="00093EB2"/>
    <w:rsid w:val="00094882"/>
    <w:rsid w:val="00094BF0"/>
    <w:rsid w:val="000951A9"/>
    <w:rsid w:val="00095E45"/>
    <w:rsid w:val="000968C7"/>
    <w:rsid w:val="00096FD6"/>
    <w:rsid w:val="00097556"/>
    <w:rsid w:val="00097695"/>
    <w:rsid w:val="00097B78"/>
    <w:rsid w:val="000A2040"/>
    <w:rsid w:val="000A22E1"/>
    <w:rsid w:val="000A2CE7"/>
    <w:rsid w:val="000A5EC8"/>
    <w:rsid w:val="000A688D"/>
    <w:rsid w:val="000A6978"/>
    <w:rsid w:val="000A6DA0"/>
    <w:rsid w:val="000A6E70"/>
    <w:rsid w:val="000A77C7"/>
    <w:rsid w:val="000A7D0F"/>
    <w:rsid w:val="000B16F7"/>
    <w:rsid w:val="000B1D7A"/>
    <w:rsid w:val="000B2834"/>
    <w:rsid w:val="000B2A77"/>
    <w:rsid w:val="000B42FB"/>
    <w:rsid w:val="000B47D9"/>
    <w:rsid w:val="000B4D25"/>
    <w:rsid w:val="000B5D30"/>
    <w:rsid w:val="000B5D46"/>
    <w:rsid w:val="000B6193"/>
    <w:rsid w:val="000B6208"/>
    <w:rsid w:val="000B6B38"/>
    <w:rsid w:val="000B7519"/>
    <w:rsid w:val="000C02F0"/>
    <w:rsid w:val="000C0B52"/>
    <w:rsid w:val="000C1DEE"/>
    <w:rsid w:val="000C233E"/>
    <w:rsid w:val="000C2987"/>
    <w:rsid w:val="000C2A82"/>
    <w:rsid w:val="000C3D0C"/>
    <w:rsid w:val="000C4748"/>
    <w:rsid w:val="000C4B1A"/>
    <w:rsid w:val="000C546C"/>
    <w:rsid w:val="000C5F9E"/>
    <w:rsid w:val="000C6D72"/>
    <w:rsid w:val="000C7671"/>
    <w:rsid w:val="000C7927"/>
    <w:rsid w:val="000C7BF5"/>
    <w:rsid w:val="000C7D9D"/>
    <w:rsid w:val="000D00B9"/>
    <w:rsid w:val="000D1C95"/>
    <w:rsid w:val="000D1CE4"/>
    <w:rsid w:val="000D2C30"/>
    <w:rsid w:val="000D3292"/>
    <w:rsid w:val="000D3E2E"/>
    <w:rsid w:val="000D3E4B"/>
    <w:rsid w:val="000D4CF2"/>
    <w:rsid w:val="000D4D1D"/>
    <w:rsid w:val="000D6B93"/>
    <w:rsid w:val="000D6DDA"/>
    <w:rsid w:val="000D7C55"/>
    <w:rsid w:val="000E0767"/>
    <w:rsid w:val="000E0C52"/>
    <w:rsid w:val="000E0DB5"/>
    <w:rsid w:val="000E1C63"/>
    <w:rsid w:val="000E1FEB"/>
    <w:rsid w:val="000E2478"/>
    <w:rsid w:val="000E305B"/>
    <w:rsid w:val="000E3BEB"/>
    <w:rsid w:val="000E4329"/>
    <w:rsid w:val="000E526B"/>
    <w:rsid w:val="000E65AF"/>
    <w:rsid w:val="000E6A85"/>
    <w:rsid w:val="000E6ED8"/>
    <w:rsid w:val="000E7CE5"/>
    <w:rsid w:val="000F009B"/>
    <w:rsid w:val="000F02BA"/>
    <w:rsid w:val="000F0332"/>
    <w:rsid w:val="000F04DE"/>
    <w:rsid w:val="000F16E0"/>
    <w:rsid w:val="000F1C65"/>
    <w:rsid w:val="000F1D2F"/>
    <w:rsid w:val="000F2166"/>
    <w:rsid w:val="000F22D6"/>
    <w:rsid w:val="000F242B"/>
    <w:rsid w:val="000F24C5"/>
    <w:rsid w:val="000F2D9F"/>
    <w:rsid w:val="000F3127"/>
    <w:rsid w:val="000F3488"/>
    <w:rsid w:val="000F430D"/>
    <w:rsid w:val="000F436D"/>
    <w:rsid w:val="000F44AA"/>
    <w:rsid w:val="000F4E34"/>
    <w:rsid w:val="000F5122"/>
    <w:rsid w:val="000F5ECA"/>
    <w:rsid w:val="000F6B46"/>
    <w:rsid w:val="000F738F"/>
    <w:rsid w:val="000F7F8E"/>
    <w:rsid w:val="00100D33"/>
    <w:rsid w:val="00101112"/>
    <w:rsid w:val="001013E1"/>
    <w:rsid w:val="001023FA"/>
    <w:rsid w:val="00102CA7"/>
    <w:rsid w:val="001039F2"/>
    <w:rsid w:val="00103B18"/>
    <w:rsid w:val="0010413F"/>
    <w:rsid w:val="001048EE"/>
    <w:rsid w:val="001054B9"/>
    <w:rsid w:val="00105BB3"/>
    <w:rsid w:val="00105D21"/>
    <w:rsid w:val="001062EA"/>
    <w:rsid w:val="00106773"/>
    <w:rsid w:val="00106E79"/>
    <w:rsid w:val="00107FA8"/>
    <w:rsid w:val="0011048E"/>
    <w:rsid w:val="001105E9"/>
    <w:rsid w:val="00110C99"/>
    <w:rsid w:val="00111547"/>
    <w:rsid w:val="00112D53"/>
    <w:rsid w:val="001136FF"/>
    <w:rsid w:val="001153EC"/>
    <w:rsid w:val="00115AD7"/>
    <w:rsid w:val="00115FC6"/>
    <w:rsid w:val="00116491"/>
    <w:rsid w:val="001167E3"/>
    <w:rsid w:val="00116B6C"/>
    <w:rsid w:val="00116C31"/>
    <w:rsid w:val="001174B1"/>
    <w:rsid w:val="0011790C"/>
    <w:rsid w:val="00120761"/>
    <w:rsid w:val="00121EC8"/>
    <w:rsid w:val="001224A3"/>
    <w:rsid w:val="0012379B"/>
    <w:rsid w:val="00123803"/>
    <w:rsid w:val="00124108"/>
    <w:rsid w:val="0012497B"/>
    <w:rsid w:val="00124C7E"/>
    <w:rsid w:val="00125194"/>
    <w:rsid w:val="001253E4"/>
    <w:rsid w:val="001253F9"/>
    <w:rsid w:val="00125AE0"/>
    <w:rsid w:val="001268E2"/>
    <w:rsid w:val="001269FA"/>
    <w:rsid w:val="001272BB"/>
    <w:rsid w:val="001274CA"/>
    <w:rsid w:val="001277C3"/>
    <w:rsid w:val="001277E9"/>
    <w:rsid w:val="0013069A"/>
    <w:rsid w:val="00131399"/>
    <w:rsid w:val="00133067"/>
    <w:rsid w:val="00133956"/>
    <w:rsid w:val="00134E24"/>
    <w:rsid w:val="001351EF"/>
    <w:rsid w:val="0013555A"/>
    <w:rsid w:val="00135603"/>
    <w:rsid w:val="001369A5"/>
    <w:rsid w:val="00136A9A"/>
    <w:rsid w:val="00136F8C"/>
    <w:rsid w:val="00137F1B"/>
    <w:rsid w:val="00140CB2"/>
    <w:rsid w:val="001412E9"/>
    <w:rsid w:val="0014196F"/>
    <w:rsid w:val="001421BC"/>
    <w:rsid w:val="001431E1"/>
    <w:rsid w:val="0014369F"/>
    <w:rsid w:val="00143707"/>
    <w:rsid w:val="00145022"/>
    <w:rsid w:val="001451A6"/>
    <w:rsid w:val="00146688"/>
    <w:rsid w:val="00146896"/>
    <w:rsid w:val="0014720E"/>
    <w:rsid w:val="0014791E"/>
    <w:rsid w:val="00147E3A"/>
    <w:rsid w:val="00150351"/>
    <w:rsid w:val="001504FB"/>
    <w:rsid w:val="001505A7"/>
    <w:rsid w:val="001509D8"/>
    <w:rsid w:val="00151A95"/>
    <w:rsid w:val="00151AAE"/>
    <w:rsid w:val="001522AD"/>
    <w:rsid w:val="00153815"/>
    <w:rsid w:val="00154FEA"/>
    <w:rsid w:val="0015760D"/>
    <w:rsid w:val="00157B5D"/>
    <w:rsid w:val="001603B6"/>
    <w:rsid w:val="0016087E"/>
    <w:rsid w:val="00160D76"/>
    <w:rsid w:val="001627DD"/>
    <w:rsid w:val="00162857"/>
    <w:rsid w:val="00162AB1"/>
    <w:rsid w:val="00164376"/>
    <w:rsid w:val="001648F8"/>
    <w:rsid w:val="001659BE"/>
    <w:rsid w:val="00165F33"/>
    <w:rsid w:val="00165F66"/>
    <w:rsid w:val="0016687D"/>
    <w:rsid w:val="00167FEB"/>
    <w:rsid w:val="00170153"/>
    <w:rsid w:val="0017028D"/>
    <w:rsid w:val="00170E4E"/>
    <w:rsid w:val="0017128A"/>
    <w:rsid w:val="00171319"/>
    <w:rsid w:val="00171B68"/>
    <w:rsid w:val="0017241C"/>
    <w:rsid w:val="00173998"/>
    <w:rsid w:val="00174371"/>
    <w:rsid w:val="001747DF"/>
    <w:rsid w:val="00175220"/>
    <w:rsid w:val="00175700"/>
    <w:rsid w:val="0017574E"/>
    <w:rsid w:val="00175BCA"/>
    <w:rsid w:val="00175D86"/>
    <w:rsid w:val="00175E4A"/>
    <w:rsid w:val="00175E65"/>
    <w:rsid w:val="0017602A"/>
    <w:rsid w:val="0017630A"/>
    <w:rsid w:val="00176FDA"/>
    <w:rsid w:val="00177471"/>
    <w:rsid w:val="00177EAA"/>
    <w:rsid w:val="00181296"/>
    <w:rsid w:val="00181425"/>
    <w:rsid w:val="00181520"/>
    <w:rsid w:val="00182221"/>
    <w:rsid w:val="0018263D"/>
    <w:rsid w:val="00182731"/>
    <w:rsid w:val="00182A86"/>
    <w:rsid w:val="0018536E"/>
    <w:rsid w:val="0018619E"/>
    <w:rsid w:val="001863AD"/>
    <w:rsid w:val="00187295"/>
    <w:rsid w:val="0018752E"/>
    <w:rsid w:val="001878AD"/>
    <w:rsid w:val="00187A20"/>
    <w:rsid w:val="001902D0"/>
    <w:rsid w:val="00190731"/>
    <w:rsid w:val="00191D4D"/>
    <w:rsid w:val="00192697"/>
    <w:rsid w:val="0019273D"/>
    <w:rsid w:val="00192B83"/>
    <w:rsid w:val="00192F58"/>
    <w:rsid w:val="00193C2C"/>
    <w:rsid w:val="001947F0"/>
    <w:rsid w:val="0019687C"/>
    <w:rsid w:val="0019721E"/>
    <w:rsid w:val="00197305"/>
    <w:rsid w:val="001979D8"/>
    <w:rsid w:val="001A01BD"/>
    <w:rsid w:val="001A0525"/>
    <w:rsid w:val="001A0601"/>
    <w:rsid w:val="001A082F"/>
    <w:rsid w:val="001A1268"/>
    <w:rsid w:val="001A423E"/>
    <w:rsid w:val="001A453A"/>
    <w:rsid w:val="001A520F"/>
    <w:rsid w:val="001A538E"/>
    <w:rsid w:val="001A58B7"/>
    <w:rsid w:val="001A6348"/>
    <w:rsid w:val="001A6713"/>
    <w:rsid w:val="001A7B76"/>
    <w:rsid w:val="001B1D9F"/>
    <w:rsid w:val="001B1F7E"/>
    <w:rsid w:val="001B1FB4"/>
    <w:rsid w:val="001B2A00"/>
    <w:rsid w:val="001B30EC"/>
    <w:rsid w:val="001B3120"/>
    <w:rsid w:val="001B3193"/>
    <w:rsid w:val="001B3DB2"/>
    <w:rsid w:val="001B4901"/>
    <w:rsid w:val="001B4B15"/>
    <w:rsid w:val="001B5A0F"/>
    <w:rsid w:val="001B5EA3"/>
    <w:rsid w:val="001B6421"/>
    <w:rsid w:val="001B7342"/>
    <w:rsid w:val="001B7464"/>
    <w:rsid w:val="001B7DAE"/>
    <w:rsid w:val="001B7F50"/>
    <w:rsid w:val="001C0317"/>
    <w:rsid w:val="001C0632"/>
    <w:rsid w:val="001C0E88"/>
    <w:rsid w:val="001C0F06"/>
    <w:rsid w:val="001C1CC0"/>
    <w:rsid w:val="001C243B"/>
    <w:rsid w:val="001C2F8E"/>
    <w:rsid w:val="001C3C0F"/>
    <w:rsid w:val="001C3E3F"/>
    <w:rsid w:val="001C44D0"/>
    <w:rsid w:val="001C4679"/>
    <w:rsid w:val="001C4AEB"/>
    <w:rsid w:val="001C4BB9"/>
    <w:rsid w:val="001C6208"/>
    <w:rsid w:val="001D07B3"/>
    <w:rsid w:val="001D1F97"/>
    <w:rsid w:val="001D2B8D"/>
    <w:rsid w:val="001D3221"/>
    <w:rsid w:val="001D4B3B"/>
    <w:rsid w:val="001D6266"/>
    <w:rsid w:val="001D649F"/>
    <w:rsid w:val="001D689D"/>
    <w:rsid w:val="001D6F74"/>
    <w:rsid w:val="001D753C"/>
    <w:rsid w:val="001D7CDB"/>
    <w:rsid w:val="001E050E"/>
    <w:rsid w:val="001E10A2"/>
    <w:rsid w:val="001E1E51"/>
    <w:rsid w:val="001E252F"/>
    <w:rsid w:val="001E41A6"/>
    <w:rsid w:val="001E48F5"/>
    <w:rsid w:val="001E4FC4"/>
    <w:rsid w:val="001E6065"/>
    <w:rsid w:val="001E64CC"/>
    <w:rsid w:val="001E652A"/>
    <w:rsid w:val="001E654E"/>
    <w:rsid w:val="001E6643"/>
    <w:rsid w:val="001E693C"/>
    <w:rsid w:val="001E775B"/>
    <w:rsid w:val="001F04A8"/>
    <w:rsid w:val="001F055E"/>
    <w:rsid w:val="001F08EC"/>
    <w:rsid w:val="001F1A5F"/>
    <w:rsid w:val="001F1FCA"/>
    <w:rsid w:val="001F2019"/>
    <w:rsid w:val="001F386F"/>
    <w:rsid w:val="001F3B18"/>
    <w:rsid w:val="001F3E4E"/>
    <w:rsid w:val="001F4B6D"/>
    <w:rsid w:val="001F5641"/>
    <w:rsid w:val="001F5FC1"/>
    <w:rsid w:val="001F6A48"/>
    <w:rsid w:val="001F7835"/>
    <w:rsid w:val="001F7AC7"/>
    <w:rsid w:val="0020023C"/>
    <w:rsid w:val="00200B1C"/>
    <w:rsid w:val="00200E65"/>
    <w:rsid w:val="002011CF"/>
    <w:rsid w:val="00201684"/>
    <w:rsid w:val="002022E2"/>
    <w:rsid w:val="00203663"/>
    <w:rsid w:val="00204D63"/>
    <w:rsid w:val="00204F19"/>
    <w:rsid w:val="002050D1"/>
    <w:rsid w:val="0020521A"/>
    <w:rsid w:val="0020584B"/>
    <w:rsid w:val="00210595"/>
    <w:rsid w:val="00213184"/>
    <w:rsid w:val="0021352E"/>
    <w:rsid w:val="00214961"/>
    <w:rsid w:val="0021499F"/>
    <w:rsid w:val="00215286"/>
    <w:rsid w:val="00215819"/>
    <w:rsid w:val="00215DD8"/>
    <w:rsid w:val="00216227"/>
    <w:rsid w:val="002162AC"/>
    <w:rsid w:val="00216BE3"/>
    <w:rsid w:val="00217592"/>
    <w:rsid w:val="00220565"/>
    <w:rsid w:val="00220E76"/>
    <w:rsid w:val="00220EC5"/>
    <w:rsid w:val="00221CE0"/>
    <w:rsid w:val="002221F8"/>
    <w:rsid w:val="002231B8"/>
    <w:rsid w:val="00223295"/>
    <w:rsid w:val="00223488"/>
    <w:rsid w:val="0022397D"/>
    <w:rsid w:val="00223CF3"/>
    <w:rsid w:val="00224CF9"/>
    <w:rsid w:val="00224D82"/>
    <w:rsid w:val="0022519E"/>
    <w:rsid w:val="002259BB"/>
    <w:rsid w:val="00225A64"/>
    <w:rsid w:val="00226709"/>
    <w:rsid w:val="00227115"/>
    <w:rsid w:val="002271DF"/>
    <w:rsid w:val="00230DDA"/>
    <w:rsid w:val="00231BAA"/>
    <w:rsid w:val="002321F7"/>
    <w:rsid w:val="00232363"/>
    <w:rsid w:val="00234B5E"/>
    <w:rsid w:val="00234EDC"/>
    <w:rsid w:val="002351AF"/>
    <w:rsid w:val="002358CF"/>
    <w:rsid w:val="00236691"/>
    <w:rsid w:val="00236F76"/>
    <w:rsid w:val="00237BDD"/>
    <w:rsid w:val="00237D26"/>
    <w:rsid w:val="00237DCE"/>
    <w:rsid w:val="002405B2"/>
    <w:rsid w:val="002421D0"/>
    <w:rsid w:val="0024232A"/>
    <w:rsid w:val="00242492"/>
    <w:rsid w:val="00242695"/>
    <w:rsid w:val="002426E6"/>
    <w:rsid w:val="0024291F"/>
    <w:rsid w:val="00242D8F"/>
    <w:rsid w:val="002436B6"/>
    <w:rsid w:val="00244675"/>
    <w:rsid w:val="0024471F"/>
    <w:rsid w:val="00244A73"/>
    <w:rsid w:val="00245756"/>
    <w:rsid w:val="00245B05"/>
    <w:rsid w:val="002474DD"/>
    <w:rsid w:val="002475F4"/>
    <w:rsid w:val="00247DC4"/>
    <w:rsid w:val="00250215"/>
    <w:rsid w:val="002511A4"/>
    <w:rsid w:val="00251DF1"/>
    <w:rsid w:val="0025257A"/>
    <w:rsid w:val="00252A9D"/>
    <w:rsid w:val="00252C15"/>
    <w:rsid w:val="00253AA8"/>
    <w:rsid w:val="0025575D"/>
    <w:rsid w:val="00255795"/>
    <w:rsid w:val="002575E6"/>
    <w:rsid w:val="00257A6D"/>
    <w:rsid w:val="00257BBF"/>
    <w:rsid w:val="002608B4"/>
    <w:rsid w:val="00261247"/>
    <w:rsid w:val="002620F8"/>
    <w:rsid w:val="002628EA"/>
    <w:rsid w:val="00263B7C"/>
    <w:rsid w:val="00264B60"/>
    <w:rsid w:val="002659F2"/>
    <w:rsid w:val="00266304"/>
    <w:rsid w:val="002664A7"/>
    <w:rsid w:val="00266639"/>
    <w:rsid w:val="00266BEB"/>
    <w:rsid w:val="00271125"/>
    <w:rsid w:val="0027120A"/>
    <w:rsid w:val="002715C5"/>
    <w:rsid w:val="00271BCA"/>
    <w:rsid w:val="0027200C"/>
    <w:rsid w:val="002721DD"/>
    <w:rsid w:val="002723EF"/>
    <w:rsid w:val="00272DD2"/>
    <w:rsid w:val="002735C8"/>
    <w:rsid w:val="002738EE"/>
    <w:rsid w:val="00274285"/>
    <w:rsid w:val="002746FF"/>
    <w:rsid w:val="0027472A"/>
    <w:rsid w:val="00275D83"/>
    <w:rsid w:val="0027725D"/>
    <w:rsid w:val="0027735E"/>
    <w:rsid w:val="002801D4"/>
    <w:rsid w:val="00280E31"/>
    <w:rsid w:val="00281708"/>
    <w:rsid w:val="00282659"/>
    <w:rsid w:val="002828C3"/>
    <w:rsid w:val="002829BB"/>
    <w:rsid w:val="00282A31"/>
    <w:rsid w:val="00282FF8"/>
    <w:rsid w:val="00283B3F"/>
    <w:rsid w:val="00284827"/>
    <w:rsid w:val="00284973"/>
    <w:rsid w:val="00284DB0"/>
    <w:rsid w:val="00285C33"/>
    <w:rsid w:val="002865E5"/>
    <w:rsid w:val="00287583"/>
    <w:rsid w:val="00287E20"/>
    <w:rsid w:val="002904BF"/>
    <w:rsid w:val="00290881"/>
    <w:rsid w:val="0029230F"/>
    <w:rsid w:val="00292D62"/>
    <w:rsid w:val="00292EA7"/>
    <w:rsid w:val="00292F9C"/>
    <w:rsid w:val="00293397"/>
    <w:rsid w:val="00294ECA"/>
    <w:rsid w:val="00295B42"/>
    <w:rsid w:val="002967F5"/>
    <w:rsid w:val="00296A6E"/>
    <w:rsid w:val="00296C6A"/>
    <w:rsid w:val="00297E38"/>
    <w:rsid w:val="002A0950"/>
    <w:rsid w:val="002A142E"/>
    <w:rsid w:val="002A1567"/>
    <w:rsid w:val="002A1746"/>
    <w:rsid w:val="002A1E0B"/>
    <w:rsid w:val="002A2E25"/>
    <w:rsid w:val="002A3A33"/>
    <w:rsid w:val="002A3A8A"/>
    <w:rsid w:val="002A3BF7"/>
    <w:rsid w:val="002A3E2F"/>
    <w:rsid w:val="002A3F57"/>
    <w:rsid w:val="002A3FDC"/>
    <w:rsid w:val="002A4F6E"/>
    <w:rsid w:val="002A648B"/>
    <w:rsid w:val="002A7588"/>
    <w:rsid w:val="002A79A7"/>
    <w:rsid w:val="002A7D61"/>
    <w:rsid w:val="002B1803"/>
    <w:rsid w:val="002B1D4D"/>
    <w:rsid w:val="002B2BDF"/>
    <w:rsid w:val="002B3419"/>
    <w:rsid w:val="002B408A"/>
    <w:rsid w:val="002B4324"/>
    <w:rsid w:val="002B46F1"/>
    <w:rsid w:val="002B4FE7"/>
    <w:rsid w:val="002B6006"/>
    <w:rsid w:val="002B6345"/>
    <w:rsid w:val="002B654D"/>
    <w:rsid w:val="002C011F"/>
    <w:rsid w:val="002C19EB"/>
    <w:rsid w:val="002C3C8D"/>
    <w:rsid w:val="002C3D66"/>
    <w:rsid w:val="002C41DD"/>
    <w:rsid w:val="002C484D"/>
    <w:rsid w:val="002C53F9"/>
    <w:rsid w:val="002D0709"/>
    <w:rsid w:val="002D07F2"/>
    <w:rsid w:val="002D0A0B"/>
    <w:rsid w:val="002D20EC"/>
    <w:rsid w:val="002D269F"/>
    <w:rsid w:val="002D2D95"/>
    <w:rsid w:val="002D37D2"/>
    <w:rsid w:val="002D3E29"/>
    <w:rsid w:val="002D3F8E"/>
    <w:rsid w:val="002D489E"/>
    <w:rsid w:val="002D5122"/>
    <w:rsid w:val="002D5618"/>
    <w:rsid w:val="002D5777"/>
    <w:rsid w:val="002D5945"/>
    <w:rsid w:val="002D5B22"/>
    <w:rsid w:val="002D6129"/>
    <w:rsid w:val="002D68BF"/>
    <w:rsid w:val="002D71EE"/>
    <w:rsid w:val="002E0051"/>
    <w:rsid w:val="002E1314"/>
    <w:rsid w:val="002E2153"/>
    <w:rsid w:val="002E4811"/>
    <w:rsid w:val="002E48C0"/>
    <w:rsid w:val="002E4A6E"/>
    <w:rsid w:val="002E5110"/>
    <w:rsid w:val="002E5388"/>
    <w:rsid w:val="002E55D1"/>
    <w:rsid w:val="002E6DC0"/>
    <w:rsid w:val="002E704E"/>
    <w:rsid w:val="002F0992"/>
    <w:rsid w:val="002F0BAC"/>
    <w:rsid w:val="002F1B73"/>
    <w:rsid w:val="002F2098"/>
    <w:rsid w:val="002F283D"/>
    <w:rsid w:val="002F2AA5"/>
    <w:rsid w:val="002F332E"/>
    <w:rsid w:val="002F3B85"/>
    <w:rsid w:val="002F3C09"/>
    <w:rsid w:val="002F4370"/>
    <w:rsid w:val="002F4C1D"/>
    <w:rsid w:val="002F5165"/>
    <w:rsid w:val="002F5848"/>
    <w:rsid w:val="002F7601"/>
    <w:rsid w:val="002F7964"/>
    <w:rsid w:val="002F7B20"/>
    <w:rsid w:val="002F7C42"/>
    <w:rsid w:val="00300CE5"/>
    <w:rsid w:val="0030135C"/>
    <w:rsid w:val="00301ED3"/>
    <w:rsid w:val="00303C89"/>
    <w:rsid w:val="003040D6"/>
    <w:rsid w:val="00304BBE"/>
    <w:rsid w:val="003055BA"/>
    <w:rsid w:val="00307AB7"/>
    <w:rsid w:val="003100E2"/>
    <w:rsid w:val="003102C0"/>
    <w:rsid w:val="00310A40"/>
    <w:rsid w:val="0031155A"/>
    <w:rsid w:val="003125FB"/>
    <w:rsid w:val="003130DE"/>
    <w:rsid w:val="00313287"/>
    <w:rsid w:val="003136CD"/>
    <w:rsid w:val="00313708"/>
    <w:rsid w:val="00313BC1"/>
    <w:rsid w:val="003159B1"/>
    <w:rsid w:val="00315FCD"/>
    <w:rsid w:val="00316A3F"/>
    <w:rsid w:val="003204C3"/>
    <w:rsid w:val="00321D93"/>
    <w:rsid w:val="00322201"/>
    <w:rsid w:val="0032313F"/>
    <w:rsid w:val="00323846"/>
    <w:rsid w:val="00323E9E"/>
    <w:rsid w:val="0032528D"/>
    <w:rsid w:val="003252B3"/>
    <w:rsid w:val="00326582"/>
    <w:rsid w:val="003271E4"/>
    <w:rsid w:val="00327FD9"/>
    <w:rsid w:val="00330E4A"/>
    <w:rsid w:val="003310B4"/>
    <w:rsid w:val="00332375"/>
    <w:rsid w:val="00332BA3"/>
    <w:rsid w:val="0033306C"/>
    <w:rsid w:val="0033315C"/>
    <w:rsid w:val="003344B6"/>
    <w:rsid w:val="00335BC6"/>
    <w:rsid w:val="00336523"/>
    <w:rsid w:val="003365CF"/>
    <w:rsid w:val="0033732D"/>
    <w:rsid w:val="0033748A"/>
    <w:rsid w:val="003378EC"/>
    <w:rsid w:val="0033792E"/>
    <w:rsid w:val="003379AF"/>
    <w:rsid w:val="00337D96"/>
    <w:rsid w:val="00341411"/>
    <w:rsid w:val="003418FE"/>
    <w:rsid w:val="003425E3"/>
    <w:rsid w:val="00342D42"/>
    <w:rsid w:val="0034378B"/>
    <w:rsid w:val="00345464"/>
    <w:rsid w:val="0034557F"/>
    <w:rsid w:val="003458D3"/>
    <w:rsid w:val="00345C6C"/>
    <w:rsid w:val="003462A4"/>
    <w:rsid w:val="003464EA"/>
    <w:rsid w:val="003473EA"/>
    <w:rsid w:val="0034796F"/>
    <w:rsid w:val="00347DA9"/>
    <w:rsid w:val="00350370"/>
    <w:rsid w:val="0035069D"/>
    <w:rsid w:val="00350CA7"/>
    <w:rsid w:val="00351E90"/>
    <w:rsid w:val="003521E6"/>
    <w:rsid w:val="003523D2"/>
    <w:rsid w:val="003543B3"/>
    <w:rsid w:val="00354C69"/>
    <w:rsid w:val="00354DAD"/>
    <w:rsid w:val="0035523E"/>
    <w:rsid w:val="00355389"/>
    <w:rsid w:val="003567DB"/>
    <w:rsid w:val="00357C29"/>
    <w:rsid w:val="003602B3"/>
    <w:rsid w:val="0036134A"/>
    <w:rsid w:val="00361FBB"/>
    <w:rsid w:val="0036279D"/>
    <w:rsid w:val="003627E3"/>
    <w:rsid w:val="0036295E"/>
    <w:rsid w:val="00362EDA"/>
    <w:rsid w:val="0036308C"/>
    <w:rsid w:val="003636BA"/>
    <w:rsid w:val="00363A92"/>
    <w:rsid w:val="00364AB4"/>
    <w:rsid w:val="003669FF"/>
    <w:rsid w:val="0036706F"/>
    <w:rsid w:val="0036711C"/>
    <w:rsid w:val="00367757"/>
    <w:rsid w:val="00367786"/>
    <w:rsid w:val="0037021E"/>
    <w:rsid w:val="003702C7"/>
    <w:rsid w:val="003709FE"/>
    <w:rsid w:val="00370A6B"/>
    <w:rsid w:val="003713C6"/>
    <w:rsid w:val="00371CD2"/>
    <w:rsid w:val="00371F60"/>
    <w:rsid w:val="003729DE"/>
    <w:rsid w:val="00372BD0"/>
    <w:rsid w:val="00373149"/>
    <w:rsid w:val="00373398"/>
    <w:rsid w:val="00374104"/>
    <w:rsid w:val="00374DBA"/>
    <w:rsid w:val="00375586"/>
    <w:rsid w:val="00376BFA"/>
    <w:rsid w:val="00377BDF"/>
    <w:rsid w:val="0038099A"/>
    <w:rsid w:val="0038144B"/>
    <w:rsid w:val="003823BC"/>
    <w:rsid w:val="003823BD"/>
    <w:rsid w:val="00382EC5"/>
    <w:rsid w:val="00383410"/>
    <w:rsid w:val="00383870"/>
    <w:rsid w:val="003839EA"/>
    <w:rsid w:val="00383D84"/>
    <w:rsid w:val="0038557D"/>
    <w:rsid w:val="00387144"/>
    <w:rsid w:val="0038728E"/>
    <w:rsid w:val="00387334"/>
    <w:rsid w:val="00387F52"/>
    <w:rsid w:val="00390B34"/>
    <w:rsid w:val="00390C13"/>
    <w:rsid w:val="00391615"/>
    <w:rsid w:val="0039193F"/>
    <w:rsid w:val="00392090"/>
    <w:rsid w:val="00392775"/>
    <w:rsid w:val="00392AC2"/>
    <w:rsid w:val="00392B74"/>
    <w:rsid w:val="00392EB3"/>
    <w:rsid w:val="00392EBC"/>
    <w:rsid w:val="00393270"/>
    <w:rsid w:val="003937EB"/>
    <w:rsid w:val="00393D02"/>
    <w:rsid w:val="003947AC"/>
    <w:rsid w:val="003954B8"/>
    <w:rsid w:val="0039608A"/>
    <w:rsid w:val="003961D9"/>
    <w:rsid w:val="00397010"/>
    <w:rsid w:val="003971C4"/>
    <w:rsid w:val="00397751"/>
    <w:rsid w:val="00397A34"/>
    <w:rsid w:val="003A0996"/>
    <w:rsid w:val="003A0CFB"/>
    <w:rsid w:val="003A28D1"/>
    <w:rsid w:val="003A479C"/>
    <w:rsid w:val="003A4841"/>
    <w:rsid w:val="003A5C95"/>
    <w:rsid w:val="003A61FA"/>
    <w:rsid w:val="003A6A82"/>
    <w:rsid w:val="003A7931"/>
    <w:rsid w:val="003B0D90"/>
    <w:rsid w:val="003B20F9"/>
    <w:rsid w:val="003B2368"/>
    <w:rsid w:val="003B31FF"/>
    <w:rsid w:val="003B3A2E"/>
    <w:rsid w:val="003B4237"/>
    <w:rsid w:val="003B47BB"/>
    <w:rsid w:val="003B58DB"/>
    <w:rsid w:val="003B6A73"/>
    <w:rsid w:val="003B6EC3"/>
    <w:rsid w:val="003B6F83"/>
    <w:rsid w:val="003B78DD"/>
    <w:rsid w:val="003C0899"/>
    <w:rsid w:val="003C1B49"/>
    <w:rsid w:val="003C295A"/>
    <w:rsid w:val="003C29BC"/>
    <w:rsid w:val="003C2DBB"/>
    <w:rsid w:val="003C40D9"/>
    <w:rsid w:val="003C480B"/>
    <w:rsid w:val="003C52D4"/>
    <w:rsid w:val="003C5E5C"/>
    <w:rsid w:val="003C60F8"/>
    <w:rsid w:val="003C6655"/>
    <w:rsid w:val="003C7B4B"/>
    <w:rsid w:val="003D28FC"/>
    <w:rsid w:val="003D2B60"/>
    <w:rsid w:val="003D3BF1"/>
    <w:rsid w:val="003D5A62"/>
    <w:rsid w:val="003D6223"/>
    <w:rsid w:val="003E13D8"/>
    <w:rsid w:val="003E14EE"/>
    <w:rsid w:val="003E169B"/>
    <w:rsid w:val="003E2388"/>
    <w:rsid w:val="003E254D"/>
    <w:rsid w:val="003E28DC"/>
    <w:rsid w:val="003E302C"/>
    <w:rsid w:val="003E33A1"/>
    <w:rsid w:val="003E381C"/>
    <w:rsid w:val="003E4FBB"/>
    <w:rsid w:val="003E5212"/>
    <w:rsid w:val="003E6538"/>
    <w:rsid w:val="003E6BBC"/>
    <w:rsid w:val="003E738F"/>
    <w:rsid w:val="003E7ADD"/>
    <w:rsid w:val="003F0CA6"/>
    <w:rsid w:val="003F0DC8"/>
    <w:rsid w:val="003F1CBC"/>
    <w:rsid w:val="003F39EB"/>
    <w:rsid w:val="003F3FC6"/>
    <w:rsid w:val="003F57D7"/>
    <w:rsid w:val="00400125"/>
    <w:rsid w:val="00400BAD"/>
    <w:rsid w:val="004010F4"/>
    <w:rsid w:val="00401366"/>
    <w:rsid w:val="00401B04"/>
    <w:rsid w:val="00403082"/>
    <w:rsid w:val="00403B44"/>
    <w:rsid w:val="00404018"/>
    <w:rsid w:val="004049CF"/>
    <w:rsid w:val="00405B94"/>
    <w:rsid w:val="00406851"/>
    <w:rsid w:val="00406A88"/>
    <w:rsid w:val="00407D6D"/>
    <w:rsid w:val="0041124B"/>
    <w:rsid w:val="00411BF6"/>
    <w:rsid w:val="00412276"/>
    <w:rsid w:val="00412658"/>
    <w:rsid w:val="00412E24"/>
    <w:rsid w:val="004139A2"/>
    <w:rsid w:val="00414C37"/>
    <w:rsid w:val="00414C6F"/>
    <w:rsid w:val="00414C76"/>
    <w:rsid w:val="00415B0B"/>
    <w:rsid w:val="0041640D"/>
    <w:rsid w:val="0041658E"/>
    <w:rsid w:val="00417EEC"/>
    <w:rsid w:val="00421F7A"/>
    <w:rsid w:val="00422C28"/>
    <w:rsid w:val="00422CAE"/>
    <w:rsid w:val="00423DCF"/>
    <w:rsid w:val="00424CBC"/>
    <w:rsid w:val="004251FF"/>
    <w:rsid w:val="0042521F"/>
    <w:rsid w:val="004254BC"/>
    <w:rsid w:val="004254E4"/>
    <w:rsid w:val="00425E81"/>
    <w:rsid w:val="0042601C"/>
    <w:rsid w:val="00426222"/>
    <w:rsid w:val="00427DA5"/>
    <w:rsid w:val="00430085"/>
    <w:rsid w:val="004302C4"/>
    <w:rsid w:val="0043051F"/>
    <w:rsid w:val="004309D2"/>
    <w:rsid w:val="0043122C"/>
    <w:rsid w:val="00431A04"/>
    <w:rsid w:val="00431E97"/>
    <w:rsid w:val="0043254C"/>
    <w:rsid w:val="0043299D"/>
    <w:rsid w:val="0043578D"/>
    <w:rsid w:val="00435986"/>
    <w:rsid w:val="00436B51"/>
    <w:rsid w:val="00436DE3"/>
    <w:rsid w:val="00437322"/>
    <w:rsid w:val="00437852"/>
    <w:rsid w:val="004403C1"/>
    <w:rsid w:val="004406BA"/>
    <w:rsid w:val="00440B84"/>
    <w:rsid w:val="00440BD4"/>
    <w:rsid w:val="004427B0"/>
    <w:rsid w:val="004439CA"/>
    <w:rsid w:val="004439F1"/>
    <w:rsid w:val="00443F56"/>
    <w:rsid w:val="004446EB"/>
    <w:rsid w:val="004449CD"/>
    <w:rsid w:val="00445195"/>
    <w:rsid w:val="00445525"/>
    <w:rsid w:val="00445D4F"/>
    <w:rsid w:val="00446751"/>
    <w:rsid w:val="0044715A"/>
    <w:rsid w:val="004472F4"/>
    <w:rsid w:val="0044749E"/>
    <w:rsid w:val="00447568"/>
    <w:rsid w:val="0044793E"/>
    <w:rsid w:val="004509EF"/>
    <w:rsid w:val="00450AB2"/>
    <w:rsid w:val="00451788"/>
    <w:rsid w:val="0045181A"/>
    <w:rsid w:val="00451A84"/>
    <w:rsid w:val="004538F9"/>
    <w:rsid w:val="00453A0E"/>
    <w:rsid w:val="00453A93"/>
    <w:rsid w:val="00453C21"/>
    <w:rsid w:val="00454354"/>
    <w:rsid w:val="00454456"/>
    <w:rsid w:val="00454634"/>
    <w:rsid w:val="00454DE5"/>
    <w:rsid w:val="0045508E"/>
    <w:rsid w:val="00455783"/>
    <w:rsid w:val="0045637C"/>
    <w:rsid w:val="00456D79"/>
    <w:rsid w:val="004570A9"/>
    <w:rsid w:val="0045761E"/>
    <w:rsid w:val="00457AEB"/>
    <w:rsid w:val="00460365"/>
    <w:rsid w:val="004616BC"/>
    <w:rsid w:val="0046172E"/>
    <w:rsid w:val="00461E5B"/>
    <w:rsid w:val="00462BBB"/>
    <w:rsid w:val="004630BA"/>
    <w:rsid w:val="0046384C"/>
    <w:rsid w:val="00464152"/>
    <w:rsid w:val="00464153"/>
    <w:rsid w:val="00464A40"/>
    <w:rsid w:val="00464E16"/>
    <w:rsid w:val="00465E50"/>
    <w:rsid w:val="00465EC3"/>
    <w:rsid w:val="00466572"/>
    <w:rsid w:val="00467FDE"/>
    <w:rsid w:val="00470AA1"/>
    <w:rsid w:val="004716E0"/>
    <w:rsid w:val="0047208E"/>
    <w:rsid w:val="004720BE"/>
    <w:rsid w:val="00472D82"/>
    <w:rsid w:val="00473058"/>
    <w:rsid w:val="00473C45"/>
    <w:rsid w:val="00473F90"/>
    <w:rsid w:val="00474B29"/>
    <w:rsid w:val="00474E13"/>
    <w:rsid w:val="00476953"/>
    <w:rsid w:val="00476ABD"/>
    <w:rsid w:val="00476E02"/>
    <w:rsid w:val="004778F0"/>
    <w:rsid w:val="0047798F"/>
    <w:rsid w:val="00477FDB"/>
    <w:rsid w:val="00480777"/>
    <w:rsid w:val="00480FE2"/>
    <w:rsid w:val="00481765"/>
    <w:rsid w:val="004818D8"/>
    <w:rsid w:val="00481970"/>
    <w:rsid w:val="00481DB9"/>
    <w:rsid w:val="00482327"/>
    <w:rsid w:val="004829B5"/>
    <w:rsid w:val="0048338A"/>
    <w:rsid w:val="0048372A"/>
    <w:rsid w:val="00483EC1"/>
    <w:rsid w:val="0048416C"/>
    <w:rsid w:val="00484D1A"/>
    <w:rsid w:val="00487914"/>
    <w:rsid w:val="00487E0E"/>
    <w:rsid w:val="00491594"/>
    <w:rsid w:val="00493256"/>
    <w:rsid w:val="00493DAF"/>
    <w:rsid w:val="00494021"/>
    <w:rsid w:val="00496194"/>
    <w:rsid w:val="004978C5"/>
    <w:rsid w:val="004A0432"/>
    <w:rsid w:val="004A0F73"/>
    <w:rsid w:val="004A12AB"/>
    <w:rsid w:val="004A1855"/>
    <w:rsid w:val="004A20EE"/>
    <w:rsid w:val="004A2ECC"/>
    <w:rsid w:val="004A3B47"/>
    <w:rsid w:val="004A40ED"/>
    <w:rsid w:val="004A5050"/>
    <w:rsid w:val="004A5621"/>
    <w:rsid w:val="004A5C9E"/>
    <w:rsid w:val="004A5E7C"/>
    <w:rsid w:val="004A651D"/>
    <w:rsid w:val="004A662D"/>
    <w:rsid w:val="004A6AC9"/>
    <w:rsid w:val="004A6B6D"/>
    <w:rsid w:val="004A6D32"/>
    <w:rsid w:val="004A6FFD"/>
    <w:rsid w:val="004A7168"/>
    <w:rsid w:val="004B00D4"/>
    <w:rsid w:val="004B0739"/>
    <w:rsid w:val="004B077B"/>
    <w:rsid w:val="004B083D"/>
    <w:rsid w:val="004B1685"/>
    <w:rsid w:val="004B25E1"/>
    <w:rsid w:val="004B267A"/>
    <w:rsid w:val="004B29AA"/>
    <w:rsid w:val="004B2A3C"/>
    <w:rsid w:val="004B2C22"/>
    <w:rsid w:val="004B2C9A"/>
    <w:rsid w:val="004B2E71"/>
    <w:rsid w:val="004B3124"/>
    <w:rsid w:val="004B4137"/>
    <w:rsid w:val="004B4A81"/>
    <w:rsid w:val="004B4F82"/>
    <w:rsid w:val="004B5A00"/>
    <w:rsid w:val="004B6934"/>
    <w:rsid w:val="004B6A36"/>
    <w:rsid w:val="004C01CE"/>
    <w:rsid w:val="004C0863"/>
    <w:rsid w:val="004C0954"/>
    <w:rsid w:val="004C254D"/>
    <w:rsid w:val="004C2FEE"/>
    <w:rsid w:val="004C46CA"/>
    <w:rsid w:val="004C4DDA"/>
    <w:rsid w:val="004C4F8D"/>
    <w:rsid w:val="004C4FF1"/>
    <w:rsid w:val="004C54BE"/>
    <w:rsid w:val="004C6707"/>
    <w:rsid w:val="004C7D14"/>
    <w:rsid w:val="004D0152"/>
    <w:rsid w:val="004D04D9"/>
    <w:rsid w:val="004D0606"/>
    <w:rsid w:val="004D0C14"/>
    <w:rsid w:val="004D0EA1"/>
    <w:rsid w:val="004D0F08"/>
    <w:rsid w:val="004D12E4"/>
    <w:rsid w:val="004D17B8"/>
    <w:rsid w:val="004D1EC8"/>
    <w:rsid w:val="004D27A4"/>
    <w:rsid w:val="004D2BAE"/>
    <w:rsid w:val="004D2F43"/>
    <w:rsid w:val="004D426D"/>
    <w:rsid w:val="004D4D66"/>
    <w:rsid w:val="004D53A5"/>
    <w:rsid w:val="004D7D22"/>
    <w:rsid w:val="004E03A7"/>
    <w:rsid w:val="004E0C6E"/>
    <w:rsid w:val="004E0F20"/>
    <w:rsid w:val="004E143D"/>
    <w:rsid w:val="004E323D"/>
    <w:rsid w:val="004E39B2"/>
    <w:rsid w:val="004E3E82"/>
    <w:rsid w:val="004E3FE7"/>
    <w:rsid w:val="004E43E9"/>
    <w:rsid w:val="004E45ED"/>
    <w:rsid w:val="004E50EE"/>
    <w:rsid w:val="004E5E73"/>
    <w:rsid w:val="004E60E9"/>
    <w:rsid w:val="004E61BC"/>
    <w:rsid w:val="004E6332"/>
    <w:rsid w:val="004E6525"/>
    <w:rsid w:val="004E6567"/>
    <w:rsid w:val="004E6B35"/>
    <w:rsid w:val="004E6F54"/>
    <w:rsid w:val="004E7113"/>
    <w:rsid w:val="004E7504"/>
    <w:rsid w:val="004E7B5F"/>
    <w:rsid w:val="004F0C1D"/>
    <w:rsid w:val="004F0C28"/>
    <w:rsid w:val="004F0FBC"/>
    <w:rsid w:val="004F1C8B"/>
    <w:rsid w:val="004F2300"/>
    <w:rsid w:val="004F280D"/>
    <w:rsid w:val="004F2AEC"/>
    <w:rsid w:val="004F2B9A"/>
    <w:rsid w:val="004F30A7"/>
    <w:rsid w:val="004F36BF"/>
    <w:rsid w:val="004F39DB"/>
    <w:rsid w:val="004F3C20"/>
    <w:rsid w:val="004F4BBC"/>
    <w:rsid w:val="004F5714"/>
    <w:rsid w:val="004F68ED"/>
    <w:rsid w:val="004F74AF"/>
    <w:rsid w:val="004F79EB"/>
    <w:rsid w:val="005010B4"/>
    <w:rsid w:val="00501D8E"/>
    <w:rsid w:val="005025ED"/>
    <w:rsid w:val="00502990"/>
    <w:rsid w:val="00502A4A"/>
    <w:rsid w:val="00503117"/>
    <w:rsid w:val="00503A46"/>
    <w:rsid w:val="005040F6"/>
    <w:rsid w:val="00504773"/>
    <w:rsid w:val="00505B46"/>
    <w:rsid w:val="00506E8B"/>
    <w:rsid w:val="005071EA"/>
    <w:rsid w:val="00507DE5"/>
    <w:rsid w:val="00510898"/>
    <w:rsid w:val="00511312"/>
    <w:rsid w:val="00512C97"/>
    <w:rsid w:val="00513501"/>
    <w:rsid w:val="00513536"/>
    <w:rsid w:val="00513599"/>
    <w:rsid w:val="00513B3F"/>
    <w:rsid w:val="00514573"/>
    <w:rsid w:val="00514C26"/>
    <w:rsid w:val="005159C6"/>
    <w:rsid w:val="005173F1"/>
    <w:rsid w:val="0051760D"/>
    <w:rsid w:val="005177D7"/>
    <w:rsid w:val="00517A3C"/>
    <w:rsid w:val="0052056B"/>
    <w:rsid w:val="00520577"/>
    <w:rsid w:val="0052066E"/>
    <w:rsid w:val="005210FE"/>
    <w:rsid w:val="0052212D"/>
    <w:rsid w:val="0052228F"/>
    <w:rsid w:val="005229F4"/>
    <w:rsid w:val="005233DD"/>
    <w:rsid w:val="00523B29"/>
    <w:rsid w:val="0052427E"/>
    <w:rsid w:val="005247CE"/>
    <w:rsid w:val="00525080"/>
    <w:rsid w:val="00525D95"/>
    <w:rsid w:val="00526AB3"/>
    <w:rsid w:val="00526C88"/>
    <w:rsid w:val="00526FDE"/>
    <w:rsid w:val="005278E8"/>
    <w:rsid w:val="00530195"/>
    <w:rsid w:val="00530A71"/>
    <w:rsid w:val="00530C22"/>
    <w:rsid w:val="00530D20"/>
    <w:rsid w:val="00530F88"/>
    <w:rsid w:val="0053118A"/>
    <w:rsid w:val="00531871"/>
    <w:rsid w:val="00532411"/>
    <w:rsid w:val="0053272B"/>
    <w:rsid w:val="00532EA1"/>
    <w:rsid w:val="0053329E"/>
    <w:rsid w:val="005345EA"/>
    <w:rsid w:val="00534BA6"/>
    <w:rsid w:val="00534CF3"/>
    <w:rsid w:val="005360B8"/>
    <w:rsid w:val="005360DC"/>
    <w:rsid w:val="00537A8B"/>
    <w:rsid w:val="00537EC7"/>
    <w:rsid w:val="005413A9"/>
    <w:rsid w:val="005429B7"/>
    <w:rsid w:val="005437C3"/>
    <w:rsid w:val="00544C42"/>
    <w:rsid w:val="00544D79"/>
    <w:rsid w:val="00545BBC"/>
    <w:rsid w:val="005467E6"/>
    <w:rsid w:val="00546A17"/>
    <w:rsid w:val="00547AB8"/>
    <w:rsid w:val="0055025D"/>
    <w:rsid w:val="0055053E"/>
    <w:rsid w:val="00550B6C"/>
    <w:rsid w:val="00550CD3"/>
    <w:rsid w:val="005510F3"/>
    <w:rsid w:val="0055149B"/>
    <w:rsid w:val="0055160E"/>
    <w:rsid w:val="00551FE4"/>
    <w:rsid w:val="00552E61"/>
    <w:rsid w:val="00553660"/>
    <w:rsid w:val="00553C66"/>
    <w:rsid w:val="0055417F"/>
    <w:rsid w:val="005541C8"/>
    <w:rsid w:val="00554A93"/>
    <w:rsid w:val="005550AF"/>
    <w:rsid w:val="00555F46"/>
    <w:rsid w:val="00556A7C"/>
    <w:rsid w:val="00557B17"/>
    <w:rsid w:val="005617C7"/>
    <w:rsid w:val="00564E45"/>
    <w:rsid w:val="00565C35"/>
    <w:rsid w:val="00565D04"/>
    <w:rsid w:val="005661D5"/>
    <w:rsid w:val="00566AC0"/>
    <w:rsid w:val="00566FB6"/>
    <w:rsid w:val="00567965"/>
    <w:rsid w:val="00570C20"/>
    <w:rsid w:val="005726E6"/>
    <w:rsid w:val="00573184"/>
    <w:rsid w:val="0057337D"/>
    <w:rsid w:val="0057346B"/>
    <w:rsid w:val="00573A56"/>
    <w:rsid w:val="00573E26"/>
    <w:rsid w:val="00574023"/>
    <w:rsid w:val="00574B78"/>
    <w:rsid w:val="0057560A"/>
    <w:rsid w:val="00575675"/>
    <w:rsid w:val="00576017"/>
    <w:rsid w:val="005772EC"/>
    <w:rsid w:val="005777F4"/>
    <w:rsid w:val="00577AE6"/>
    <w:rsid w:val="0058003B"/>
    <w:rsid w:val="005813A1"/>
    <w:rsid w:val="00582D86"/>
    <w:rsid w:val="005849A4"/>
    <w:rsid w:val="005852FE"/>
    <w:rsid w:val="005854DF"/>
    <w:rsid w:val="005857F8"/>
    <w:rsid w:val="0058590B"/>
    <w:rsid w:val="00585FF4"/>
    <w:rsid w:val="00586B1D"/>
    <w:rsid w:val="00590BA2"/>
    <w:rsid w:val="00591605"/>
    <w:rsid w:val="00591879"/>
    <w:rsid w:val="00591938"/>
    <w:rsid w:val="00592BBB"/>
    <w:rsid w:val="005950F2"/>
    <w:rsid w:val="00596CCC"/>
    <w:rsid w:val="0059755A"/>
    <w:rsid w:val="00597622"/>
    <w:rsid w:val="00597B27"/>
    <w:rsid w:val="005A10FD"/>
    <w:rsid w:val="005A1D5D"/>
    <w:rsid w:val="005A3319"/>
    <w:rsid w:val="005A3620"/>
    <w:rsid w:val="005A4022"/>
    <w:rsid w:val="005A5652"/>
    <w:rsid w:val="005A56C0"/>
    <w:rsid w:val="005A5AB0"/>
    <w:rsid w:val="005A6610"/>
    <w:rsid w:val="005A7C0B"/>
    <w:rsid w:val="005B0680"/>
    <w:rsid w:val="005B0B43"/>
    <w:rsid w:val="005B14BE"/>
    <w:rsid w:val="005B3185"/>
    <w:rsid w:val="005B3761"/>
    <w:rsid w:val="005B39F8"/>
    <w:rsid w:val="005B3B4E"/>
    <w:rsid w:val="005B3F7D"/>
    <w:rsid w:val="005B57C2"/>
    <w:rsid w:val="005B5B69"/>
    <w:rsid w:val="005B5FE3"/>
    <w:rsid w:val="005B66D0"/>
    <w:rsid w:val="005B6A0E"/>
    <w:rsid w:val="005B6EE4"/>
    <w:rsid w:val="005B716F"/>
    <w:rsid w:val="005B73A5"/>
    <w:rsid w:val="005B7F92"/>
    <w:rsid w:val="005C07E3"/>
    <w:rsid w:val="005C08D0"/>
    <w:rsid w:val="005C096B"/>
    <w:rsid w:val="005C1112"/>
    <w:rsid w:val="005C205F"/>
    <w:rsid w:val="005C2114"/>
    <w:rsid w:val="005C22AE"/>
    <w:rsid w:val="005C2E23"/>
    <w:rsid w:val="005C30B9"/>
    <w:rsid w:val="005C3CA5"/>
    <w:rsid w:val="005C4506"/>
    <w:rsid w:val="005C4A78"/>
    <w:rsid w:val="005C5EC7"/>
    <w:rsid w:val="005C702A"/>
    <w:rsid w:val="005C7DC9"/>
    <w:rsid w:val="005D014A"/>
    <w:rsid w:val="005D07EE"/>
    <w:rsid w:val="005D1E9A"/>
    <w:rsid w:val="005D2E70"/>
    <w:rsid w:val="005D351A"/>
    <w:rsid w:val="005D4127"/>
    <w:rsid w:val="005D442A"/>
    <w:rsid w:val="005D6019"/>
    <w:rsid w:val="005D6817"/>
    <w:rsid w:val="005D7061"/>
    <w:rsid w:val="005D7349"/>
    <w:rsid w:val="005D7F2B"/>
    <w:rsid w:val="005E073B"/>
    <w:rsid w:val="005E1232"/>
    <w:rsid w:val="005E1281"/>
    <w:rsid w:val="005E202E"/>
    <w:rsid w:val="005E24FA"/>
    <w:rsid w:val="005E3141"/>
    <w:rsid w:val="005E409A"/>
    <w:rsid w:val="005E4D62"/>
    <w:rsid w:val="005E4E90"/>
    <w:rsid w:val="005E7AF3"/>
    <w:rsid w:val="005F05C7"/>
    <w:rsid w:val="005F086D"/>
    <w:rsid w:val="005F0F03"/>
    <w:rsid w:val="005F18E1"/>
    <w:rsid w:val="005F1E2F"/>
    <w:rsid w:val="005F2050"/>
    <w:rsid w:val="005F31F5"/>
    <w:rsid w:val="005F34B5"/>
    <w:rsid w:val="005F4331"/>
    <w:rsid w:val="005F45CC"/>
    <w:rsid w:val="005F4A11"/>
    <w:rsid w:val="005F62FE"/>
    <w:rsid w:val="005F64EB"/>
    <w:rsid w:val="005F6FBF"/>
    <w:rsid w:val="0060073B"/>
    <w:rsid w:val="006013CD"/>
    <w:rsid w:val="00601EE2"/>
    <w:rsid w:val="00601F15"/>
    <w:rsid w:val="00602495"/>
    <w:rsid w:val="00602FC0"/>
    <w:rsid w:val="00603229"/>
    <w:rsid w:val="00605712"/>
    <w:rsid w:val="006076DC"/>
    <w:rsid w:val="0061089E"/>
    <w:rsid w:val="0061090B"/>
    <w:rsid w:val="006109A2"/>
    <w:rsid w:val="00611204"/>
    <w:rsid w:val="006115EB"/>
    <w:rsid w:val="00611EF4"/>
    <w:rsid w:val="00612695"/>
    <w:rsid w:val="006129B6"/>
    <w:rsid w:val="00613AA1"/>
    <w:rsid w:val="00613F1B"/>
    <w:rsid w:val="006150BE"/>
    <w:rsid w:val="0061571B"/>
    <w:rsid w:val="00615AA9"/>
    <w:rsid w:val="00616112"/>
    <w:rsid w:val="006161D0"/>
    <w:rsid w:val="006163A4"/>
    <w:rsid w:val="0061667E"/>
    <w:rsid w:val="006167B5"/>
    <w:rsid w:val="006170E0"/>
    <w:rsid w:val="0061728E"/>
    <w:rsid w:val="00620342"/>
    <w:rsid w:val="006208DD"/>
    <w:rsid w:val="006208EA"/>
    <w:rsid w:val="0062166D"/>
    <w:rsid w:val="0062195E"/>
    <w:rsid w:val="00622B1D"/>
    <w:rsid w:val="00623532"/>
    <w:rsid w:val="006235DC"/>
    <w:rsid w:val="00623F84"/>
    <w:rsid w:val="0062486F"/>
    <w:rsid w:val="00625107"/>
    <w:rsid w:val="006252C1"/>
    <w:rsid w:val="00625393"/>
    <w:rsid w:val="00626028"/>
    <w:rsid w:val="00627095"/>
    <w:rsid w:val="00627B87"/>
    <w:rsid w:val="00627D45"/>
    <w:rsid w:val="00630735"/>
    <w:rsid w:val="00630A6B"/>
    <w:rsid w:val="00630C1B"/>
    <w:rsid w:val="00630CAE"/>
    <w:rsid w:val="00630E98"/>
    <w:rsid w:val="00630FEE"/>
    <w:rsid w:val="00631952"/>
    <w:rsid w:val="00632E1B"/>
    <w:rsid w:val="00633412"/>
    <w:rsid w:val="006345E0"/>
    <w:rsid w:val="00634E99"/>
    <w:rsid w:val="00634FC8"/>
    <w:rsid w:val="00635011"/>
    <w:rsid w:val="00636276"/>
    <w:rsid w:val="00636C93"/>
    <w:rsid w:val="00636FA0"/>
    <w:rsid w:val="00637334"/>
    <w:rsid w:val="006402CD"/>
    <w:rsid w:val="00640849"/>
    <w:rsid w:val="00640F28"/>
    <w:rsid w:val="00641068"/>
    <w:rsid w:val="0064131A"/>
    <w:rsid w:val="006414B0"/>
    <w:rsid w:val="0064252A"/>
    <w:rsid w:val="00643458"/>
    <w:rsid w:val="006439E9"/>
    <w:rsid w:val="00644224"/>
    <w:rsid w:val="006446FE"/>
    <w:rsid w:val="0064565D"/>
    <w:rsid w:val="00646B2B"/>
    <w:rsid w:val="006472FD"/>
    <w:rsid w:val="0064767E"/>
    <w:rsid w:val="006503FE"/>
    <w:rsid w:val="00650E9D"/>
    <w:rsid w:val="006512F6"/>
    <w:rsid w:val="00651930"/>
    <w:rsid w:val="00651B8A"/>
    <w:rsid w:val="00652BDC"/>
    <w:rsid w:val="00652EA9"/>
    <w:rsid w:val="00653522"/>
    <w:rsid w:val="006535FB"/>
    <w:rsid w:val="00653853"/>
    <w:rsid w:val="00653FE0"/>
    <w:rsid w:val="0065466A"/>
    <w:rsid w:val="00654D0B"/>
    <w:rsid w:val="00655179"/>
    <w:rsid w:val="00655853"/>
    <w:rsid w:val="006558FC"/>
    <w:rsid w:val="0065622C"/>
    <w:rsid w:val="0065664E"/>
    <w:rsid w:val="00656819"/>
    <w:rsid w:val="006569E9"/>
    <w:rsid w:val="0065705B"/>
    <w:rsid w:val="006576C3"/>
    <w:rsid w:val="00657F22"/>
    <w:rsid w:val="00660741"/>
    <w:rsid w:val="00660D61"/>
    <w:rsid w:val="00660D6E"/>
    <w:rsid w:val="00661237"/>
    <w:rsid w:val="00661780"/>
    <w:rsid w:val="00661EFE"/>
    <w:rsid w:val="006626A4"/>
    <w:rsid w:val="00663355"/>
    <w:rsid w:val="0066342F"/>
    <w:rsid w:val="00663938"/>
    <w:rsid w:val="00664099"/>
    <w:rsid w:val="00664999"/>
    <w:rsid w:val="00666F84"/>
    <w:rsid w:val="00667710"/>
    <w:rsid w:val="0066792B"/>
    <w:rsid w:val="00667A9C"/>
    <w:rsid w:val="00667D52"/>
    <w:rsid w:val="0067020E"/>
    <w:rsid w:val="00670FA6"/>
    <w:rsid w:val="006718C1"/>
    <w:rsid w:val="00671EC5"/>
    <w:rsid w:val="00671FCD"/>
    <w:rsid w:val="0067262F"/>
    <w:rsid w:val="00673CAE"/>
    <w:rsid w:val="006746C9"/>
    <w:rsid w:val="00675D1F"/>
    <w:rsid w:val="00676256"/>
    <w:rsid w:val="00676851"/>
    <w:rsid w:val="0067796A"/>
    <w:rsid w:val="0068013F"/>
    <w:rsid w:val="006814A0"/>
    <w:rsid w:val="006814A7"/>
    <w:rsid w:val="00684354"/>
    <w:rsid w:val="00684C3F"/>
    <w:rsid w:val="00684E18"/>
    <w:rsid w:val="00684F94"/>
    <w:rsid w:val="006850D0"/>
    <w:rsid w:val="006854AD"/>
    <w:rsid w:val="00685AFA"/>
    <w:rsid w:val="00685D07"/>
    <w:rsid w:val="00687A09"/>
    <w:rsid w:val="00687BC2"/>
    <w:rsid w:val="00687E8A"/>
    <w:rsid w:val="00690BFB"/>
    <w:rsid w:val="006917C2"/>
    <w:rsid w:val="00691C1F"/>
    <w:rsid w:val="00692DC2"/>
    <w:rsid w:val="006930EA"/>
    <w:rsid w:val="0069478D"/>
    <w:rsid w:val="00694CFC"/>
    <w:rsid w:val="00695869"/>
    <w:rsid w:val="006960A9"/>
    <w:rsid w:val="00696444"/>
    <w:rsid w:val="00697D21"/>
    <w:rsid w:val="00697F43"/>
    <w:rsid w:val="00697F5C"/>
    <w:rsid w:val="006A0227"/>
    <w:rsid w:val="006A0457"/>
    <w:rsid w:val="006A05AB"/>
    <w:rsid w:val="006A0975"/>
    <w:rsid w:val="006A1E12"/>
    <w:rsid w:val="006A25D1"/>
    <w:rsid w:val="006A27B1"/>
    <w:rsid w:val="006A2923"/>
    <w:rsid w:val="006A3D4C"/>
    <w:rsid w:val="006A41B7"/>
    <w:rsid w:val="006A4281"/>
    <w:rsid w:val="006A49A6"/>
    <w:rsid w:val="006A5EBC"/>
    <w:rsid w:val="006A7A21"/>
    <w:rsid w:val="006B0265"/>
    <w:rsid w:val="006B09F8"/>
    <w:rsid w:val="006B0C3A"/>
    <w:rsid w:val="006B1995"/>
    <w:rsid w:val="006B1A61"/>
    <w:rsid w:val="006B1DF4"/>
    <w:rsid w:val="006B22D3"/>
    <w:rsid w:val="006B2974"/>
    <w:rsid w:val="006B36DB"/>
    <w:rsid w:val="006B3C8F"/>
    <w:rsid w:val="006B40A2"/>
    <w:rsid w:val="006B48AF"/>
    <w:rsid w:val="006B57F6"/>
    <w:rsid w:val="006B6028"/>
    <w:rsid w:val="006B6CB2"/>
    <w:rsid w:val="006B713F"/>
    <w:rsid w:val="006B77DB"/>
    <w:rsid w:val="006B799C"/>
    <w:rsid w:val="006B7E58"/>
    <w:rsid w:val="006C0153"/>
    <w:rsid w:val="006C0AD6"/>
    <w:rsid w:val="006C273F"/>
    <w:rsid w:val="006C307E"/>
    <w:rsid w:val="006C33F8"/>
    <w:rsid w:val="006C3F3A"/>
    <w:rsid w:val="006C5ABE"/>
    <w:rsid w:val="006C690E"/>
    <w:rsid w:val="006D0D91"/>
    <w:rsid w:val="006D1CA7"/>
    <w:rsid w:val="006D1D0C"/>
    <w:rsid w:val="006D1F2C"/>
    <w:rsid w:val="006D2B2B"/>
    <w:rsid w:val="006D2C8D"/>
    <w:rsid w:val="006D4D61"/>
    <w:rsid w:val="006D4E3C"/>
    <w:rsid w:val="006D4FCB"/>
    <w:rsid w:val="006D5E2E"/>
    <w:rsid w:val="006D672F"/>
    <w:rsid w:val="006D7C75"/>
    <w:rsid w:val="006D7F3E"/>
    <w:rsid w:val="006E1021"/>
    <w:rsid w:val="006E2107"/>
    <w:rsid w:val="006E27E8"/>
    <w:rsid w:val="006E2AC1"/>
    <w:rsid w:val="006E3091"/>
    <w:rsid w:val="006E3C71"/>
    <w:rsid w:val="006E448D"/>
    <w:rsid w:val="006E4A7F"/>
    <w:rsid w:val="006E583A"/>
    <w:rsid w:val="006E5C58"/>
    <w:rsid w:val="006E5E14"/>
    <w:rsid w:val="006E6383"/>
    <w:rsid w:val="006E695C"/>
    <w:rsid w:val="006E6CC7"/>
    <w:rsid w:val="006E74F9"/>
    <w:rsid w:val="006E768E"/>
    <w:rsid w:val="006F08D1"/>
    <w:rsid w:val="006F0A7D"/>
    <w:rsid w:val="006F2AE1"/>
    <w:rsid w:val="006F429E"/>
    <w:rsid w:val="006F42CF"/>
    <w:rsid w:val="006F532B"/>
    <w:rsid w:val="006F540F"/>
    <w:rsid w:val="006F5493"/>
    <w:rsid w:val="006F6316"/>
    <w:rsid w:val="006F66B7"/>
    <w:rsid w:val="006F7773"/>
    <w:rsid w:val="006F7CEB"/>
    <w:rsid w:val="007014F9"/>
    <w:rsid w:val="0070156C"/>
    <w:rsid w:val="00701970"/>
    <w:rsid w:val="0070281F"/>
    <w:rsid w:val="007032EC"/>
    <w:rsid w:val="00703DD2"/>
    <w:rsid w:val="00704141"/>
    <w:rsid w:val="00704566"/>
    <w:rsid w:val="00704BBA"/>
    <w:rsid w:val="00704E79"/>
    <w:rsid w:val="00705196"/>
    <w:rsid w:val="007053F3"/>
    <w:rsid w:val="00705846"/>
    <w:rsid w:val="007062FB"/>
    <w:rsid w:val="00706E60"/>
    <w:rsid w:val="007076B0"/>
    <w:rsid w:val="00707924"/>
    <w:rsid w:val="00710C27"/>
    <w:rsid w:val="00710FE7"/>
    <w:rsid w:val="007122DA"/>
    <w:rsid w:val="00712517"/>
    <w:rsid w:val="00712AB5"/>
    <w:rsid w:val="00713205"/>
    <w:rsid w:val="007139C6"/>
    <w:rsid w:val="0071486E"/>
    <w:rsid w:val="00714913"/>
    <w:rsid w:val="00714FDD"/>
    <w:rsid w:val="007157DF"/>
    <w:rsid w:val="00716477"/>
    <w:rsid w:val="00716776"/>
    <w:rsid w:val="00717488"/>
    <w:rsid w:val="00717B3B"/>
    <w:rsid w:val="00717C42"/>
    <w:rsid w:val="007201C1"/>
    <w:rsid w:val="0072059C"/>
    <w:rsid w:val="007212C1"/>
    <w:rsid w:val="00721330"/>
    <w:rsid w:val="00721549"/>
    <w:rsid w:val="007219A9"/>
    <w:rsid w:val="00721A51"/>
    <w:rsid w:val="00721D38"/>
    <w:rsid w:val="00722349"/>
    <w:rsid w:val="0072330D"/>
    <w:rsid w:val="0072394B"/>
    <w:rsid w:val="00723992"/>
    <w:rsid w:val="00723EB5"/>
    <w:rsid w:val="0072488E"/>
    <w:rsid w:val="007251F6"/>
    <w:rsid w:val="007256A0"/>
    <w:rsid w:val="00725E10"/>
    <w:rsid w:val="00726837"/>
    <w:rsid w:val="00726AF2"/>
    <w:rsid w:val="00726CE9"/>
    <w:rsid w:val="007271A1"/>
    <w:rsid w:val="00727EC3"/>
    <w:rsid w:val="00731665"/>
    <w:rsid w:val="00732322"/>
    <w:rsid w:val="00733671"/>
    <w:rsid w:val="00733FAA"/>
    <w:rsid w:val="0073477C"/>
    <w:rsid w:val="00734BB3"/>
    <w:rsid w:val="00734E1F"/>
    <w:rsid w:val="007352B9"/>
    <w:rsid w:val="00735818"/>
    <w:rsid w:val="00735F86"/>
    <w:rsid w:val="00736129"/>
    <w:rsid w:val="00736787"/>
    <w:rsid w:val="00736ED6"/>
    <w:rsid w:val="00737AF7"/>
    <w:rsid w:val="00737D47"/>
    <w:rsid w:val="007400BF"/>
    <w:rsid w:val="00741719"/>
    <w:rsid w:val="00741C39"/>
    <w:rsid w:val="00742D50"/>
    <w:rsid w:val="007437CE"/>
    <w:rsid w:val="00743A09"/>
    <w:rsid w:val="00743AA9"/>
    <w:rsid w:val="007455D2"/>
    <w:rsid w:val="00745A93"/>
    <w:rsid w:val="00745BE2"/>
    <w:rsid w:val="00746013"/>
    <w:rsid w:val="0074631C"/>
    <w:rsid w:val="007464E7"/>
    <w:rsid w:val="00746B01"/>
    <w:rsid w:val="00747663"/>
    <w:rsid w:val="00747EF2"/>
    <w:rsid w:val="00750AC9"/>
    <w:rsid w:val="0075128C"/>
    <w:rsid w:val="00751A67"/>
    <w:rsid w:val="00751FDC"/>
    <w:rsid w:val="00752A8F"/>
    <w:rsid w:val="00752D04"/>
    <w:rsid w:val="00753512"/>
    <w:rsid w:val="00755A3F"/>
    <w:rsid w:val="00756BCD"/>
    <w:rsid w:val="00756F2A"/>
    <w:rsid w:val="00761F4B"/>
    <w:rsid w:val="0076212D"/>
    <w:rsid w:val="007625EF"/>
    <w:rsid w:val="00764748"/>
    <w:rsid w:val="00764947"/>
    <w:rsid w:val="00765BBF"/>
    <w:rsid w:val="00767A76"/>
    <w:rsid w:val="0077003E"/>
    <w:rsid w:val="0077039A"/>
    <w:rsid w:val="00770D1D"/>
    <w:rsid w:val="00771051"/>
    <w:rsid w:val="00771C62"/>
    <w:rsid w:val="00772DA5"/>
    <w:rsid w:val="0077317D"/>
    <w:rsid w:val="00773470"/>
    <w:rsid w:val="00773CAA"/>
    <w:rsid w:val="007743C0"/>
    <w:rsid w:val="0077544F"/>
    <w:rsid w:val="007773C8"/>
    <w:rsid w:val="007774A5"/>
    <w:rsid w:val="00780788"/>
    <w:rsid w:val="007808D5"/>
    <w:rsid w:val="00780F45"/>
    <w:rsid w:val="007812EB"/>
    <w:rsid w:val="00781DF2"/>
    <w:rsid w:val="00782184"/>
    <w:rsid w:val="0078327B"/>
    <w:rsid w:val="0078386F"/>
    <w:rsid w:val="00783D41"/>
    <w:rsid w:val="00783E22"/>
    <w:rsid w:val="00783FE2"/>
    <w:rsid w:val="00786869"/>
    <w:rsid w:val="007871D3"/>
    <w:rsid w:val="00787209"/>
    <w:rsid w:val="00787EF6"/>
    <w:rsid w:val="00790113"/>
    <w:rsid w:val="00791AE5"/>
    <w:rsid w:val="00793625"/>
    <w:rsid w:val="007939E8"/>
    <w:rsid w:val="0079554A"/>
    <w:rsid w:val="007955D9"/>
    <w:rsid w:val="00795E6F"/>
    <w:rsid w:val="00797057"/>
    <w:rsid w:val="007974BE"/>
    <w:rsid w:val="007A04AA"/>
    <w:rsid w:val="007A0BC4"/>
    <w:rsid w:val="007A18EF"/>
    <w:rsid w:val="007A1A3D"/>
    <w:rsid w:val="007A1D6E"/>
    <w:rsid w:val="007A1D78"/>
    <w:rsid w:val="007A1D8F"/>
    <w:rsid w:val="007A2501"/>
    <w:rsid w:val="007A413B"/>
    <w:rsid w:val="007A45FA"/>
    <w:rsid w:val="007A5A76"/>
    <w:rsid w:val="007A6A6B"/>
    <w:rsid w:val="007A6B4B"/>
    <w:rsid w:val="007A72B6"/>
    <w:rsid w:val="007A7ED8"/>
    <w:rsid w:val="007B02D4"/>
    <w:rsid w:val="007B15FB"/>
    <w:rsid w:val="007B1A2A"/>
    <w:rsid w:val="007B1B1D"/>
    <w:rsid w:val="007B1D03"/>
    <w:rsid w:val="007B220B"/>
    <w:rsid w:val="007B2D06"/>
    <w:rsid w:val="007B2D6D"/>
    <w:rsid w:val="007B2E86"/>
    <w:rsid w:val="007B33DC"/>
    <w:rsid w:val="007B4D9D"/>
    <w:rsid w:val="007B5CCE"/>
    <w:rsid w:val="007B6987"/>
    <w:rsid w:val="007B77D5"/>
    <w:rsid w:val="007B7C4A"/>
    <w:rsid w:val="007B7C4C"/>
    <w:rsid w:val="007C0879"/>
    <w:rsid w:val="007C1501"/>
    <w:rsid w:val="007C238F"/>
    <w:rsid w:val="007C26EA"/>
    <w:rsid w:val="007C2EF1"/>
    <w:rsid w:val="007C4344"/>
    <w:rsid w:val="007C49A7"/>
    <w:rsid w:val="007C4E14"/>
    <w:rsid w:val="007C662C"/>
    <w:rsid w:val="007C71B9"/>
    <w:rsid w:val="007C73CA"/>
    <w:rsid w:val="007C79DB"/>
    <w:rsid w:val="007C7E7B"/>
    <w:rsid w:val="007C7F7A"/>
    <w:rsid w:val="007C7FB8"/>
    <w:rsid w:val="007D04DB"/>
    <w:rsid w:val="007D124F"/>
    <w:rsid w:val="007D196B"/>
    <w:rsid w:val="007D1978"/>
    <w:rsid w:val="007D1A6D"/>
    <w:rsid w:val="007D237F"/>
    <w:rsid w:val="007D2B50"/>
    <w:rsid w:val="007D3173"/>
    <w:rsid w:val="007D3563"/>
    <w:rsid w:val="007D3E62"/>
    <w:rsid w:val="007D5095"/>
    <w:rsid w:val="007D53C2"/>
    <w:rsid w:val="007D6BA4"/>
    <w:rsid w:val="007D7100"/>
    <w:rsid w:val="007D7351"/>
    <w:rsid w:val="007D7702"/>
    <w:rsid w:val="007D7DF1"/>
    <w:rsid w:val="007E0F61"/>
    <w:rsid w:val="007E12B8"/>
    <w:rsid w:val="007E166B"/>
    <w:rsid w:val="007E1F1B"/>
    <w:rsid w:val="007E26C1"/>
    <w:rsid w:val="007E2785"/>
    <w:rsid w:val="007E2838"/>
    <w:rsid w:val="007E30DF"/>
    <w:rsid w:val="007E466A"/>
    <w:rsid w:val="007E4720"/>
    <w:rsid w:val="007E54D7"/>
    <w:rsid w:val="007F0423"/>
    <w:rsid w:val="007F07AB"/>
    <w:rsid w:val="007F096A"/>
    <w:rsid w:val="007F1D1B"/>
    <w:rsid w:val="007F2FA0"/>
    <w:rsid w:val="007F3CF6"/>
    <w:rsid w:val="007F41BB"/>
    <w:rsid w:val="007F4782"/>
    <w:rsid w:val="007F4D84"/>
    <w:rsid w:val="007F5B15"/>
    <w:rsid w:val="007F7EA3"/>
    <w:rsid w:val="00800DDF"/>
    <w:rsid w:val="008025C2"/>
    <w:rsid w:val="008035DA"/>
    <w:rsid w:val="00803A3F"/>
    <w:rsid w:val="00803B48"/>
    <w:rsid w:val="00806190"/>
    <w:rsid w:val="00806683"/>
    <w:rsid w:val="008066E5"/>
    <w:rsid w:val="00806734"/>
    <w:rsid w:val="00806FEA"/>
    <w:rsid w:val="008071B2"/>
    <w:rsid w:val="00807712"/>
    <w:rsid w:val="0080777C"/>
    <w:rsid w:val="00807979"/>
    <w:rsid w:val="0081004A"/>
    <w:rsid w:val="00810AEB"/>
    <w:rsid w:val="00810CE5"/>
    <w:rsid w:val="00810EEE"/>
    <w:rsid w:val="00812BD7"/>
    <w:rsid w:val="00812EB2"/>
    <w:rsid w:val="008136A1"/>
    <w:rsid w:val="00813ECA"/>
    <w:rsid w:val="00813F91"/>
    <w:rsid w:val="0081649C"/>
    <w:rsid w:val="008169C4"/>
    <w:rsid w:val="0081768A"/>
    <w:rsid w:val="00817CEB"/>
    <w:rsid w:val="00820245"/>
    <w:rsid w:val="008202D4"/>
    <w:rsid w:val="00821CC0"/>
    <w:rsid w:val="00822720"/>
    <w:rsid w:val="0082282A"/>
    <w:rsid w:val="00822B45"/>
    <w:rsid w:val="00822EE7"/>
    <w:rsid w:val="008234CB"/>
    <w:rsid w:val="00823AE9"/>
    <w:rsid w:val="00823E82"/>
    <w:rsid w:val="008246D2"/>
    <w:rsid w:val="00824852"/>
    <w:rsid w:val="008251C5"/>
    <w:rsid w:val="00825840"/>
    <w:rsid w:val="0082585D"/>
    <w:rsid w:val="00825E19"/>
    <w:rsid w:val="00827235"/>
    <w:rsid w:val="00827AE2"/>
    <w:rsid w:val="00830079"/>
    <w:rsid w:val="008301E8"/>
    <w:rsid w:val="00830438"/>
    <w:rsid w:val="00830845"/>
    <w:rsid w:val="00831A56"/>
    <w:rsid w:val="00834474"/>
    <w:rsid w:val="00834760"/>
    <w:rsid w:val="00834891"/>
    <w:rsid w:val="00834FFA"/>
    <w:rsid w:val="00835833"/>
    <w:rsid w:val="008358C8"/>
    <w:rsid w:val="00836C44"/>
    <w:rsid w:val="00836E60"/>
    <w:rsid w:val="008375AB"/>
    <w:rsid w:val="008379B1"/>
    <w:rsid w:val="008401AE"/>
    <w:rsid w:val="00840B6B"/>
    <w:rsid w:val="00840DAF"/>
    <w:rsid w:val="00841577"/>
    <w:rsid w:val="00842688"/>
    <w:rsid w:val="00842770"/>
    <w:rsid w:val="00842AFD"/>
    <w:rsid w:val="00843335"/>
    <w:rsid w:val="00843AD9"/>
    <w:rsid w:val="008443D2"/>
    <w:rsid w:val="008446BC"/>
    <w:rsid w:val="008451D4"/>
    <w:rsid w:val="00845625"/>
    <w:rsid w:val="008456D9"/>
    <w:rsid w:val="008456E0"/>
    <w:rsid w:val="00846A43"/>
    <w:rsid w:val="00846F5F"/>
    <w:rsid w:val="008515D7"/>
    <w:rsid w:val="00851650"/>
    <w:rsid w:val="00852698"/>
    <w:rsid w:val="00852790"/>
    <w:rsid w:val="008531E6"/>
    <w:rsid w:val="008532F3"/>
    <w:rsid w:val="008533F0"/>
    <w:rsid w:val="00853CEF"/>
    <w:rsid w:val="00853D07"/>
    <w:rsid w:val="00854664"/>
    <w:rsid w:val="00854BE0"/>
    <w:rsid w:val="0085525E"/>
    <w:rsid w:val="00855BBB"/>
    <w:rsid w:val="00855F48"/>
    <w:rsid w:val="00857702"/>
    <w:rsid w:val="008601AA"/>
    <w:rsid w:val="008602BD"/>
    <w:rsid w:val="008603DE"/>
    <w:rsid w:val="00860F69"/>
    <w:rsid w:val="008615F2"/>
    <w:rsid w:val="00862461"/>
    <w:rsid w:val="00862611"/>
    <w:rsid w:val="008639F5"/>
    <w:rsid w:val="0086439E"/>
    <w:rsid w:val="00864E1E"/>
    <w:rsid w:val="00864F4C"/>
    <w:rsid w:val="008657C0"/>
    <w:rsid w:val="008657C3"/>
    <w:rsid w:val="00865ABA"/>
    <w:rsid w:val="0086780F"/>
    <w:rsid w:val="00867C67"/>
    <w:rsid w:val="0087018C"/>
    <w:rsid w:val="0087091A"/>
    <w:rsid w:val="00870A32"/>
    <w:rsid w:val="008718DD"/>
    <w:rsid w:val="0087287F"/>
    <w:rsid w:val="0087349B"/>
    <w:rsid w:val="00873760"/>
    <w:rsid w:val="00874328"/>
    <w:rsid w:val="008750AF"/>
    <w:rsid w:val="008751C3"/>
    <w:rsid w:val="008759DE"/>
    <w:rsid w:val="00875B5B"/>
    <w:rsid w:val="00876CC8"/>
    <w:rsid w:val="00880CA1"/>
    <w:rsid w:val="00881A5A"/>
    <w:rsid w:val="00881CE8"/>
    <w:rsid w:val="00882593"/>
    <w:rsid w:val="00882A74"/>
    <w:rsid w:val="0088431B"/>
    <w:rsid w:val="00884589"/>
    <w:rsid w:val="0088468A"/>
    <w:rsid w:val="00884AB6"/>
    <w:rsid w:val="00885068"/>
    <w:rsid w:val="00887718"/>
    <w:rsid w:val="0089095A"/>
    <w:rsid w:val="00890F03"/>
    <w:rsid w:val="00891F59"/>
    <w:rsid w:val="0089283B"/>
    <w:rsid w:val="00892C6E"/>
    <w:rsid w:val="00893C61"/>
    <w:rsid w:val="00893D89"/>
    <w:rsid w:val="0089402E"/>
    <w:rsid w:val="00894733"/>
    <w:rsid w:val="00894A3A"/>
    <w:rsid w:val="00894A62"/>
    <w:rsid w:val="0089684B"/>
    <w:rsid w:val="00896C7A"/>
    <w:rsid w:val="00896CB7"/>
    <w:rsid w:val="00897977"/>
    <w:rsid w:val="008A000C"/>
    <w:rsid w:val="008A0D76"/>
    <w:rsid w:val="008A17F2"/>
    <w:rsid w:val="008A1A50"/>
    <w:rsid w:val="008A1B81"/>
    <w:rsid w:val="008A2AC9"/>
    <w:rsid w:val="008A2AF4"/>
    <w:rsid w:val="008A2B9C"/>
    <w:rsid w:val="008A4A49"/>
    <w:rsid w:val="008A4C0F"/>
    <w:rsid w:val="008A5029"/>
    <w:rsid w:val="008A57B6"/>
    <w:rsid w:val="008A6641"/>
    <w:rsid w:val="008A778E"/>
    <w:rsid w:val="008A77D8"/>
    <w:rsid w:val="008A7B99"/>
    <w:rsid w:val="008B15A5"/>
    <w:rsid w:val="008B1882"/>
    <w:rsid w:val="008B27F5"/>
    <w:rsid w:val="008B2C37"/>
    <w:rsid w:val="008B4310"/>
    <w:rsid w:val="008B4A1D"/>
    <w:rsid w:val="008B6170"/>
    <w:rsid w:val="008B6550"/>
    <w:rsid w:val="008B6A2A"/>
    <w:rsid w:val="008B6A7D"/>
    <w:rsid w:val="008B6F0E"/>
    <w:rsid w:val="008B704E"/>
    <w:rsid w:val="008C0370"/>
    <w:rsid w:val="008C2B9F"/>
    <w:rsid w:val="008C2F80"/>
    <w:rsid w:val="008C3BBE"/>
    <w:rsid w:val="008C3D9E"/>
    <w:rsid w:val="008C3FAB"/>
    <w:rsid w:val="008C4D6A"/>
    <w:rsid w:val="008C541D"/>
    <w:rsid w:val="008C5AAD"/>
    <w:rsid w:val="008C63D9"/>
    <w:rsid w:val="008C69C0"/>
    <w:rsid w:val="008C722A"/>
    <w:rsid w:val="008C7B04"/>
    <w:rsid w:val="008D0EE3"/>
    <w:rsid w:val="008D1718"/>
    <w:rsid w:val="008D1CEA"/>
    <w:rsid w:val="008D2576"/>
    <w:rsid w:val="008D2CB2"/>
    <w:rsid w:val="008D3226"/>
    <w:rsid w:val="008D3372"/>
    <w:rsid w:val="008D4337"/>
    <w:rsid w:val="008D4C15"/>
    <w:rsid w:val="008D4E27"/>
    <w:rsid w:val="008D4F46"/>
    <w:rsid w:val="008D5BB6"/>
    <w:rsid w:val="008D5D99"/>
    <w:rsid w:val="008D5E71"/>
    <w:rsid w:val="008D60CB"/>
    <w:rsid w:val="008D71B9"/>
    <w:rsid w:val="008E081B"/>
    <w:rsid w:val="008E10C7"/>
    <w:rsid w:val="008E23E5"/>
    <w:rsid w:val="008E39FE"/>
    <w:rsid w:val="008E3D93"/>
    <w:rsid w:val="008E3F28"/>
    <w:rsid w:val="008E410B"/>
    <w:rsid w:val="008E6BE3"/>
    <w:rsid w:val="008E7297"/>
    <w:rsid w:val="008E7C3E"/>
    <w:rsid w:val="008E7E77"/>
    <w:rsid w:val="008E7F51"/>
    <w:rsid w:val="008F06C9"/>
    <w:rsid w:val="008F0F57"/>
    <w:rsid w:val="008F1C08"/>
    <w:rsid w:val="008F2B8D"/>
    <w:rsid w:val="008F5504"/>
    <w:rsid w:val="008F5975"/>
    <w:rsid w:val="008F5D3D"/>
    <w:rsid w:val="008F6A94"/>
    <w:rsid w:val="008F6E56"/>
    <w:rsid w:val="008F720A"/>
    <w:rsid w:val="0090108C"/>
    <w:rsid w:val="00901874"/>
    <w:rsid w:val="009029B0"/>
    <w:rsid w:val="009029CE"/>
    <w:rsid w:val="009031ED"/>
    <w:rsid w:val="00903BA6"/>
    <w:rsid w:val="009048B0"/>
    <w:rsid w:val="00905286"/>
    <w:rsid w:val="00905C99"/>
    <w:rsid w:val="0090618C"/>
    <w:rsid w:val="009066BD"/>
    <w:rsid w:val="00906DFF"/>
    <w:rsid w:val="00907870"/>
    <w:rsid w:val="00910FBC"/>
    <w:rsid w:val="00911567"/>
    <w:rsid w:val="0091264F"/>
    <w:rsid w:val="009139D5"/>
    <w:rsid w:val="00913D5A"/>
    <w:rsid w:val="00913F56"/>
    <w:rsid w:val="009140B4"/>
    <w:rsid w:val="009144A0"/>
    <w:rsid w:val="009148AE"/>
    <w:rsid w:val="00914E16"/>
    <w:rsid w:val="009157B3"/>
    <w:rsid w:val="00917405"/>
    <w:rsid w:val="0091759E"/>
    <w:rsid w:val="00917765"/>
    <w:rsid w:val="00917811"/>
    <w:rsid w:val="00917E75"/>
    <w:rsid w:val="0092041F"/>
    <w:rsid w:val="00921D35"/>
    <w:rsid w:val="00922622"/>
    <w:rsid w:val="0092399F"/>
    <w:rsid w:val="009251F2"/>
    <w:rsid w:val="00925675"/>
    <w:rsid w:val="009265FA"/>
    <w:rsid w:val="00926888"/>
    <w:rsid w:val="009269F6"/>
    <w:rsid w:val="00927A89"/>
    <w:rsid w:val="00927E9D"/>
    <w:rsid w:val="00927F92"/>
    <w:rsid w:val="0093056A"/>
    <w:rsid w:val="00930793"/>
    <w:rsid w:val="009315AC"/>
    <w:rsid w:val="00932546"/>
    <w:rsid w:val="009330B1"/>
    <w:rsid w:val="00933CCB"/>
    <w:rsid w:val="0093458A"/>
    <w:rsid w:val="00934BDF"/>
    <w:rsid w:val="00934C5B"/>
    <w:rsid w:val="0093548E"/>
    <w:rsid w:val="00935D45"/>
    <w:rsid w:val="00935E98"/>
    <w:rsid w:val="0093619F"/>
    <w:rsid w:val="00937249"/>
    <w:rsid w:val="00937362"/>
    <w:rsid w:val="0094118A"/>
    <w:rsid w:val="0094239A"/>
    <w:rsid w:val="0094260D"/>
    <w:rsid w:val="00943631"/>
    <w:rsid w:val="009437B4"/>
    <w:rsid w:val="009437D0"/>
    <w:rsid w:val="00943D8D"/>
    <w:rsid w:val="00944E4F"/>
    <w:rsid w:val="00945C8D"/>
    <w:rsid w:val="00945E63"/>
    <w:rsid w:val="009462E2"/>
    <w:rsid w:val="009465A3"/>
    <w:rsid w:val="00946A17"/>
    <w:rsid w:val="009470E6"/>
    <w:rsid w:val="009474DF"/>
    <w:rsid w:val="00947D19"/>
    <w:rsid w:val="00950A5D"/>
    <w:rsid w:val="00950E6B"/>
    <w:rsid w:val="00951115"/>
    <w:rsid w:val="00951438"/>
    <w:rsid w:val="00952809"/>
    <w:rsid w:val="00953757"/>
    <w:rsid w:val="00953D43"/>
    <w:rsid w:val="009552F8"/>
    <w:rsid w:val="009565F3"/>
    <w:rsid w:val="00957D39"/>
    <w:rsid w:val="00960B42"/>
    <w:rsid w:val="009621CD"/>
    <w:rsid w:val="00962C5F"/>
    <w:rsid w:val="00962ECD"/>
    <w:rsid w:val="0096337C"/>
    <w:rsid w:val="00964846"/>
    <w:rsid w:val="0096560F"/>
    <w:rsid w:val="00965F33"/>
    <w:rsid w:val="0096697C"/>
    <w:rsid w:val="00966E80"/>
    <w:rsid w:val="00967739"/>
    <w:rsid w:val="00967B50"/>
    <w:rsid w:val="0097125C"/>
    <w:rsid w:val="00971AAF"/>
    <w:rsid w:val="00972D36"/>
    <w:rsid w:val="00972F05"/>
    <w:rsid w:val="00972FDC"/>
    <w:rsid w:val="00973692"/>
    <w:rsid w:val="00974532"/>
    <w:rsid w:val="00974F45"/>
    <w:rsid w:val="00974FB4"/>
    <w:rsid w:val="00975068"/>
    <w:rsid w:val="00975CD7"/>
    <w:rsid w:val="00975F7A"/>
    <w:rsid w:val="0097602C"/>
    <w:rsid w:val="00976322"/>
    <w:rsid w:val="00977F82"/>
    <w:rsid w:val="009820F7"/>
    <w:rsid w:val="00982736"/>
    <w:rsid w:val="00983DCD"/>
    <w:rsid w:val="00984F9B"/>
    <w:rsid w:val="00985078"/>
    <w:rsid w:val="009865F9"/>
    <w:rsid w:val="00986A66"/>
    <w:rsid w:val="00987608"/>
    <w:rsid w:val="00990563"/>
    <w:rsid w:val="00990E5C"/>
    <w:rsid w:val="009922B5"/>
    <w:rsid w:val="009922CA"/>
    <w:rsid w:val="009926E8"/>
    <w:rsid w:val="009926F7"/>
    <w:rsid w:val="00992A8C"/>
    <w:rsid w:val="009935C1"/>
    <w:rsid w:val="009936E8"/>
    <w:rsid w:val="00993B64"/>
    <w:rsid w:val="0099453E"/>
    <w:rsid w:val="00994636"/>
    <w:rsid w:val="00994D82"/>
    <w:rsid w:val="00995D3E"/>
    <w:rsid w:val="00996B08"/>
    <w:rsid w:val="0099758C"/>
    <w:rsid w:val="0099759A"/>
    <w:rsid w:val="009A0951"/>
    <w:rsid w:val="009A09A5"/>
    <w:rsid w:val="009A09E6"/>
    <w:rsid w:val="009A0C83"/>
    <w:rsid w:val="009A12FF"/>
    <w:rsid w:val="009A158B"/>
    <w:rsid w:val="009A2558"/>
    <w:rsid w:val="009A2B01"/>
    <w:rsid w:val="009A3E3B"/>
    <w:rsid w:val="009A40CD"/>
    <w:rsid w:val="009A446F"/>
    <w:rsid w:val="009A4BA8"/>
    <w:rsid w:val="009A4DFC"/>
    <w:rsid w:val="009A6146"/>
    <w:rsid w:val="009A6A7B"/>
    <w:rsid w:val="009A6FC6"/>
    <w:rsid w:val="009A744D"/>
    <w:rsid w:val="009B054D"/>
    <w:rsid w:val="009B2615"/>
    <w:rsid w:val="009B3193"/>
    <w:rsid w:val="009B3765"/>
    <w:rsid w:val="009B3D14"/>
    <w:rsid w:val="009B4EA3"/>
    <w:rsid w:val="009B5615"/>
    <w:rsid w:val="009B5CE1"/>
    <w:rsid w:val="009B7211"/>
    <w:rsid w:val="009C1399"/>
    <w:rsid w:val="009C1BEA"/>
    <w:rsid w:val="009C1CEE"/>
    <w:rsid w:val="009C1DBE"/>
    <w:rsid w:val="009C1E95"/>
    <w:rsid w:val="009C290F"/>
    <w:rsid w:val="009C2A68"/>
    <w:rsid w:val="009C34C4"/>
    <w:rsid w:val="009C37E9"/>
    <w:rsid w:val="009C4C2D"/>
    <w:rsid w:val="009C4C4E"/>
    <w:rsid w:val="009C4EB3"/>
    <w:rsid w:val="009C5EAF"/>
    <w:rsid w:val="009C61A2"/>
    <w:rsid w:val="009C6274"/>
    <w:rsid w:val="009C7137"/>
    <w:rsid w:val="009C7388"/>
    <w:rsid w:val="009C7429"/>
    <w:rsid w:val="009D0709"/>
    <w:rsid w:val="009D133F"/>
    <w:rsid w:val="009D1596"/>
    <w:rsid w:val="009D1818"/>
    <w:rsid w:val="009D2A80"/>
    <w:rsid w:val="009D47D6"/>
    <w:rsid w:val="009D4803"/>
    <w:rsid w:val="009D5CBE"/>
    <w:rsid w:val="009D6F09"/>
    <w:rsid w:val="009D773E"/>
    <w:rsid w:val="009D7C88"/>
    <w:rsid w:val="009D7DE2"/>
    <w:rsid w:val="009E051E"/>
    <w:rsid w:val="009E092C"/>
    <w:rsid w:val="009E096D"/>
    <w:rsid w:val="009E2ED0"/>
    <w:rsid w:val="009E3314"/>
    <w:rsid w:val="009E3A04"/>
    <w:rsid w:val="009E4386"/>
    <w:rsid w:val="009E4629"/>
    <w:rsid w:val="009E5451"/>
    <w:rsid w:val="009E6114"/>
    <w:rsid w:val="009E6A8D"/>
    <w:rsid w:val="009F0E67"/>
    <w:rsid w:val="009F0F9E"/>
    <w:rsid w:val="009F115C"/>
    <w:rsid w:val="009F1D8F"/>
    <w:rsid w:val="009F24F2"/>
    <w:rsid w:val="009F2A24"/>
    <w:rsid w:val="009F366D"/>
    <w:rsid w:val="009F5151"/>
    <w:rsid w:val="009F5183"/>
    <w:rsid w:val="009F5459"/>
    <w:rsid w:val="009F5504"/>
    <w:rsid w:val="009F55CD"/>
    <w:rsid w:val="009F5D09"/>
    <w:rsid w:val="009F78B7"/>
    <w:rsid w:val="00A00068"/>
    <w:rsid w:val="00A0188C"/>
    <w:rsid w:val="00A0209A"/>
    <w:rsid w:val="00A02193"/>
    <w:rsid w:val="00A02412"/>
    <w:rsid w:val="00A02FAE"/>
    <w:rsid w:val="00A0334A"/>
    <w:rsid w:val="00A03C6C"/>
    <w:rsid w:val="00A04ABB"/>
    <w:rsid w:val="00A05987"/>
    <w:rsid w:val="00A05FCF"/>
    <w:rsid w:val="00A063B5"/>
    <w:rsid w:val="00A064AB"/>
    <w:rsid w:val="00A065A8"/>
    <w:rsid w:val="00A06DD8"/>
    <w:rsid w:val="00A079E5"/>
    <w:rsid w:val="00A117E4"/>
    <w:rsid w:val="00A11C69"/>
    <w:rsid w:val="00A12022"/>
    <w:rsid w:val="00A1217E"/>
    <w:rsid w:val="00A1298C"/>
    <w:rsid w:val="00A12CCE"/>
    <w:rsid w:val="00A13BA6"/>
    <w:rsid w:val="00A1466C"/>
    <w:rsid w:val="00A14C89"/>
    <w:rsid w:val="00A14C9B"/>
    <w:rsid w:val="00A164C4"/>
    <w:rsid w:val="00A1737E"/>
    <w:rsid w:val="00A179FD"/>
    <w:rsid w:val="00A201A8"/>
    <w:rsid w:val="00A2095C"/>
    <w:rsid w:val="00A20C64"/>
    <w:rsid w:val="00A20D20"/>
    <w:rsid w:val="00A22DC2"/>
    <w:rsid w:val="00A23A3D"/>
    <w:rsid w:val="00A23D28"/>
    <w:rsid w:val="00A2456B"/>
    <w:rsid w:val="00A248BE"/>
    <w:rsid w:val="00A24B81"/>
    <w:rsid w:val="00A24C30"/>
    <w:rsid w:val="00A2527F"/>
    <w:rsid w:val="00A256FF"/>
    <w:rsid w:val="00A25915"/>
    <w:rsid w:val="00A25B0C"/>
    <w:rsid w:val="00A2692B"/>
    <w:rsid w:val="00A26BB9"/>
    <w:rsid w:val="00A278B4"/>
    <w:rsid w:val="00A279C1"/>
    <w:rsid w:val="00A27C91"/>
    <w:rsid w:val="00A27DD8"/>
    <w:rsid w:val="00A302D5"/>
    <w:rsid w:val="00A317C1"/>
    <w:rsid w:val="00A31894"/>
    <w:rsid w:val="00A32AC3"/>
    <w:rsid w:val="00A3318D"/>
    <w:rsid w:val="00A33E58"/>
    <w:rsid w:val="00A343B1"/>
    <w:rsid w:val="00A350DF"/>
    <w:rsid w:val="00A357E6"/>
    <w:rsid w:val="00A36299"/>
    <w:rsid w:val="00A36387"/>
    <w:rsid w:val="00A374C3"/>
    <w:rsid w:val="00A4095E"/>
    <w:rsid w:val="00A40EB9"/>
    <w:rsid w:val="00A4128F"/>
    <w:rsid w:val="00A4226C"/>
    <w:rsid w:val="00A42F2C"/>
    <w:rsid w:val="00A432C4"/>
    <w:rsid w:val="00A432CA"/>
    <w:rsid w:val="00A45851"/>
    <w:rsid w:val="00A45DA7"/>
    <w:rsid w:val="00A45F80"/>
    <w:rsid w:val="00A47590"/>
    <w:rsid w:val="00A477DA"/>
    <w:rsid w:val="00A47AA6"/>
    <w:rsid w:val="00A506B1"/>
    <w:rsid w:val="00A521AF"/>
    <w:rsid w:val="00A52458"/>
    <w:rsid w:val="00A52A26"/>
    <w:rsid w:val="00A55BAB"/>
    <w:rsid w:val="00A55CA0"/>
    <w:rsid w:val="00A5710D"/>
    <w:rsid w:val="00A57E59"/>
    <w:rsid w:val="00A57FC2"/>
    <w:rsid w:val="00A600C6"/>
    <w:rsid w:val="00A607D7"/>
    <w:rsid w:val="00A60955"/>
    <w:rsid w:val="00A60BEF"/>
    <w:rsid w:val="00A62246"/>
    <w:rsid w:val="00A626A4"/>
    <w:rsid w:val="00A62C3D"/>
    <w:rsid w:val="00A6316C"/>
    <w:rsid w:val="00A64313"/>
    <w:rsid w:val="00A643FC"/>
    <w:rsid w:val="00A64660"/>
    <w:rsid w:val="00A65031"/>
    <w:rsid w:val="00A650FA"/>
    <w:rsid w:val="00A66116"/>
    <w:rsid w:val="00A6751E"/>
    <w:rsid w:val="00A6769D"/>
    <w:rsid w:val="00A679F1"/>
    <w:rsid w:val="00A70272"/>
    <w:rsid w:val="00A71658"/>
    <w:rsid w:val="00A72217"/>
    <w:rsid w:val="00A724CC"/>
    <w:rsid w:val="00A728D5"/>
    <w:rsid w:val="00A757D5"/>
    <w:rsid w:val="00A75B62"/>
    <w:rsid w:val="00A762B4"/>
    <w:rsid w:val="00A7733A"/>
    <w:rsid w:val="00A77FFB"/>
    <w:rsid w:val="00A800B0"/>
    <w:rsid w:val="00A801EE"/>
    <w:rsid w:val="00A801F0"/>
    <w:rsid w:val="00A81153"/>
    <w:rsid w:val="00A8150F"/>
    <w:rsid w:val="00A827F8"/>
    <w:rsid w:val="00A82A0F"/>
    <w:rsid w:val="00A82A6C"/>
    <w:rsid w:val="00A83562"/>
    <w:rsid w:val="00A83B11"/>
    <w:rsid w:val="00A845D9"/>
    <w:rsid w:val="00A851D4"/>
    <w:rsid w:val="00A85784"/>
    <w:rsid w:val="00A86168"/>
    <w:rsid w:val="00A8707C"/>
    <w:rsid w:val="00A87DD0"/>
    <w:rsid w:val="00A902DD"/>
    <w:rsid w:val="00A90B97"/>
    <w:rsid w:val="00A90C83"/>
    <w:rsid w:val="00A90DC2"/>
    <w:rsid w:val="00A91486"/>
    <w:rsid w:val="00A91EFA"/>
    <w:rsid w:val="00A92609"/>
    <w:rsid w:val="00A953BB"/>
    <w:rsid w:val="00A95944"/>
    <w:rsid w:val="00A96000"/>
    <w:rsid w:val="00A96732"/>
    <w:rsid w:val="00A96B66"/>
    <w:rsid w:val="00A96F80"/>
    <w:rsid w:val="00A97EE1"/>
    <w:rsid w:val="00AA0186"/>
    <w:rsid w:val="00AA037D"/>
    <w:rsid w:val="00AA0D3B"/>
    <w:rsid w:val="00AA1316"/>
    <w:rsid w:val="00AA1C70"/>
    <w:rsid w:val="00AA2598"/>
    <w:rsid w:val="00AA2F44"/>
    <w:rsid w:val="00AA325A"/>
    <w:rsid w:val="00AA33A6"/>
    <w:rsid w:val="00AA42F3"/>
    <w:rsid w:val="00AA4E25"/>
    <w:rsid w:val="00AA5329"/>
    <w:rsid w:val="00AA56EE"/>
    <w:rsid w:val="00AA6B55"/>
    <w:rsid w:val="00AA6DE5"/>
    <w:rsid w:val="00AA6FE0"/>
    <w:rsid w:val="00AA7B71"/>
    <w:rsid w:val="00AA7F40"/>
    <w:rsid w:val="00AB0360"/>
    <w:rsid w:val="00AB0FDA"/>
    <w:rsid w:val="00AB3451"/>
    <w:rsid w:val="00AB3A81"/>
    <w:rsid w:val="00AB44AA"/>
    <w:rsid w:val="00AB5237"/>
    <w:rsid w:val="00AB5619"/>
    <w:rsid w:val="00AC0036"/>
    <w:rsid w:val="00AC0985"/>
    <w:rsid w:val="00AC0CE0"/>
    <w:rsid w:val="00AC1C83"/>
    <w:rsid w:val="00AC266A"/>
    <w:rsid w:val="00AC26CF"/>
    <w:rsid w:val="00AC2E6F"/>
    <w:rsid w:val="00AC341A"/>
    <w:rsid w:val="00AC3682"/>
    <w:rsid w:val="00AC3A20"/>
    <w:rsid w:val="00AC4EC6"/>
    <w:rsid w:val="00AC500B"/>
    <w:rsid w:val="00AC57A9"/>
    <w:rsid w:val="00AC616F"/>
    <w:rsid w:val="00AC69F2"/>
    <w:rsid w:val="00AD054E"/>
    <w:rsid w:val="00AD181F"/>
    <w:rsid w:val="00AD24CC"/>
    <w:rsid w:val="00AD4687"/>
    <w:rsid w:val="00AD4F69"/>
    <w:rsid w:val="00AD5587"/>
    <w:rsid w:val="00AD681C"/>
    <w:rsid w:val="00AD76BE"/>
    <w:rsid w:val="00AE0960"/>
    <w:rsid w:val="00AE18CB"/>
    <w:rsid w:val="00AE1C3F"/>
    <w:rsid w:val="00AE1C77"/>
    <w:rsid w:val="00AE2DB2"/>
    <w:rsid w:val="00AE3B1F"/>
    <w:rsid w:val="00AE46FD"/>
    <w:rsid w:val="00AE52A9"/>
    <w:rsid w:val="00AE57D8"/>
    <w:rsid w:val="00AE67D4"/>
    <w:rsid w:val="00AE6972"/>
    <w:rsid w:val="00AE71CD"/>
    <w:rsid w:val="00AE7789"/>
    <w:rsid w:val="00AE78B8"/>
    <w:rsid w:val="00AF06A2"/>
    <w:rsid w:val="00AF1490"/>
    <w:rsid w:val="00AF1F51"/>
    <w:rsid w:val="00AF25E7"/>
    <w:rsid w:val="00AF3C3E"/>
    <w:rsid w:val="00AF3EBE"/>
    <w:rsid w:val="00AF5AA8"/>
    <w:rsid w:val="00AF621E"/>
    <w:rsid w:val="00AF633A"/>
    <w:rsid w:val="00AF6489"/>
    <w:rsid w:val="00AF7BD2"/>
    <w:rsid w:val="00B0025C"/>
    <w:rsid w:val="00B006B8"/>
    <w:rsid w:val="00B007D4"/>
    <w:rsid w:val="00B00BE6"/>
    <w:rsid w:val="00B017B4"/>
    <w:rsid w:val="00B0211E"/>
    <w:rsid w:val="00B02739"/>
    <w:rsid w:val="00B03DED"/>
    <w:rsid w:val="00B043E1"/>
    <w:rsid w:val="00B04DCA"/>
    <w:rsid w:val="00B04F95"/>
    <w:rsid w:val="00B064B4"/>
    <w:rsid w:val="00B06888"/>
    <w:rsid w:val="00B06DD4"/>
    <w:rsid w:val="00B06F69"/>
    <w:rsid w:val="00B0790D"/>
    <w:rsid w:val="00B10931"/>
    <w:rsid w:val="00B121A8"/>
    <w:rsid w:val="00B1314D"/>
    <w:rsid w:val="00B14415"/>
    <w:rsid w:val="00B149C1"/>
    <w:rsid w:val="00B1535B"/>
    <w:rsid w:val="00B166D2"/>
    <w:rsid w:val="00B16A2C"/>
    <w:rsid w:val="00B16B0E"/>
    <w:rsid w:val="00B175F3"/>
    <w:rsid w:val="00B1783F"/>
    <w:rsid w:val="00B203A5"/>
    <w:rsid w:val="00B2049F"/>
    <w:rsid w:val="00B204FE"/>
    <w:rsid w:val="00B2156F"/>
    <w:rsid w:val="00B2181C"/>
    <w:rsid w:val="00B21904"/>
    <w:rsid w:val="00B22260"/>
    <w:rsid w:val="00B22378"/>
    <w:rsid w:val="00B22CB0"/>
    <w:rsid w:val="00B23497"/>
    <w:rsid w:val="00B2356D"/>
    <w:rsid w:val="00B2535C"/>
    <w:rsid w:val="00B253C2"/>
    <w:rsid w:val="00B257B7"/>
    <w:rsid w:val="00B25E26"/>
    <w:rsid w:val="00B27407"/>
    <w:rsid w:val="00B27DCE"/>
    <w:rsid w:val="00B305AB"/>
    <w:rsid w:val="00B30A0C"/>
    <w:rsid w:val="00B30A2E"/>
    <w:rsid w:val="00B30C90"/>
    <w:rsid w:val="00B311FF"/>
    <w:rsid w:val="00B31B18"/>
    <w:rsid w:val="00B31C25"/>
    <w:rsid w:val="00B31EEA"/>
    <w:rsid w:val="00B32198"/>
    <w:rsid w:val="00B329DA"/>
    <w:rsid w:val="00B32F59"/>
    <w:rsid w:val="00B33095"/>
    <w:rsid w:val="00B33870"/>
    <w:rsid w:val="00B3390A"/>
    <w:rsid w:val="00B344A2"/>
    <w:rsid w:val="00B346B0"/>
    <w:rsid w:val="00B34A54"/>
    <w:rsid w:val="00B3506A"/>
    <w:rsid w:val="00B35722"/>
    <w:rsid w:val="00B360C9"/>
    <w:rsid w:val="00B367BC"/>
    <w:rsid w:val="00B4080D"/>
    <w:rsid w:val="00B408CF"/>
    <w:rsid w:val="00B41493"/>
    <w:rsid w:val="00B414BF"/>
    <w:rsid w:val="00B41B16"/>
    <w:rsid w:val="00B41B57"/>
    <w:rsid w:val="00B41F29"/>
    <w:rsid w:val="00B433CF"/>
    <w:rsid w:val="00B43447"/>
    <w:rsid w:val="00B4353D"/>
    <w:rsid w:val="00B43D91"/>
    <w:rsid w:val="00B44554"/>
    <w:rsid w:val="00B44BBF"/>
    <w:rsid w:val="00B45369"/>
    <w:rsid w:val="00B465CB"/>
    <w:rsid w:val="00B467EF"/>
    <w:rsid w:val="00B472E7"/>
    <w:rsid w:val="00B477E6"/>
    <w:rsid w:val="00B47D10"/>
    <w:rsid w:val="00B47DEF"/>
    <w:rsid w:val="00B47E25"/>
    <w:rsid w:val="00B47EAE"/>
    <w:rsid w:val="00B504EE"/>
    <w:rsid w:val="00B514A4"/>
    <w:rsid w:val="00B51527"/>
    <w:rsid w:val="00B51A55"/>
    <w:rsid w:val="00B51F7E"/>
    <w:rsid w:val="00B52481"/>
    <w:rsid w:val="00B536B7"/>
    <w:rsid w:val="00B53A62"/>
    <w:rsid w:val="00B53CAC"/>
    <w:rsid w:val="00B549BD"/>
    <w:rsid w:val="00B54A97"/>
    <w:rsid w:val="00B54B93"/>
    <w:rsid w:val="00B5683B"/>
    <w:rsid w:val="00B60591"/>
    <w:rsid w:val="00B6129B"/>
    <w:rsid w:val="00B614E0"/>
    <w:rsid w:val="00B61B8F"/>
    <w:rsid w:val="00B6444E"/>
    <w:rsid w:val="00B64A4F"/>
    <w:rsid w:val="00B64CE3"/>
    <w:rsid w:val="00B64D47"/>
    <w:rsid w:val="00B65725"/>
    <w:rsid w:val="00B65F40"/>
    <w:rsid w:val="00B65FC5"/>
    <w:rsid w:val="00B66CDA"/>
    <w:rsid w:val="00B678E4"/>
    <w:rsid w:val="00B70249"/>
    <w:rsid w:val="00B70BA0"/>
    <w:rsid w:val="00B71450"/>
    <w:rsid w:val="00B7195E"/>
    <w:rsid w:val="00B72507"/>
    <w:rsid w:val="00B734C0"/>
    <w:rsid w:val="00B74915"/>
    <w:rsid w:val="00B74FBE"/>
    <w:rsid w:val="00B756EF"/>
    <w:rsid w:val="00B75B02"/>
    <w:rsid w:val="00B75B7E"/>
    <w:rsid w:val="00B76686"/>
    <w:rsid w:val="00B76C1B"/>
    <w:rsid w:val="00B76F76"/>
    <w:rsid w:val="00B76FF9"/>
    <w:rsid w:val="00B77736"/>
    <w:rsid w:val="00B77C74"/>
    <w:rsid w:val="00B81909"/>
    <w:rsid w:val="00B81C66"/>
    <w:rsid w:val="00B81EC5"/>
    <w:rsid w:val="00B8238E"/>
    <w:rsid w:val="00B8270F"/>
    <w:rsid w:val="00B82BAF"/>
    <w:rsid w:val="00B82EB8"/>
    <w:rsid w:val="00B83E59"/>
    <w:rsid w:val="00B84023"/>
    <w:rsid w:val="00B8466E"/>
    <w:rsid w:val="00B852E3"/>
    <w:rsid w:val="00B85344"/>
    <w:rsid w:val="00B85E47"/>
    <w:rsid w:val="00B876FE"/>
    <w:rsid w:val="00B90349"/>
    <w:rsid w:val="00B90D8A"/>
    <w:rsid w:val="00B91013"/>
    <w:rsid w:val="00B911AE"/>
    <w:rsid w:val="00B91268"/>
    <w:rsid w:val="00B91AAA"/>
    <w:rsid w:val="00B91E3A"/>
    <w:rsid w:val="00B92AEF"/>
    <w:rsid w:val="00B9626C"/>
    <w:rsid w:val="00B964D9"/>
    <w:rsid w:val="00B966F6"/>
    <w:rsid w:val="00B96BBD"/>
    <w:rsid w:val="00B976ED"/>
    <w:rsid w:val="00B9780A"/>
    <w:rsid w:val="00B97ED2"/>
    <w:rsid w:val="00BA174C"/>
    <w:rsid w:val="00BA25EA"/>
    <w:rsid w:val="00BA2BD9"/>
    <w:rsid w:val="00BA2FC9"/>
    <w:rsid w:val="00BA3D25"/>
    <w:rsid w:val="00BA4D80"/>
    <w:rsid w:val="00BA5218"/>
    <w:rsid w:val="00BA5366"/>
    <w:rsid w:val="00BA5AEE"/>
    <w:rsid w:val="00BA5B71"/>
    <w:rsid w:val="00BA6216"/>
    <w:rsid w:val="00BA71BF"/>
    <w:rsid w:val="00BA71DA"/>
    <w:rsid w:val="00BB0D97"/>
    <w:rsid w:val="00BB16E4"/>
    <w:rsid w:val="00BB23CC"/>
    <w:rsid w:val="00BB2B03"/>
    <w:rsid w:val="00BB2B7E"/>
    <w:rsid w:val="00BB3205"/>
    <w:rsid w:val="00BB3A4F"/>
    <w:rsid w:val="00BB3B7B"/>
    <w:rsid w:val="00BB3C73"/>
    <w:rsid w:val="00BB482B"/>
    <w:rsid w:val="00BB5084"/>
    <w:rsid w:val="00BB520E"/>
    <w:rsid w:val="00BB5E13"/>
    <w:rsid w:val="00BB6424"/>
    <w:rsid w:val="00BB67A3"/>
    <w:rsid w:val="00BB6CB3"/>
    <w:rsid w:val="00BB73BC"/>
    <w:rsid w:val="00BB7556"/>
    <w:rsid w:val="00BB7663"/>
    <w:rsid w:val="00BC06FF"/>
    <w:rsid w:val="00BC1169"/>
    <w:rsid w:val="00BC3780"/>
    <w:rsid w:val="00BC3E22"/>
    <w:rsid w:val="00BC425F"/>
    <w:rsid w:val="00BC4FBD"/>
    <w:rsid w:val="00BC54A6"/>
    <w:rsid w:val="00BC6097"/>
    <w:rsid w:val="00BC64A5"/>
    <w:rsid w:val="00BC6993"/>
    <w:rsid w:val="00BC7CBF"/>
    <w:rsid w:val="00BC7DEA"/>
    <w:rsid w:val="00BD2455"/>
    <w:rsid w:val="00BD31AF"/>
    <w:rsid w:val="00BD34BE"/>
    <w:rsid w:val="00BD3FAC"/>
    <w:rsid w:val="00BD45D9"/>
    <w:rsid w:val="00BD4AA0"/>
    <w:rsid w:val="00BD5D2D"/>
    <w:rsid w:val="00BE03FB"/>
    <w:rsid w:val="00BE0D95"/>
    <w:rsid w:val="00BE1478"/>
    <w:rsid w:val="00BE2885"/>
    <w:rsid w:val="00BE29A1"/>
    <w:rsid w:val="00BE2A65"/>
    <w:rsid w:val="00BE312C"/>
    <w:rsid w:val="00BE32CF"/>
    <w:rsid w:val="00BE33FE"/>
    <w:rsid w:val="00BE347E"/>
    <w:rsid w:val="00BE407E"/>
    <w:rsid w:val="00BE4095"/>
    <w:rsid w:val="00BE4B0E"/>
    <w:rsid w:val="00BE53F8"/>
    <w:rsid w:val="00BE6240"/>
    <w:rsid w:val="00BE6B96"/>
    <w:rsid w:val="00BE6E91"/>
    <w:rsid w:val="00BE7842"/>
    <w:rsid w:val="00BE78F6"/>
    <w:rsid w:val="00BE7DE9"/>
    <w:rsid w:val="00BF0211"/>
    <w:rsid w:val="00BF059A"/>
    <w:rsid w:val="00BF08F3"/>
    <w:rsid w:val="00BF0FC2"/>
    <w:rsid w:val="00BF1BFB"/>
    <w:rsid w:val="00BF268C"/>
    <w:rsid w:val="00BF2FB1"/>
    <w:rsid w:val="00BF3E17"/>
    <w:rsid w:val="00BF4389"/>
    <w:rsid w:val="00BF5EED"/>
    <w:rsid w:val="00BF6342"/>
    <w:rsid w:val="00BF667C"/>
    <w:rsid w:val="00BF6EAE"/>
    <w:rsid w:val="00C007D8"/>
    <w:rsid w:val="00C01E0D"/>
    <w:rsid w:val="00C04B67"/>
    <w:rsid w:val="00C053DF"/>
    <w:rsid w:val="00C05577"/>
    <w:rsid w:val="00C06387"/>
    <w:rsid w:val="00C0702F"/>
    <w:rsid w:val="00C07A1A"/>
    <w:rsid w:val="00C07C08"/>
    <w:rsid w:val="00C07ED0"/>
    <w:rsid w:val="00C1042A"/>
    <w:rsid w:val="00C10E97"/>
    <w:rsid w:val="00C11165"/>
    <w:rsid w:val="00C11216"/>
    <w:rsid w:val="00C115E9"/>
    <w:rsid w:val="00C11E38"/>
    <w:rsid w:val="00C11E3E"/>
    <w:rsid w:val="00C12CF1"/>
    <w:rsid w:val="00C12D46"/>
    <w:rsid w:val="00C132A1"/>
    <w:rsid w:val="00C13AC4"/>
    <w:rsid w:val="00C148B4"/>
    <w:rsid w:val="00C14A2F"/>
    <w:rsid w:val="00C14DAB"/>
    <w:rsid w:val="00C14F4C"/>
    <w:rsid w:val="00C150B8"/>
    <w:rsid w:val="00C1537D"/>
    <w:rsid w:val="00C16199"/>
    <w:rsid w:val="00C1629E"/>
    <w:rsid w:val="00C1691C"/>
    <w:rsid w:val="00C16BA6"/>
    <w:rsid w:val="00C17F4A"/>
    <w:rsid w:val="00C20832"/>
    <w:rsid w:val="00C20EAE"/>
    <w:rsid w:val="00C211C8"/>
    <w:rsid w:val="00C2216B"/>
    <w:rsid w:val="00C23C29"/>
    <w:rsid w:val="00C23CE8"/>
    <w:rsid w:val="00C24428"/>
    <w:rsid w:val="00C246DD"/>
    <w:rsid w:val="00C25B41"/>
    <w:rsid w:val="00C321BC"/>
    <w:rsid w:val="00C3364A"/>
    <w:rsid w:val="00C33AA1"/>
    <w:rsid w:val="00C33CF1"/>
    <w:rsid w:val="00C3464E"/>
    <w:rsid w:val="00C34814"/>
    <w:rsid w:val="00C36117"/>
    <w:rsid w:val="00C371F2"/>
    <w:rsid w:val="00C372EB"/>
    <w:rsid w:val="00C406A9"/>
    <w:rsid w:val="00C4076D"/>
    <w:rsid w:val="00C40D36"/>
    <w:rsid w:val="00C41E34"/>
    <w:rsid w:val="00C4361E"/>
    <w:rsid w:val="00C43837"/>
    <w:rsid w:val="00C44780"/>
    <w:rsid w:val="00C452BE"/>
    <w:rsid w:val="00C46113"/>
    <w:rsid w:val="00C46593"/>
    <w:rsid w:val="00C503AA"/>
    <w:rsid w:val="00C50F56"/>
    <w:rsid w:val="00C511EC"/>
    <w:rsid w:val="00C5288B"/>
    <w:rsid w:val="00C534D5"/>
    <w:rsid w:val="00C535F7"/>
    <w:rsid w:val="00C5366A"/>
    <w:rsid w:val="00C53E48"/>
    <w:rsid w:val="00C546CE"/>
    <w:rsid w:val="00C54C88"/>
    <w:rsid w:val="00C550B1"/>
    <w:rsid w:val="00C55ECD"/>
    <w:rsid w:val="00C55ED1"/>
    <w:rsid w:val="00C56101"/>
    <w:rsid w:val="00C5786E"/>
    <w:rsid w:val="00C57F04"/>
    <w:rsid w:val="00C603B6"/>
    <w:rsid w:val="00C60E2A"/>
    <w:rsid w:val="00C619D6"/>
    <w:rsid w:val="00C61A18"/>
    <w:rsid w:val="00C61E0A"/>
    <w:rsid w:val="00C61EDE"/>
    <w:rsid w:val="00C6245C"/>
    <w:rsid w:val="00C624A5"/>
    <w:rsid w:val="00C630E7"/>
    <w:rsid w:val="00C6374B"/>
    <w:rsid w:val="00C63806"/>
    <w:rsid w:val="00C63916"/>
    <w:rsid w:val="00C63A1C"/>
    <w:rsid w:val="00C64653"/>
    <w:rsid w:val="00C648C2"/>
    <w:rsid w:val="00C659E5"/>
    <w:rsid w:val="00C65B84"/>
    <w:rsid w:val="00C66265"/>
    <w:rsid w:val="00C678F0"/>
    <w:rsid w:val="00C67D05"/>
    <w:rsid w:val="00C7026A"/>
    <w:rsid w:val="00C7071F"/>
    <w:rsid w:val="00C707C2"/>
    <w:rsid w:val="00C71AF3"/>
    <w:rsid w:val="00C723E4"/>
    <w:rsid w:val="00C7247E"/>
    <w:rsid w:val="00C7274E"/>
    <w:rsid w:val="00C727BA"/>
    <w:rsid w:val="00C72AA3"/>
    <w:rsid w:val="00C72B80"/>
    <w:rsid w:val="00C73731"/>
    <w:rsid w:val="00C737F9"/>
    <w:rsid w:val="00C7396B"/>
    <w:rsid w:val="00C74A79"/>
    <w:rsid w:val="00C74A8F"/>
    <w:rsid w:val="00C76316"/>
    <w:rsid w:val="00C77966"/>
    <w:rsid w:val="00C80164"/>
    <w:rsid w:val="00C80453"/>
    <w:rsid w:val="00C8079B"/>
    <w:rsid w:val="00C80CDB"/>
    <w:rsid w:val="00C812D2"/>
    <w:rsid w:val="00C823C0"/>
    <w:rsid w:val="00C82AB6"/>
    <w:rsid w:val="00C82F09"/>
    <w:rsid w:val="00C834D4"/>
    <w:rsid w:val="00C83878"/>
    <w:rsid w:val="00C83A3E"/>
    <w:rsid w:val="00C83B4D"/>
    <w:rsid w:val="00C845DC"/>
    <w:rsid w:val="00C84AFF"/>
    <w:rsid w:val="00C84C41"/>
    <w:rsid w:val="00C84F8F"/>
    <w:rsid w:val="00C85DA3"/>
    <w:rsid w:val="00C862B8"/>
    <w:rsid w:val="00C90892"/>
    <w:rsid w:val="00C9193E"/>
    <w:rsid w:val="00C922F1"/>
    <w:rsid w:val="00C92A4E"/>
    <w:rsid w:val="00C92FC6"/>
    <w:rsid w:val="00C93B27"/>
    <w:rsid w:val="00C93DCB"/>
    <w:rsid w:val="00C95A4A"/>
    <w:rsid w:val="00C95A89"/>
    <w:rsid w:val="00C9602F"/>
    <w:rsid w:val="00C96BE5"/>
    <w:rsid w:val="00C979CF"/>
    <w:rsid w:val="00C97C45"/>
    <w:rsid w:val="00CA0548"/>
    <w:rsid w:val="00CA08A8"/>
    <w:rsid w:val="00CA10C9"/>
    <w:rsid w:val="00CA1203"/>
    <w:rsid w:val="00CA17B5"/>
    <w:rsid w:val="00CA2C63"/>
    <w:rsid w:val="00CA2E78"/>
    <w:rsid w:val="00CA430F"/>
    <w:rsid w:val="00CA4548"/>
    <w:rsid w:val="00CA4902"/>
    <w:rsid w:val="00CA55C7"/>
    <w:rsid w:val="00CA56AA"/>
    <w:rsid w:val="00CA57C6"/>
    <w:rsid w:val="00CA6AAA"/>
    <w:rsid w:val="00CB1301"/>
    <w:rsid w:val="00CB1322"/>
    <w:rsid w:val="00CB1355"/>
    <w:rsid w:val="00CB16B1"/>
    <w:rsid w:val="00CB1B50"/>
    <w:rsid w:val="00CB1CAB"/>
    <w:rsid w:val="00CB2022"/>
    <w:rsid w:val="00CB284C"/>
    <w:rsid w:val="00CB3245"/>
    <w:rsid w:val="00CB329D"/>
    <w:rsid w:val="00CB361D"/>
    <w:rsid w:val="00CB4402"/>
    <w:rsid w:val="00CB446A"/>
    <w:rsid w:val="00CB4BB9"/>
    <w:rsid w:val="00CB5222"/>
    <w:rsid w:val="00CB53FF"/>
    <w:rsid w:val="00CB54DD"/>
    <w:rsid w:val="00CB5E5C"/>
    <w:rsid w:val="00CB66A4"/>
    <w:rsid w:val="00CC07A1"/>
    <w:rsid w:val="00CC07B4"/>
    <w:rsid w:val="00CC0C4E"/>
    <w:rsid w:val="00CC0FBB"/>
    <w:rsid w:val="00CC1BAC"/>
    <w:rsid w:val="00CC1EAF"/>
    <w:rsid w:val="00CC21B9"/>
    <w:rsid w:val="00CC27AF"/>
    <w:rsid w:val="00CC38C9"/>
    <w:rsid w:val="00CC3F4D"/>
    <w:rsid w:val="00CC424F"/>
    <w:rsid w:val="00CC4E06"/>
    <w:rsid w:val="00CC4F19"/>
    <w:rsid w:val="00CC5078"/>
    <w:rsid w:val="00CC56F7"/>
    <w:rsid w:val="00CC5BD2"/>
    <w:rsid w:val="00CC64B8"/>
    <w:rsid w:val="00CC652E"/>
    <w:rsid w:val="00CC6A57"/>
    <w:rsid w:val="00CC744F"/>
    <w:rsid w:val="00CC7B1C"/>
    <w:rsid w:val="00CD0904"/>
    <w:rsid w:val="00CD1868"/>
    <w:rsid w:val="00CD1CEF"/>
    <w:rsid w:val="00CD1EEF"/>
    <w:rsid w:val="00CD2601"/>
    <w:rsid w:val="00CD38E4"/>
    <w:rsid w:val="00CD4525"/>
    <w:rsid w:val="00CD51FD"/>
    <w:rsid w:val="00CD5329"/>
    <w:rsid w:val="00CD57C7"/>
    <w:rsid w:val="00CD5867"/>
    <w:rsid w:val="00CD5E45"/>
    <w:rsid w:val="00CD6917"/>
    <w:rsid w:val="00CD6D98"/>
    <w:rsid w:val="00CD6ECD"/>
    <w:rsid w:val="00CD776F"/>
    <w:rsid w:val="00CE1C87"/>
    <w:rsid w:val="00CE301A"/>
    <w:rsid w:val="00CE3090"/>
    <w:rsid w:val="00CE30AE"/>
    <w:rsid w:val="00CE36F0"/>
    <w:rsid w:val="00CE3E44"/>
    <w:rsid w:val="00CE4E5D"/>
    <w:rsid w:val="00CE5172"/>
    <w:rsid w:val="00CE53D7"/>
    <w:rsid w:val="00CE58FB"/>
    <w:rsid w:val="00CE63DF"/>
    <w:rsid w:val="00CE73E5"/>
    <w:rsid w:val="00CF017F"/>
    <w:rsid w:val="00CF02AE"/>
    <w:rsid w:val="00CF1CA3"/>
    <w:rsid w:val="00CF22BC"/>
    <w:rsid w:val="00CF30B7"/>
    <w:rsid w:val="00CF38D0"/>
    <w:rsid w:val="00CF406C"/>
    <w:rsid w:val="00CF40F3"/>
    <w:rsid w:val="00CF4826"/>
    <w:rsid w:val="00CF5FB2"/>
    <w:rsid w:val="00CF7465"/>
    <w:rsid w:val="00CF7A28"/>
    <w:rsid w:val="00CF7E27"/>
    <w:rsid w:val="00D003D9"/>
    <w:rsid w:val="00D007E2"/>
    <w:rsid w:val="00D00F5C"/>
    <w:rsid w:val="00D01A7F"/>
    <w:rsid w:val="00D0270C"/>
    <w:rsid w:val="00D03B7F"/>
    <w:rsid w:val="00D043AD"/>
    <w:rsid w:val="00D047DE"/>
    <w:rsid w:val="00D04CF3"/>
    <w:rsid w:val="00D052FC"/>
    <w:rsid w:val="00D05B7B"/>
    <w:rsid w:val="00D062DB"/>
    <w:rsid w:val="00D06B06"/>
    <w:rsid w:val="00D07B86"/>
    <w:rsid w:val="00D07EF4"/>
    <w:rsid w:val="00D10147"/>
    <w:rsid w:val="00D10B02"/>
    <w:rsid w:val="00D110A8"/>
    <w:rsid w:val="00D1264A"/>
    <w:rsid w:val="00D12EB3"/>
    <w:rsid w:val="00D1335B"/>
    <w:rsid w:val="00D13757"/>
    <w:rsid w:val="00D13924"/>
    <w:rsid w:val="00D1484B"/>
    <w:rsid w:val="00D14F2D"/>
    <w:rsid w:val="00D1587D"/>
    <w:rsid w:val="00D159C6"/>
    <w:rsid w:val="00D16046"/>
    <w:rsid w:val="00D16259"/>
    <w:rsid w:val="00D165B6"/>
    <w:rsid w:val="00D17884"/>
    <w:rsid w:val="00D203C9"/>
    <w:rsid w:val="00D206A3"/>
    <w:rsid w:val="00D20EF6"/>
    <w:rsid w:val="00D2196E"/>
    <w:rsid w:val="00D21C17"/>
    <w:rsid w:val="00D22753"/>
    <w:rsid w:val="00D229C1"/>
    <w:rsid w:val="00D2416E"/>
    <w:rsid w:val="00D2456A"/>
    <w:rsid w:val="00D2498F"/>
    <w:rsid w:val="00D253E9"/>
    <w:rsid w:val="00D2571A"/>
    <w:rsid w:val="00D25E3F"/>
    <w:rsid w:val="00D264A2"/>
    <w:rsid w:val="00D268CE"/>
    <w:rsid w:val="00D26DA4"/>
    <w:rsid w:val="00D26FA1"/>
    <w:rsid w:val="00D2702D"/>
    <w:rsid w:val="00D27836"/>
    <w:rsid w:val="00D27D14"/>
    <w:rsid w:val="00D301A5"/>
    <w:rsid w:val="00D3053B"/>
    <w:rsid w:val="00D31480"/>
    <w:rsid w:val="00D322E9"/>
    <w:rsid w:val="00D32B90"/>
    <w:rsid w:val="00D32BFB"/>
    <w:rsid w:val="00D334AA"/>
    <w:rsid w:val="00D338B9"/>
    <w:rsid w:val="00D3707D"/>
    <w:rsid w:val="00D3770B"/>
    <w:rsid w:val="00D41B5A"/>
    <w:rsid w:val="00D41BDC"/>
    <w:rsid w:val="00D426B5"/>
    <w:rsid w:val="00D429AB"/>
    <w:rsid w:val="00D42B3F"/>
    <w:rsid w:val="00D42CC8"/>
    <w:rsid w:val="00D43102"/>
    <w:rsid w:val="00D432E2"/>
    <w:rsid w:val="00D43C78"/>
    <w:rsid w:val="00D43F08"/>
    <w:rsid w:val="00D4479C"/>
    <w:rsid w:val="00D44946"/>
    <w:rsid w:val="00D44D88"/>
    <w:rsid w:val="00D44FAA"/>
    <w:rsid w:val="00D45A01"/>
    <w:rsid w:val="00D475A5"/>
    <w:rsid w:val="00D51E8F"/>
    <w:rsid w:val="00D523DF"/>
    <w:rsid w:val="00D5277C"/>
    <w:rsid w:val="00D534C2"/>
    <w:rsid w:val="00D535CF"/>
    <w:rsid w:val="00D536FB"/>
    <w:rsid w:val="00D554F2"/>
    <w:rsid w:val="00D555D0"/>
    <w:rsid w:val="00D56420"/>
    <w:rsid w:val="00D56D44"/>
    <w:rsid w:val="00D56E62"/>
    <w:rsid w:val="00D601A3"/>
    <w:rsid w:val="00D60D6A"/>
    <w:rsid w:val="00D61203"/>
    <w:rsid w:val="00D61562"/>
    <w:rsid w:val="00D629BF"/>
    <w:rsid w:val="00D63832"/>
    <w:rsid w:val="00D643DB"/>
    <w:rsid w:val="00D65BEB"/>
    <w:rsid w:val="00D667B4"/>
    <w:rsid w:val="00D6683E"/>
    <w:rsid w:val="00D67615"/>
    <w:rsid w:val="00D67859"/>
    <w:rsid w:val="00D716AF"/>
    <w:rsid w:val="00D716BB"/>
    <w:rsid w:val="00D72036"/>
    <w:rsid w:val="00D72940"/>
    <w:rsid w:val="00D73893"/>
    <w:rsid w:val="00D7503D"/>
    <w:rsid w:val="00D765A7"/>
    <w:rsid w:val="00D7699D"/>
    <w:rsid w:val="00D77332"/>
    <w:rsid w:val="00D77545"/>
    <w:rsid w:val="00D77646"/>
    <w:rsid w:val="00D77F3D"/>
    <w:rsid w:val="00D81F3D"/>
    <w:rsid w:val="00D82C83"/>
    <w:rsid w:val="00D82CB3"/>
    <w:rsid w:val="00D835C5"/>
    <w:rsid w:val="00D83B87"/>
    <w:rsid w:val="00D840ED"/>
    <w:rsid w:val="00D846A2"/>
    <w:rsid w:val="00D84D97"/>
    <w:rsid w:val="00D85ECF"/>
    <w:rsid w:val="00D8685B"/>
    <w:rsid w:val="00D868B0"/>
    <w:rsid w:val="00D87436"/>
    <w:rsid w:val="00D87DB6"/>
    <w:rsid w:val="00D87E18"/>
    <w:rsid w:val="00D903AE"/>
    <w:rsid w:val="00D9051C"/>
    <w:rsid w:val="00D91192"/>
    <w:rsid w:val="00D91880"/>
    <w:rsid w:val="00D91F6B"/>
    <w:rsid w:val="00D9254A"/>
    <w:rsid w:val="00D939DF"/>
    <w:rsid w:val="00D941B1"/>
    <w:rsid w:val="00D947D8"/>
    <w:rsid w:val="00D95DA2"/>
    <w:rsid w:val="00D9631C"/>
    <w:rsid w:val="00D96556"/>
    <w:rsid w:val="00D96755"/>
    <w:rsid w:val="00D971FD"/>
    <w:rsid w:val="00D975CC"/>
    <w:rsid w:val="00DA07D1"/>
    <w:rsid w:val="00DA0B62"/>
    <w:rsid w:val="00DA1E65"/>
    <w:rsid w:val="00DA21BC"/>
    <w:rsid w:val="00DA36B3"/>
    <w:rsid w:val="00DA3825"/>
    <w:rsid w:val="00DA3916"/>
    <w:rsid w:val="00DA3B45"/>
    <w:rsid w:val="00DA3D38"/>
    <w:rsid w:val="00DA3FBF"/>
    <w:rsid w:val="00DA4374"/>
    <w:rsid w:val="00DA5B6E"/>
    <w:rsid w:val="00DA6309"/>
    <w:rsid w:val="00DA7400"/>
    <w:rsid w:val="00DA7702"/>
    <w:rsid w:val="00DA7761"/>
    <w:rsid w:val="00DB0A66"/>
    <w:rsid w:val="00DB0EAE"/>
    <w:rsid w:val="00DB1106"/>
    <w:rsid w:val="00DB1459"/>
    <w:rsid w:val="00DB1FAE"/>
    <w:rsid w:val="00DB22E3"/>
    <w:rsid w:val="00DB2C4B"/>
    <w:rsid w:val="00DB33EF"/>
    <w:rsid w:val="00DB41B3"/>
    <w:rsid w:val="00DB458A"/>
    <w:rsid w:val="00DB47AE"/>
    <w:rsid w:val="00DB4A40"/>
    <w:rsid w:val="00DB4E9C"/>
    <w:rsid w:val="00DB51BA"/>
    <w:rsid w:val="00DB547C"/>
    <w:rsid w:val="00DB5582"/>
    <w:rsid w:val="00DB5DA0"/>
    <w:rsid w:val="00DB7155"/>
    <w:rsid w:val="00DB7803"/>
    <w:rsid w:val="00DC0341"/>
    <w:rsid w:val="00DC0BC3"/>
    <w:rsid w:val="00DC19A8"/>
    <w:rsid w:val="00DC1AED"/>
    <w:rsid w:val="00DC30E1"/>
    <w:rsid w:val="00DC32BC"/>
    <w:rsid w:val="00DC3395"/>
    <w:rsid w:val="00DC3B0A"/>
    <w:rsid w:val="00DC3FE6"/>
    <w:rsid w:val="00DC4967"/>
    <w:rsid w:val="00DC512D"/>
    <w:rsid w:val="00DC61A1"/>
    <w:rsid w:val="00DC62E6"/>
    <w:rsid w:val="00DC69EE"/>
    <w:rsid w:val="00DC6D45"/>
    <w:rsid w:val="00DC7E33"/>
    <w:rsid w:val="00DD021A"/>
    <w:rsid w:val="00DD05DC"/>
    <w:rsid w:val="00DD0929"/>
    <w:rsid w:val="00DD106A"/>
    <w:rsid w:val="00DD18D9"/>
    <w:rsid w:val="00DD1D27"/>
    <w:rsid w:val="00DD1D61"/>
    <w:rsid w:val="00DD2C90"/>
    <w:rsid w:val="00DD34F4"/>
    <w:rsid w:val="00DD37A0"/>
    <w:rsid w:val="00DD3D06"/>
    <w:rsid w:val="00DD3DA1"/>
    <w:rsid w:val="00DD428F"/>
    <w:rsid w:val="00DD4E92"/>
    <w:rsid w:val="00DD553E"/>
    <w:rsid w:val="00DD5EDF"/>
    <w:rsid w:val="00DD617E"/>
    <w:rsid w:val="00DD6DA2"/>
    <w:rsid w:val="00DD7362"/>
    <w:rsid w:val="00DD7D04"/>
    <w:rsid w:val="00DE0492"/>
    <w:rsid w:val="00DE1611"/>
    <w:rsid w:val="00DE1939"/>
    <w:rsid w:val="00DE198F"/>
    <w:rsid w:val="00DE1B7E"/>
    <w:rsid w:val="00DE2B7A"/>
    <w:rsid w:val="00DE37A5"/>
    <w:rsid w:val="00DE3B8C"/>
    <w:rsid w:val="00DE483F"/>
    <w:rsid w:val="00DE4A11"/>
    <w:rsid w:val="00DE4ACB"/>
    <w:rsid w:val="00DE4E1B"/>
    <w:rsid w:val="00DE51F5"/>
    <w:rsid w:val="00DE658F"/>
    <w:rsid w:val="00DE7B2E"/>
    <w:rsid w:val="00DF0F70"/>
    <w:rsid w:val="00DF359F"/>
    <w:rsid w:val="00DF3AD3"/>
    <w:rsid w:val="00DF3B59"/>
    <w:rsid w:val="00DF458F"/>
    <w:rsid w:val="00DF45B8"/>
    <w:rsid w:val="00DF5858"/>
    <w:rsid w:val="00DF6B99"/>
    <w:rsid w:val="00DF6D19"/>
    <w:rsid w:val="00DF7293"/>
    <w:rsid w:val="00DF7F64"/>
    <w:rsid w:val="00DF7F83"/>
    <w:rsid w:val="00E0014E"/>
    <w:rsid w:val="00E00926"/>
    <w:rsid w:val="00E00FC0"/>
    <w:rsid w:val="00E01540"/>
    <w:rsid w:val="00E022EE"/>
    <w:rsid w:val="00E03628"/>
    <w:rsid w:val="00E04963"/>
    <w:rsid w:val="00E05426"/>
    <w:rsid w:val="00E05CFA"/>
    <w:rsid w:val="00E061A5"/>
    <w:rsid w:val="00E0634F"/>
    <w:rsid w:val="00E0698D"/>
    <w:rsid w:val="00E078C0"/>
    <w:rsid w:val="00E10A0E"/>
    <w:rsid w:val="00E11575"/>
    <w:rsid w:val="00E1270D"/>
    <w:rsid w:val="00E135B3"/>
    <w:rsid w:val="00E13915"/>
    <w:rsid w:val="00E13BEE"/>
    <w:rsid w:val="00E14583"/>
    <w:rsid w:val="00E151AE"/>
    <w:rsid w:val="00E1526E"/>
    <w:rsid w:val="00E15C20"/>
    <w:rsid w:val="00E16003"/>
    <w:rsid w:val="00E173A0"/>
    <w:rsid w:val="00E21216"/>
    <w:rsid w:val="00E21AB0"/>
    <w:rsid w:val="00E21D58"/>
    <w:rsid w:val="00E21E00"/>
    <w:rsid w:val="00E22333"/>
    <w:rsid w:val="00E22572"/>
    <w:rsid w:val="00E228DC"/>
    <w:rsid w:val="00E22AA0"/>
    <w:rsid w:val="00E22DD0"/>
    <w:rsid w:val="00E2499B"/>
    <w:rsid w:val="00E265B0"/>
    <w:rsid w:val="00E26E9F"/>
    <w:rsid w:val="00E26EB6"/>
    <w:rsid w:val="00E26FB7"/>
    <w:rsid w:val="00E276FD"/>
    <w:rsid w:val="00E27D12"/>
    <w:rsid w:val="00E309A6"/>
    <w:rsid w:val="00E31648"/>
    <w:rsid w:val="00E31AB8"/>
    <w:rsid w:val="00E31DAB"/>
    <w:rsid w:val="00E32419"/>
    <w:rsid w:val="00E33544"/>
    <w:rsid w:val="00E336C6"/>
    <w:rsid w:val="00E339AD"/>
    <w:rsid w:val="00E35096"/>
    <w:rsid w:val="00E356AA"/>
    <w:rsid w:val="00E3593F"/>
    <w:rsid w:val="00E35D4C"/>
    <w:rsid w:val="00E35FA1"/>
    <w:rsid w:val="00E36CF3"/>
    <w:rsid w:val="00E374B9"/>
    <w:rsid w:val="00E375FE"/>
    <w:rsid w:val="00E421E9"/>
    <w:rsid w:val="00E439FE"/>
    <w:rsid w:val="00E456C7"/>
    <w:rsid w:val="00E4570A"/>
    <w:rsid w:val="00E464E3"/>
    <w:rsid w:val="00E473CF"/>
    <w:rsid w:val="00E475B4"/>
    <w:rsid w:val="00E47CEF"/>
    <w:rsid w:val="00E50168"/>
    <w:rsid w:val="00E5074A"/>
    <w:rsid w:val="00E50C42"/>
    <w:rsid w:val="00E52379"/>
    <w:rsid w:val="00E5246E"/>
    <w:rsid w:val="00E52A80"/>
    <w:rsid w:val="00E53A18"/>
    <w:rsid w:val="00E53E88"/>
    <w:rsid w:val="00E54463"/>
    <w:rsid w:val="00E54D37"/>
    <w:rsid w:val="00E55177"/>
    <w:rsid w:val="00E573FC"/>
    <w:rsid w:val="00E5776F"/>
    <w:rsid w:val="00E61257"/>
    <w:rsid w:val="00E61F30"/>
    <w:rsid w:val="00E62188"/>
    <w:rsid w:val="00E632A0"/>
    <w:rsid w:val="00E636DA"/>
    <w:rsid w:val="00E6450A"/>
    <w:rsid w:val="00E64610"/>
    <w:rsid w:val="00E646F9"/>
    <w:rsid w:val="00E652E6"/>
    <w:rsid w:val="00E6580F"/>
    <w:rsid w:val="00E66025"/>
    <w:rsid w:val="00E7067E"/>
    <w:rsid w:val="00E70846"/>
    <w:rsid w:val="00E7168A"/>
    <w:rsid w:val="00E71A10"/>
    <w:rsid w:val="00E72003"/>
    <w:rsid w:val="00E7228D"/>
    <w:rsid w:val="00E72872"/>
    <w:rsid w:val="00E733B5"/>
    <w:rsid w:val="00E733DB"/>
    <w:rsid w:val="00E73516"/>
    <w:rsid w:val="00E7359D"/>
    <w:rsid w:val="00E74CC9"/>
    <w:rsid w:val="00E751F6"/>
    <w:rsid w:val="00E75625"/>
    <w:rsid w:val="00E75C7C"/>
    <w:rsid w:val="00E7714B"/>
    <w:rsid w:val="00E77369"/>
    <w:rsid w:val="00E7758C"/>
    <w:rsid w:val="00E80368"/>
    <w:rsid w:val="00E8038F"/>
    <w:rsid w:val="00E805CF"/>
    <w:rsid w:val="00E8173E"/>
    <w:rsid w:val="00E81917"/>
    <w:rsid w:val="00E82AA5"/>
    <w:rsid w:val="00E82AC5"/>
    <w:rsid w:val="00E82F39"/>
    <w:rsid w:val="00E83B2B"/>
    <w:rsid w:val="00E83D8A"/>
    <w:rsid w:val="00E842F4"/>
    <w:rsid w:val="00E8452E"/>
    <w:rsid w:val="00E84B52"/>
    <w:rsid w:val="00E852BC"/>
    <w:rsid w:val="00E853AE"/>
    <w:rsid w:val="00E863F0"/>
    <w:rsid w:val="00E86805"/>
    <w:rsid w:val="00E8688C"/>
    <w:rsid w:val="00E874B1"/>
    <w:rsid w:val="00E91686"/>
    <w:rsid w:val="00E918DF"/>
    <w:rsid w:val="00E91A04"/>
    <w:rsid w:val="00E91DBE"/>
    <w:rsid w:val="00E9275B"/>
    <w:rsid w:val="00E93253"/>
    <w:rsid w:val="00E9441C"/>
    <w:rsid w:val="00E94BE2"/>
    <w:rsid w:val="00E94C6E"/>
    <w:rsid w:val="00E9555D"/>
    <w:rsid w:val="00E957D4"/>
    <w:rsid w:val="00E96A23"/>
    <w:rsid w:val="00E97C21"/>
    <w:rsid w:val="00EA03C8"/>
    <w:rsid w:val="00EA0A08"/>
    <w:rsid w:val="00EA0EA5"/>
    <w:rsid w:val="00EA2733"/>
    <w:rsid w:val="00EA2FEF"/>
    <w:rsid w:val="00EA330A"/>
    <w:rsid w:val="00EA3A6F"/>
    <w:rsid w:val="00EA46EE"/>
    <w:rsid w:val="00EA4841"/>
    <w:rsid w:val="00EA5597"/>
    <w:rsid w:val="00EA5BCD"/>
    <w:rsid w:val="00EA5FC9"/>
    <w:rsid w:val="00EA7F27"/>
    <w:rsid w:val="00EB0C3D"/>
    <w:rsid w:val="00EB1B78"/>
    <w:rsid w:val="00EB2DA0"/>
    <w:rsid w:val="00EB2F44"/>
    <w:rsid w:val="00EB390F"/>
    <w:rsid w:val="00EB3D50"/>
    <w:rsid w:val="00EB40CB"/>
    <w:rsid w:val="00EB4213"/>
    <w:rsid w:val="00EB4D1E"/>
    <w:rsid w:val="00EB52F9"/>
    <w:rsid w:val="00EB54C7"/>
    <w:rsid w:val="00EB570D"/>
    <w:rsid w:val="00EB578D"/>
    <w:rsid w:val="00EB5B9C"/>
    <w:rsid w:val="00EB66D0"/>
    <w:rsid w:val="00EB6F0A"/>
    <w:rsid w:val="00EB71F8"/>
    <w:rsid w:val="00EB7364"/>
    <w:rsid w:val="00EB7EEC"/>
    <w:rsid w:val="00EB7F7B"/>
    <w:rsid w:val="00EC043C"/>
    <w:rsid w:val="00EC08C5"/>
    <w:rsid w:val="00EC0DD7"/>
    <w:rsid w:val="00EC162C"/>
    <w:rsid w:val="00EC25CF"/>
    <w:rsid w:val="00EC2D38"/>
    <w:rsid w:val="00EC2ED4"/>
    <w:rsid w:val="00EC38C9"/>
    <w:rsid w:val="00EC54EF"/>
    <w:rsid w:val="00EC6775"/>
    <w:rsid w:val="00EC75D4"/>
    <w:rsid w:val="00EC7D02"/>
    <w:rsid w:val="00ED0773"/>
    <w:rsid w:val="00ED0846"/>
    <w:rsid w:val="00ED0C36"/>
    <w:rsid w:val="00ED0C95"/>
    <w:rsid w:val="00ED0FCF"/>
    <w:rsid w:val="00ED1796"/>
    <w:rsid w:val="00ED1B11"/>
    <w:rsid w:val="00ED1BFC"/>
    <w:rsid w:val="00ED22BF"/>
    <w:rsid w:val="00ED22DF"/>
    <w:rsid w:val="00ED26A5"/>
    <w:rsid w:val="00ED2F7F"/>
    <w:rsid w:val="00ED310E"/>
    <w:rsid w:val="00ED493A"/>
    <w:rsid w:val="00ED5535"/>
    <w:rsid w:val="00ED641F"/>
    <w:rsid w:val="00ED65E6"/>
    <w:rsid w:val="00ED6A8D"/>
    <w:rsid w:val="00ED6DAF"/>
    <w:rsid w:val="00ED79F0"/>
    <w:rsid w:val="00ED7AC7"/>
    <w:rsid w:val="00ED7EF7"/>
    <w:rsid w:val="00EE2ABB"/>
    <w:rsid w:val="00EE3371"/>
    <w:rsid w:val="00EE3694"/>
    <w:rsid w:val="00EE392A"/>
    <w:rsid w:val="00EE3A05"/>
    <w:rsid w:val="00EE5C94"/>
    <w:rsid w:val="00EE6792"/>
    <w:rsid w:val="00EE6B53"/>
    <w:rsid w:val="00EE7208"/>
    <w:rsid w:val="00EF008B"/>
    <w:rsid w:val="00EF0173"/>
    <w:rsid w:val="00EF20E2"/>
    <w:rsid w:val="00EF2FCA"/>
    <w:rsid w:val="00EF30C1"/>
    <w:rsid w:val="00EF3DB9"/>
    <w:rsid w:val="00EF4375"/>
    <w:rsid w:val="00EF4452"/>
    <w:rsid w:val="00EF4671"/>
    <w:rsid w:val="00EF4CDA"/>
    <w:rsid w:val="00EF5889"/>
    <w:rsid w:val="00EF5A42"/>
    <w:rsid w:val="00EF5AE3"/>
    <w:rsid w:val="00EF7F3A"/>
    <w:rsid w:val="00EF7FB5"/>
    <w:rsid w:val="00F00CD2"/>
    <w:rsid w:val="00F01BE1"/>
    <w:rsid w:val="00F01BEC"/>
    <w:rsid w:val="00F01C7C"/>
    <w:rsid w:val="00F03ED0"/>
    <w:rsid w:val="00F043B7"/>
    <w:rsid w:val="00F04ABB"/>
    <w:rsid w:val="00F04C2E"/>
    <w:rsid w:val="00F0731D"/>
    <w:rsid w:val="00F07DBA"/>
    <w:rsid w:val="00F101A1"/>
    <w:rsid w:val="00F1045C"/>
    <w:rsid w:val="00F1165C"/>
    <w:rsid w:val="00F116B8"/>
    <w:rsid w:val="00F11975"/>
    <w:rsid w:val="00F11B3D"/>
    <w:rsid w:val="00F11CA5"/>
    <w:rsid w:val="00F125E0"/>
    <w:rsid w:val="00F12F22"/>
    <w:rsid w:val="00F12FE8"/>
    <w:rsid w:val="00F135E0"/>
    <w:rsid w:val="00F13832"/>
    <w:rsid w:val="00F13A3C"/>
    <w:rsid w:val="00F142D3"/>
    <w:rsid w:val="00F15511"/>
    <w:rsid w:val="00F15951"/>
    <w:rsid w:val="00F16432"/>
    <w:rsid w:val="00F17930"/>
    <w:rsid w:val="00F20933"/>
    <w:rsid w:val="00F213AC"/>
    <w:rsid w:val="00F214F3"/>
    <w:rsid w:val="00F219A2"/>
    <w:rsid w:val="00F21B07"/>
    <w:rsid w:val="00F22CAA"/>
    <w:rsid w:val="00F2315F"/>
    <w:rsid w:val="00F23173"/>
    <w:rsid w:val="00F2339F"/>
    <w:rsid w:val="00F23D1B"/>
    <w:rsid w:val="00F23DCA"/>
    <w:rsid w:val="00F23F29"/>
    <w:rsid w:val="00F23F48"/>
    <w:rsid w:val="00F246A0"/>
    <w:rsid w:val="00F24743"/>
    <w:rsid w:val="00F247CD"/>
    <w:rsid w:val="00F24B7E"/>
    <w:rsid w:val="00F256AB"/>
    <w:rsid w:val="00F26BCD"/>
    <w:rsid w:val="00F27691"/>
    <w:rsid w:val="00F27BAA"/>
    <w:rsid w:val="00F31381"/>
    <w:rsid w:val="00F314C7"/>
    <w:rsid w:val="00F321DC"/>
    <w:rsid w:val="00F3257B"/>
    <w:rsid w:val="00F332E0"/>
    <w:rsid w:val="00F340D8"/>
    <w:rsid w:val="00F34297"/>
    <w:rsid w:val="00F342D5"/>
    <w:rsid w:val="00F34F55"/>
    <w:rsid w:val="00F365B2"/>
    <w:rsid w:val="00F36C2D"/>
    <w:rsid w:val="00F36D87"/>
    <w:rsid w:val="00F370A9"/>
    <w:rsid w:val="00F372CF"/>
    <w:rsid w:val="00F37E76"/>
    <w:rsid w:val="00F37F8B"/>
    <w:rsid w:val="00F404AA"/>
    <w:rsid w:val="00F405C2"/>
    <w:rsid w:val="00F41154"/>
    <w:rsid w:val="00F411CA"/>
    <w:rsid w:val="00F421E8"/>
    <w:rsid w:val="00F4246C"/>
    <w:rsid w:val="00F42523"/>
    <w:rsid w:val="00F430BD"/>
    <w:rsid w:val="00F43530"/>
    <w:rsid w:val="00F44A5D"/>
    <w:rsid w:val="00F45484"/>
    <w:rsid w:val="00F456AE"/>
    <w:rsid w:val="00F45890"/>
    <w:rsid w:val="00F45A15"/>
    <w:rsid w:val="00F45E5C"/>
    <w:rsid w:val="00F462F1"/>
    <w:rsid w:val="00F46F78"/>
    <w:rsid w:val="00F47D1F"/>
    <w:rsid w:val="00F47F8C"/>
    <w:rsid w:val="00F50251"/>
    <w:rsid w:val="00F50AB5"/>
    <w:rsid w:val="00F50BEF"/>
    <w:rsid w:val="00F50FA9"/>
    <w:rsid w:val="00F512CA"/>
    <w:rsid w:val="00F515D2"/>
    <w:rsid w:val="00F51BB6"/>
    <w:rsid w:val="00F51DAC"/>
    <w:rsid w:val="00F52521"/>
    <w:rsid w:val="00F53854"/>
    <w:rsid w:val="00F53C24"/>
    <w:rsid w:val="00F5427A"/>
    <w:rsid w:val="00F549E8"/>
    <w:rsid w:val="00F55DBA"/>
    <w:rsid w:val="00F560D9"/>
    <w:rsid w:val="00F579D8"/>
    <w:rsid w:val="00F61186"/>
    <w:rsid w:val="00F6136A"/>
    <w:rsid w:val="00F6167C"/>
    <w:rsid w:val="00F61836"/>
    <w:rsid w:val="00F6192C"/>
    <w:rsid w:val="00F62772"/>
    <w:rsid w:val="00F629D1"/>
    <w:rsid w:val="00F62CE4"/>
    <w:rsid w:val="00F62DDF"/>
    <w:rsid w:val="00F637DA"/>
    <w:rsid w:val="00F65AA7"/>
    <w:rsid w:val="00F65E62"/>
    <w:rsid w:val="00F663CE"/>
    <w:rsid w:val="00F6668B"/>
    <w:rsid w:val="00F677C0"/>
    <w:rsid w:val="00F67E6A"/>
    <w:rsid w:val="00F700E1"/>
    <w:rsid w:val="00F70858"/>
    <w:rsid w:val="00F70E15"/>
    <w:rsid w:val="00F72914"/>
    <w:rsid w:val="00F73213"/>
    <w:rsid w:val="00F73412"/>
    <w:rsid w:val="00F73821"/>
    <w:rsid w:val="00F73842"/>
    <w:rsid w:val="00F742CF"/>
    <w:rsid w:val="00F749FE"/>
    <w:rsid w:val="00F74FD6"/>
    <w:rsid w:val="00F75204"/>
    <w:rsid w:val="00F758F6"/>
    <w:rsid w:val="00F75968"/>
    <w:rsid w:val="00F76C92"/>
    <w:rsid w:val="00F7768B"/>
    <w:rsid w:val="00F7775B"/>
    <w:rsid w:val="00F77773"/>
    <w:rsid w:val="00F778F7"/>
    <w:rsid w:val="00F80230"/>
    <w:rsid w:val="00F80854"/>
    <w:rsid w:val="00F809ED"/>
    <w:rsid w:val="00F81DBC"/>
    <w:rsid w:val="00F82360"/>
    <w:rsid w:val="00F836BE"/>
    <w:rsid w:val="00F843BD"/>
    <w:rsid w:val="00F84A29"/>
    <w:rsid w:val="00F85012"/>
    <w:rsid w:val="00F853C2"/>
    <w:rsid w:val="00F858C5"/>
    <w:rsid w:val="00F85B27"/>
    <w:rsid w:val="00F85D97"/>
    <w:rsid w:val="00F85F7B"/>
    <w:rsid w:val="00F86C68"/>
    <w:rsid w:val="00F90D40"/>
    <w:rsid w:val="00F916C2"/>
    <w:rsid w:val="00F924BB"/>
    <w:rsid w:val="00F93291"/>
    <w:rsid w:val="00F93738"/>
    <w:rsid w:val="00F938DF"/>
    <w:rsid w:val="00F94429"/>
    <w:rsid w:val="00F94B68"/>
    <w:rsid w:val="00F953A2"/>
    <w:rsid w:val="00F96CE0"/>
    <w:rsid w:val="00F97312"/>
    <w:rsid w:val="00FA0A2C"/>
    <w:rsid w:val="00FA180A"/>
    <w:rsid w:val="00FA1AAF"/>
    <w:rsid w:val="00FA1E0A"/>
    <w:rsid w:val="00FA219D"/>
    <w:rsid w:val="00FA243F"/>
    <w:rsid w:val="00FA29C4"/>
    <w:rsid w:val="00FA2B6E"/>
    <w:rsid w:val="00FA2F33"/>
    <w:rsid w:val="00FA2FF8"/>
    <w:rsid w:val="00FA32DF"/>
    <w:rsid w:val="00FA3917"/>
    <w:rsid w:val="00FA4733"/>
    <w:rsid w:val="00FA4A1B"/>
    <w:rsid w:val="00FA5A26"/>
    <w:rsid w:val="00FA625D"/>
    <w:rsid w:val="00FA640E"/>
    <w:rsid w:val="00FA704F"/>
    <w:rsid w:val="00FB03D6"/>
    <w:rsid w:val="00FB09D7"/>
    <w:rsid w:val="00FB0A77"/>
    <w:rsid w:val="00FB2CEB"/>
    <w:rsid w:val="00FB2EA3"/>
    <w:rsid w:val="00FB3229"/>
    <w:rsid w:val="00FB3C2A"/>
    <w:rsid w:val="00FB452E"/>
    <w:rsid w:val="00FB4E3A"/>
    <w:rsid w:val="00FB51F7"/>
    <w:rsid w:val="00FB5259"/>
    <w:rsid w:val="00FB596C"/>
    <w:rsid w:val="00FB6326"/>
    <w:rsid w:val="00FB66BF"/>
    <w:rsid w:val="00FB6B3D"/>
    <w:rsid w:val="00FB6CF0"/>
    <w:rsid w:val="00FB7372"/>
    <w:rsid w:val="00FB73BB"/>
    <w:rsid w:val="00FC054E"/>
    <w:rsid w:val="00FC2209"/>
    <w:rsid w:val="00FC2A66"/>
    <w:rsid w:val="00FC4BA7"/>
    <w:rsid w:val="00FC52FB"/>
    <w:rsid w:val="00FC58B2"/>
    <w:rsid w:val="00FC5B89"/>
    <w:rsid w:val="00FC5FA2"/>
    <w:rsid w:val="00FC6207"/>
    <w:rsid w:val="00FC6561"/>
    <w:rsid w:val="00FC6AFF"/>
    <w:rsid w:val="00FC6C03"/>
    <w:rsid w:val="00FC7685"/>
    <w:rsid w:val="00FC7D5D"/>
    <w:rsid w:val="00FD0232"/>
    <w:rsid w:val="00FD051A"/>
    <w:rsid w:val="00FD0C5E"/>
    <w:rsid w:val="00FD30D8"/>
    <w:rsid w:val="00FD485F"/>
    <w:rsid w:val="00FD55A6"/>
    <w:rsid w:val="00FD7E63"/>
    <w:rsid w:val="00FE04BF"/>
    <w:rsid w:val="00FE0FE4"/>
    <w:rsid w:val="00FE18A8"/>
    <w:rsid w:val="00FE1DD8"/>
    <w:rsid w:val="00FE1DE2"/>
    <w:rsid w:val="00FE2860"/>
    <w:rsid w:val="00FE2D4B"/>
    <w:rsid w:val="00FE2E66"/>
    <w:rsid w:val="00FE32A1"/>
    <w:rsid w:val="00FE36C5"/>
    <w:rsid w:val="00FE379B"/>
    <w:rsid w:val="00FE3EEC"/>
    <w:rsid w:val="00FE432F"/>
    <w:rsid w:val="00FE4885"/>
    <w:rsid w:val="00FE5B42"/>
    <w:rsid w:val="00FE64F9"/>
    <w:rsid w:val="00FF0999"/>
    <w:rsid w:val="00FF0A53"/>
    <w:rsid w:val="00FF1042"/>
    <w:rsid w:val="00FF11A8"/>
    <w:rsid w:val="00FF15BF"/>
    <w:rsid w:val="00FF1999"/>
    <w:rsid w:val="00FF1BF0"/>
    <w:rsid w:val="00FF2D52"/>
    <w:rsid w:val="00FF3563"/>
    <w:rsid w:val="00FF37EA"/>
    <w:rsid w:val="00FF3881"/>
    <w:rsid w:val="00FF42E2"/>
    <w:rsid w:val="00FF44DE"/>
    <w:rsid w:val="00FF4D37"/>
    <w:rsid w:val="00FF50CB"/>
    <w:rsid w:val="00FF5593"/>
    <w:rsid w:val="00FF5F05"/>
    <w:rsid w:val="00FF68F5"/>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DF6C0"/>
  <w15:docId w15:val="{81AE460D-7EEB-41B0-808E-62F29AEB8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FD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4A40ED"/>
    <w:pPr>
      <w:keepNext/>
      <w:spacing w:before="360" w:after="60" w:line="360" w:lineRule="auto"/>
      <w:ind w:right="567"/>
      <w:contextualSpacing/>
      <w:outlineLvl w:val="0"/>
    </w:pPr>
    <w:rPr>
      <w:rFonts w:cs="Arial"/>
      <w:b/>
      <w:bCs/>
      <w:kern w:val="32"/>
      <w:szCs w:val="32"/>
      <w:lang w:val="en-GB" w:eastAsia="en-GB"/>
    </w:rPr>
  </w:style>
  <w:style w:type="paragraph" w:styleId="Titre2">
    <w:name w:val="heading 2"/>
    <w:basedOn w:val="Normal"/>
    <w:next w:val="Normal"/>
    <w:link w:val="Titre2Car"/>
    <w:qFormat/>
    <w:rsid w:val="007A5A76"/>
    <w:pPr>
      <w:keepNext/>
      <w:spacing w:before="360" w:after="60" w:line="360" w:lineRule="auto"/>
      <w:ind w:right="567"/>
      <w:contextualSpacing/>
      <w:outlineLvl w:val="1"/>
    </w:pPr>
    <w:rPr>
      <w:rFonts w:cs="Arial"/>
      <w:b/>
      <w:bCs/>
      <w:iCs/>
      <w:szCs w:val="28"/>
      <w:lang w:val="en-GB" w:eastAsia="en-GB"/>
    </w:rPr>
  </w:style>
  <w:style w:type="paragraph" w:styleId="Titre3">
    <w:name w:val="heading 3"/>
    <w:basedOn w:val="Normal"/>
    <w:next w:val="Normal"/>
    <w:link w:val="Titre3Car"/>
    <w:qFormat/>
    <w:rsid w:val="004A40ED"/>
    <w:pPr>
      <w:keepNext/>
      <w:spacing w:before="360" w:after="60" w:line="360" w:lineRule="auto"/>
      <w:ind w:right="567"/>
      <w:contextualSpacing/>
      <w:outlineLvl w:val="2"/>
    </w:pPr>
    <w:rPr>
      <w:rFonts w:cs="Arial"/>
      <w:bCs/>
      <w:i/>
      <w:szCs w:val="26"/>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rformatHTML">
    <w:name w:val="HTML Preformatted"/>
    <w:basedOn w:val="Normal"/>
    <w:link w:val="PrformatHTMLCar"/>
    <w:uiPriority w:val="99"/>
    <w:semiHidden/>
    <w:unhideWhenUsed/>
    <w:rsid w:val="00836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836C44"/>
    <w:rPr>
      <w:rFonts w:ascii="Courier New" w:eastAsia="Times New Roman" w:hAnsi="Courier New" w:cs="Courier New"/>
      <w:sz w:val="20"/>
      <w:szCs w:val="20"/>
      <w:lang w:eastAsia="fr-FR"/>
    </w:rPr>
  </w:style>
  <w:style w:type="character" w:customStyle="1" w:styleId="mw-headline">
    <w:name w:val="mw-headline"/>
    <w:basedOn w:val="Policepardfaut"/>
    <w:rsid w:val="00E31AB8"/>
  </w:style>
  <w:style w:type="paragraph" w:styleId="Paragraphedeliste">
    <w:name w:val="List Paragraph"/>
    <w:basedOn w:val="Normal"/>
    <w:uiPriority w:val="34"/>
    <w:qFormat/>
    <w:rsid w:val="00A82A0F"/>
    <w:pPr>
      <w:spacing w:after="200" w:line="276" w:lineRule="auto"/>
      <w:ind w:left="720"/>
      <w:contextualSpacing/>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0E1FEB"/>
    <w:rPr>
      <w:color w:val="0000FF" w:themeColor="hyperlink"/>
      <w:u w:val="single"/>
    </w:rPr>
  </w:style>
  <w:style w:type="paragraph" w:styleId="En-tte">
    <w:name w:val="header"/>
    <w:basedOn w:val="Normal"/>
    <w:link w:val="En-tteCar"/>
    <w:uiPriority w:val="99"/>
    <w:unhideWhenUsed/>
    <w:rsid w:val="003462A4"/>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3462A4"/>
  </w:style>
  <w:style w:type="paragraph" w:styleId="Pieddepage">
    <w:name w:val="footer"/>
    <w:basedOn w:val="Normal"/>
    <w:link w:val="PieddepageCar"/>
    <w:uiPriority w:val="99"/>
    <w:unhideWhenUsed/>
    <w:rsid w:val="003462A4"/>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3462A4"/>
  </w:style>
  <w:style w:type="paragraph" w:styleId="Textedebulles">
    <w:name w:val="Balloon Text"/>
    <w:basedOn w:val="Normal"/>
    <w:link w:val="TextedebullesCar"/>
    <w:uiPriority w:val="99"/>
    <w:semiHidden/>
    <w:unhideWhenUsed/>
    <w:rsid w:val="003462A4"/>
    <w:rPr>
      <w:rFonts w:ascii="Tahoma" w:hAnsi="Tahoma" w:cs="Tahoma"/>
      <w:sz w:val="16"/>
      <w:szCs w:val="16"/>
    </w:rPr>
  </w:style>
  <w:style w:type="character" w:customStyle="1" w:styleId="TextedebullesCar">
    <w:name w:val="Texte de bulles Car"/>
    <w:basedOn w:val="Policepardfaut"/>
    <w:link w:val="Textedebulles"/>
    <w:uiPriority w:val="99"/>
    <w:semiHidden/>
    <w:rsid w:val="003462A4"/>
    <w:rPr>
      <w:rFonts w:ascii="Tahoma" w:hAnsi="Tahoma" w:cs="Tahoma"/>
      <w:sz w:val="16"/>
      <w:szCs w:val="16"/>
    </w:rPr>
  </w:style>
  <w:style w:type="character" w:styleId="Accentuation">
    <w:name w:val="Emphasis"/>
    <w:basedOn w:val="Policepardfaut"/>
    <w:uiPriority w:val="20"/>
    <w:qFormat/>
    <w:rsid w:val="003462A4"/>
    <w:rPr>
      <w:i/>
      <w:iCs/>
    </w:rPr>
  </w:style>
  <w:style w:type="paragraph" w:customStyle="1" w:styleId="NoSpacing1">
    <w:name w:val="No Spacing1"/>
    <w:uiPriority w:val="1"/>
    <w:qFormat/>
    <w:rsid w:val="00D96556"/>
    <w:pPr>
      <w:spacing w:before="240" w:after="240" w:line="240" w:lineRule="auto"/>
    </w:pPr>
    <w:rPr>
      <w:rFonts w:ascii="Georgia" w:eastAsia="SimSun" w:hAnsi="Georgia" w:cs="Times New Roman"/>
      <w:sz w:val="20"/>
      <w:lang w:val="en-NZ" w:eastAsia="zh-CN"/>
    </w:rPr>
  </w:style>
  <w:style w:type="table" w:styleId="Grilledutableau">
    <w:name w:val="Table Grid"/>
    <w:basedOn w:val="TableauNormal"/>
    <w:uiPriority w:val="59"/>
    <w:rsid w:val="00E36C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D28FC"/>
    <w:rPr>
      <w:sz w:val="16"/>
      <w:szCs w:val="16"/>
    </w:rPr>
  </w:style>
  <w:style w:type="paragraph" w:styleId="Commentaire">
    <w:name w:val="annotation text"/>
    <w:basedOn w:val="Normal"/>
    <w:link w:val="CommentaireCar"/>
    <w:uiPriority w:val="99"/>
    <w:unhideWhenUsed/>
    <w:rsid w:val="003D28FC"/>
    <w:rPr>
      <w:sz w:val="20"/>
      <w:szCs w:val="20"/>
    </w:rPr>
  </w:style>
  <w:style w:type="character" w:customStyle="1" w:styleId="CommentaireCar">
    <w:name w:val="Commentaire Car"/>
    <w:basedOn w:val="Policepardfaut"/>
    <w:link w:val="Commentaire"/>
    <w:uiPriority w:val="99"/>
    <w:rsid w:val="003D28FC"/>
    <w:rPr>
      <w:sz w:val="20"/>
      <w:szCs w:val="20"/>
    </w:rPr>
  </w:style>
  <w:style w:type="paragraph" w:styleId="Objetducommentaire">
    <w:name w:val="annotation subject"/>
    <w:basedOn w:val="Commentaire"/>
    <w:next w:val="Commentaire"/>
    <w:link w:val="ObjetducommentaireCar"/>
    <w:uiPriority w:val="99"/>
    <w:semiHidden/>
    <w:unhideWhenUsed/>
    <w:rsid w:val="003D28FC"/>
    <w:rPr>
      <w:b/>
      <w:bCs/>
    </w:rPr>
  </w:style>
  <w:style w:type="character" w:customStyle="1" w:styleId="ObjetducommentaireCar">
    <w:name w:val="Objet du commentaire Car"/>
    <w:basedOn w:val="CommentaireCar"/>
    <w:link w:val="Objetducommentaire"/>
    <w:uiPriority w:val="99"/>
    <w:semiHidden/>
    <w:rsid w:val="003D28FC"/>
    <w:rPr>
      <w:b/>
      <w:bCs/>
      <w:sz w:val="20"/>
      <w:szCs w:val="20"/>
    </w:rPr>
  </w:style>
  <w:style w:type="character" w:styleId="lev">
    <w:name w:val="Strong"/>
    <w:basedOn w:val="Policepardfaut"/>
    <w:uiPriority w:val="22"/>
    <w:qFormat/>
    <w:rsid w:val="00B64A4F"/>
    <w:rPr>
      <w:b/>
      <w:bCs/>
    </w:rPr>
  </w:style>
  <w:style w:type="paragraph" w:styleId="Notedebasdepage">
    <w:name w:val="footnote text"/>
    <w:basedOn w:val="Normal"/>
    <w:link w:val="NotedebasdepageCar"/>
    <w:uiPriority w:val="99"/>
    <w:semiHidden/>
    <w:unhideWhenUsed/>
    <w:rsid w:val="003E4FBB"/>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semiHidden/>
    <w:rsid w:val="003E4FBB"/>
    <w:rPr>
      <w:sz w:val="20"/>
      <w:szCs w:val="20"/>
    </w:rPr>
  </w:style>
  <w:style w:type="character" w:styleId="Appelnotedebasdep">
    <w:name w:val="footnote reference"/>
    <w:basedOn w:val="Policepardfaut"/>
    <w:uiPriority w:val="99"/>
    <w:semiHidden/>
    <w:unhideWhenUsed/>
    <w:rsid w:val="003E4FBB"/>
    <w:rPr>
      <w:vertAlign w:val="superscript"/>
    </w:rPr>
  </w:style>
  <w:style w:type="paragraph" w:styleId="Sansinterligne">
    <w:name w:val="No Spacing"/>
    <w:uiPriority w:val="1"/>
    <w:qFormat/>
    <w:rsid w:val="009A09E6"/>
    <w:pPr>
      <w:spacing w:after="0" w:line="240" w:lineRule="auto"/>
    </w:pPr>
  </w:style>
  <w:style w:type="paragraph" w:styleId="NormalWeb">
    <w:name w:val="Normal (Web)"/>
    <w:basedOn w:val="Normal"/>
    <w:uiPriority w:val="99"/>
    <w:unhideWhenUsed/>
    <w:rsid w:val="0055025D"/>
    <w:pPr>
      <w:spacing w:before="100" w:beforeAutospacing="1" w:after="100" w:afterAutospacing="1"/>
    </w:pPr>
  </w:style>
  <w:style w:type="paragraph" w:customStyle="1" w:styleId="Articletitle">
    <w:name w:val="Article title"/>
    <w:basedOn w:val="Normal"/>
    <w:next w:val="Normal"/>
    <w:qFormat/>
    <w:rsid w:val="000C1DEE"/>
    <w:pPr>
      <w:spacing w:after="120" w:line="360" w:lineRule="auto"/>
    </w:pPr>
    <w:rPr>
      <w:b/>
      <w:sz w:val="28"/>
      <w:lang w:val="en-GB" w:eastAsia="en-GB"/>
    </w:rPr>
  </w:style>
  <w:style w:type="paragraph" w:customStyle="1" w:styleId="Authornames">
    <w:name w:val="Author names"/>
    <w:basedOn w:val="Normal"/>
    <w:next w:val="Normal"/>
    <w:qFormat/>
    <w:rsid w:val="000C1DEE"/>
    <w:pPr>
      <w:spacing w:before="240" w:line="360" w:lineRule="auto"/>
    </w:pPr>
    <w:rPr>
      <w:sz w:val="28"/>
      <w:lang w:val="en-GB" w:eastAsia="en-GB"/>
    </w:rPr>
  </w:style>
  <w:style w:type="paragraph" w:customStyle="1" w:styleId="Affiliation">
    <w:name w:val="Affiliation"/>
    <w:basedOn w:val="Normal"/>
    <w:qFormat/>
    <w:rsid w:val="000C1DEE"/>
    <w:pPr>
      <w:spacing w:before="240" w:line="360" w:lineRule="auto"/>
    </w:pPr>
    <w:rPr>
      <w:i/>
      <w:lang w:val="en-GB" w:eastAsia="en-GB"/>
    </w:rPr>
  </w:style>
  <w:style w:type="paragraph" w:customStyle="1" w:styleId="Correspondencedetails">
    <w:name w:val="Correspondence details"/>
    <w:basedOn w:val="Normal"/>
    <w:qFormat/>
    <w:rsid w:val="000C1DEE"/>
    <w:pPr>
      <w:spacing w:before="240" w:line="360" w:lineRule="auto"/>
    </w:pPr>
    <w:rPr>
      <w:lang w:val="en-GB" w:eastAsia="en-GB"/>
    </w:rPr>
  </w:style>
  <w:style w:type="paragraph" w:customStyle="1" w:styleId="Notesoncontributors">
    <w:name w:val="Notes on contributors"/>
    <w:basedOn w:val="Normal"/>
    <w:qFormat/>
    <w:rsid w:val="000C1DEE"/>
    <w:pPr>
      <w:spacing w:before="240" w:line="360" w:lineRule="auto"/>
    </w:pPr>
    <w:rPr>
      <w:sz w:val="22"/>
      <w:lang w:val="en-GB" w:eastAsia="en-GB"/>
    </w:rPr>
  </w:style>
  <w:style w:type="paragraph" w:customStyle="1" w:styleId="Abstract">
    <w:name w:val="Abstract"/>
    <w:basedOn w:val="Normal"/>
    <w:next w:val="Keywords"/>
    <w:qFormat/>
    <w:rsid w:val="00927A89"/>
    <w:pPr>
      <w:spacing w:before="360" w:after="300" w:line="360" w:lineRule="auto"/>
      <w:ind w:left="720" w:right="567"/>
      <w:contextualSpacing/>
    </w:pPr>
    <w:rPr>
      <w:sz w:val="22"/>
      <w:lang w:val="en-GB" w:eastAsia="en-GB"/>
    </w:rPr>
  </w:style>
  <w:style w:type="paragraph" w:customStyle="1" w:styleId="Keywords">
    <w:name w:val="Keywords"/>
    <w:basedOn w:val="Normal"/>
    <w:next w:val="Normal"/>
    <w:qFormat/>
    <w:rsid w:val="00927A89"/>
    <w:pPr>
      <w:spacing w:before="240" w:after="240" w:line="360" w:lineRule="auto"/>
      <w:ind w:left="720" w:right="567"/>
    </w:pPr>
    <w:rPr>
      <w:sz w:val="22"/>
      <w:lang w:val="en-GB" w:eastAsia="en-GB"/>
    </w:rPr>
  </w:style>
  <w:style w:type="paragraph" w:customStyle="1" w:styleId="Subjectcodes">
    <w:name w:val="Subject codes"/>
    <w:basedOn w:val="Keywords"/>
    <w:next w:val="Normal"/>
    <w:qFormat/>
    <w:rsid w:val="00927A89"/>
  </w:style>
  <w:style w:type="character" w:customStyle="1" w:styleId="Titre1Car">
    <w:name w:val="Titre 1 Car"/>
    <w:basedOn w:val="Policepardfaut"/>
    <w:link w:val="Titre1"/>
    <w:rsid w:val="004A40ED"/>
    <w:rPr>
      <w:rFonts w:ascii="Times New Roman" w:eastAsia="Times New Roman" w:hAnsi="Times New Roman" w:cs="Arial"/>
      <w:b/>
      <w:bCs/>
      <w:kern w:val="32"/>
      <w:sz w:val="24"/>
      <w:szCs w:val="32"/>
      <w:lang w:val="en-GB" w:eastAsia="en-GB"/>
    </w:rPr>
  </w:style>
  <w:style w:type="character" w:customStyle="1" w:styleId="Titre2Car">
    <w:name w:val="Titre 2 Car"/>
    <w:basedOn w:val="Policepardfaut"/>
    <w:link w:val="Titre2"/>
    <w:rsid w:val="007A5A76"/>
    <w:rPr>
      <w:rFonts w:ascii="Times New Roman" w:eastAsia="Times New Roman" w:hAnsi="Times New Roman" w:cs="Arial"/>
      <w:b/>
      <w:bCs/>
      <w:iCs/>
      <w:sz w:val="24"/>
      <w:szCs w:val="28"/>
      <w:lang w:val="en-GB" w:eastAsia="en-GB"/>
    </w:rPr>
  </w:style>
  <w:style w:type="character" w:customStyle="1" w:styleId="Titre3Car">
    <w:name w:val="Titre 3 Car"/>
    <w:basedOn w:val="Policepardfaut"/>
    <w:link w:val="Titre3"/>
    <w:rsid w:val="004A40ED"/>
    <w:rPr>
      <w:rFonts w:ascii="Times New Roman" w:eastAsia="Times New Roman" w:hAnsi="Times New Roman" w:cs="Arial"/>
      <w:bCs/>
      <w:i/>
      <w:sz w:val="24"/>
      <w:szCs w:val="26"/>
      <w:lang w:val="en-GB" w:eastAsia="en-GB"/>
    </w:rPr>
  </w:style>
  <w:style w:type="paragraph" w:customStyle="1" w:styleId="Paragraph">
    <w:name w:val="Paragraph"/>
    <w:basedOn w:val="Normal"/>
    <w:next w:val="Normal"/>
    <w:qFormat/>
    <w:rsid w:val="00D16046"/>
    <w:pPr>
      <w:widowControl w:val="0"/>
      <w:spacing w:before="240" w:line="480" w:lineRule="auto"/>
    </w:pPr>
    <w:rPr>
      <w:lang w:val="en-GB" w:eastAsia="en-GB"/>
    </w:rPr>
  </w:style>
  <w:style w:type="paragraph" w:customStyle="1" w:styleId="Tabletitle">
    <w:name w:val="Table title"/>
    <w:basedOn w:val="Normal"/>
    <w:next w:val="Normal"/>
    <w:qFormat/>
    <w:rsid w:val="00D16046"/>
    <w:pPr>
      <w:spacing w:before="240" w:line="360" w:lineRule="auto"/>
    </w:pPr>
    <w:rPr>
      <w:lang w:val="en-GB" w:eastAsia="en-GB"/>
    </w:rPr>
  </w:style>
  <w:style w:type="paragraph" w:customStyle="1" w:styleId="Numberedlist">
    <w:name w:val="Numbered list"/>
    <w:basedOn w:val="Paragraph"/>
    <w:next w:val="Paragraph"/>
    <w:qFormat/>
    <w:rsid w:val="00D16046"/>
    <w:pPr>
      <w:widowControl/>
      <w:spacing w:after="240"/>
      <w:contextualSpacing/>
    </w:pPr>
  </w:style>
  <w:style w:type="character" w:customStyle="1" w:styleId="Mentionnonrsolue1">
    <w:name w:val="Mention non résolue1"/>
    <w:basedOn w:val="Policepardfaut"/>
    <w:uiPriority w:val="99"/>
    <w:semiHidden/>
    <w:unhideWhenUsed/>
    <w:rsid w:val="00F52521"/>
    <w:rPr>
      <w:color w:val="808080"/>
      <w:shd w:val="clear" w:color="auto" w:fill="E6E6E6"/>
    </w:rPr>
  </w:style>
  <w:style w:type="paragraph" w:styleId="Rvision">
    <w:name w:val="Revision"/>
    <w:hidden/>
    <w:uiPriority w:val="99"/>
    <w:semiHidden/>
    <w:rsid w:val="00ED0C36"/>
    <w:pPr>
      <w:spacing w:after="0" w:line="240" w:lineRule="auto"/>
    </w:pPr>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917811"/>
    <w:pPr>
      <w:keepLines/>
      <w:spacing w:before="240" w:after="0" w:line="259" w:lineRule="auto"/>
      <w:ind w:right="0"/>
      <w:contextualSpacing w:val="0"/>
      <w:outlineLvl w:val="9"/>
    </w:pPr>
    <w:rPr>
      <w:rFonts w:asciiTheme="majorHAnsi" w:eastAsiaTheme="majorEastAsia" w:hAnsiTheme="majorHAnsi" w:cstheme="majorBidi"/>
      <w:b w:val="0"/>
      <w:bCs w:val="0"/>
      <w:color w:val="365F91" w:themeColor="accent1" w:themeShade="BF"/>
      <w:kern w:val="0"/>
      <w:sz w:val="32"/>
      <w:lang w:val="fr-FR" w:eastAsia="fr-FR"/>
    </w:rPr>
  </w:style>
  <w:style w:type="paragraph" w:styleId="TM1">
    <w:name w:val="toc 1"/>
    <w:basedOn w:val="Normal"/>
    <w:next w:val="Normal"/>
    <w:autoRedefine/>
    <w:uiPriority w:val="39"/>
    <w:unhideWhenUsed/>
    <w:rsid w:val="00917811"/>
    <w:pPr>
      <w:spacing w:after="100"/>
    </w:pPr>
  </w:style>
  <w:style w:type="paragraph" w:styleId="TM2">
    <w:name w:val="toc 2"/>
    <w:basedOn w:val="Normal"/>
    <w:next w:val="Normal"/>
    <w:autoRedefine/>
    <w:uiPriority w:val="39"/>
    <w:unhideWhenUsed/>
    <w:rsid w:val="00917811"/>
    <w:pPr>
      <w:spacing w:after="100"/>
      <w:ind w:left="240"/>
    </w:pPr>
  </w:style>
  <w:style w:type="paragraph" w:styleId="TM3">
    <w:name w:val="toc 3"/>
    <w:basedOn w:val="Normal"/>
    <w:next w:val="Normal"/>
    <w:autoRedefine/>
    <w:uiPriority w:val="39"/>
    <w:unhideWhenUsed/>
    <w:rsid w:val="00917811"/>
    <w:pPr>
      <w:spacing w:after="100"/>
      <w:ind w:left="480"/>
    </w:pPr>
  </w:style>
  <w:style w:type="character" w:styleId="Mentionnonrsolue">
    <w:name w:val="Unresolved Mention"/>
    <w:basedOn w:val="Policepardfaut"/>
    <w:uiPriority w:val="99"/>
    <w:semiHidden/>
    <w:unhideWhenUsed/>
    <w:rsid w:val="00B51A55"/>
    <w:rPr>
      <w:color w:val="605E5C"/>
      <w:shd w:val="clear" w:color="auto" w:fill="E1DFDD"/>
    </w:rPr>
  </w:style>
  <w:style w:type="table" w:styleId="Grilledetableauclaire">
    <w:name w:val="Grid Table Light"/>
    <w:basedOn w:val="TableauNormal"/>
    <w:uiPriority w:val="40"/>
    <w:rsid w:val="00751A6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01">
    <w:name w:val="fontstyle01"/>
    <w:basedOn w:val="Policepardfaut"/>
    <w:rsid w:val="0006370D"/>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09376">
      <w:bodyDiv w:val="1"/>
      <w:marLeft w:val="0"/>
      <w:marRight w:val="0"/>
      <w:marTop w:val="0"/>
      <w:marBottom w:val="0"/>
      <w:divBdr>
        <w:top w:val="none" w:sz="0" w:space="0" w:color="auto"/>
        <w:left w:val="none" w:sz="0" w:space="0" w:color="auto"/>
        <w:bottom w:val="none" w:sz="0" w:space="0" w:color="auto"/>
        <w:right w:val="none" w:sz="0" w:space="0" w:color="auto"/>
      </w:divBdr>
    </w:div>
    <w:div w:id="90123326">
      <w:bodyDiv w:val="1"/>
      <w:marLeft w:val="0"/>
      <w:marRight w:val="0"/>
      <w:marTop w:val="0"/>
      <w:marBottom w:val="0"/>
      <w:divBdr>
        <w:top w:val="none" w:sz="0" w:space="0" w:color="auto"/>
        <w:left w:val="none" w:sz="0" w:space="0" w:color="auto"/>
        <w:bottom w:val="none" w:sz="0" w:space="0" w:color="auto"/>
        <w:right w:val="none" w:sz="0" w:space="0" w:color="auto"/>
      </w:divBdr>
    </w:div>
    <w:div w:id="128206527">
      <w:bodyDiv w:val="1"/>
      <w:marLeft w:val="0"/>
      <w:marRight w:val="0"/>
      <w:marTop w:val="0"/>
      <w:marBottom w:val="0"/>
      <w:divBdr>
        <w:top w:val="none" w:sz="0" w:space="0" w:color="auto"/>
        <w:left w:val="none" w:sz="0" w:space="0" w:color="auto"/>
        <w:bottom w:val="none" w:sz="0" w:space="0" w:color="auto"/>
        <w:right w:val="none" w:sz="0" w:space="0" w:color="auto"/>
      </w:divBdr>
    </w:div>
    <w:div w:id="222645889">
      <w:bodyDiv w:val="1"/>
      <w:marLeft w:val="0"/>
      <w:marRight w:val="0"/>
      <w:marTop w:val="0"/>
      <w:marBottom w:val="0"/>
      <w:divBdr>
        <w:top w:val="none" w:sz="0" w:space="0" w:color="auto"/>
        <w:left w:val="none" w:sz="0" w:space="0" w:color="auto"/>
        <w:bottom w:val="none" w:sz="0" w:space="0" w:color="auto"/>
        <w:right w:val="none" w:sz="0" w:space="0" w:color="auto"/>
      </w:divBdr>
    </w:div>
    <w:div w:id="280650853">
      <w:bodyDiv w:val="1"/>
      <w:marLeft w:val="0"/>
      <w:marRight w:val="0"/>
      <w:marTop w:val="0"/>
      <w:marBottom w:val="0"/>
      <w:divBdr>
        <w:top w:val="none" w:sz="0" w:space="0" w:color="auto"/>
        <w:left w:val="none" w:sz="0" w:space="0" w:color="auto"/>
        <w:bottom w:val="none" w:sz="0" w:space="0" w:color="auto"/>
        <w:right w:val="none" w:sz="0" w:space="0" w:color="auto"/>
      </w:divBdr>
    </w:div>
    <w:div w:id="314572858">
      <w:bodyDiv w:val="1"/>
      <w:marLeft w:val="0"/>
      <w:marRight w:val="0"/>
      <w:marTop w:val="0"/>
      <w:marBottom w:val="0"/>
      <w:divBdr>
        <w:top w:val="none" w:sz="0" w:space="0" w:color="auto"/>
        <w:left w:val="none" w:sz="0" w:space="0" w:color="auto"/>
        <w:bottom w:val="none" w:sz="0" w:space="0" w:color="auto"/>
        <w:right w:val="none" w:sz="0" w:space="0" w:color="auto"/>
      </w:divBdr>
    </w:div>
    <w:div w:id="328555682">
      <w:bodyDiv w:val="1"/>
      <w:marLeft w:val="0"/>
      <w:marRight w:val="0"/>
      <w:marTop w:val="0"/>
      <w:marBottom w:val="0"/>
      <w:divBdr>
        <w:top w:val="none" w:sz="0" w:space="0" w:color="auto"/>
        <w:left w:val="none" w:sz="0" w:space="0" w:color="auto"/>
        <w:bottom w:val="none" w:sz="0" w:space="0" w:color="auto"/>
        <w:right w:val="none" w:sz="0" w:space="0" w:color="auto"/>
      </w:divBdr>
    </w:div>
    <w:div w:id="331759734">
      <w:bodyDiv w:val="1"/>
      <w:marLeft w:val="0"/>
      <w:marRight w:val="0"/>
      <w:marTop w:val="0"/>
      <w:marBottom w:val="0"/>
      <w:divBdr>
        <w:top w:val="none" w:sz="0" w:space="0" w:color="auto"/>
        <w:left w:val="none" w:sz="0" w:space="0" w:color="auto"/>
        <w:bottom w:val="none" w:sz="0" w:space="0" w:color="auto"/>
        <w:right w:val="none" w:sz="0" w:space="0" w:color="auto"/>
      </w:divBdr>
    </w:div>
    <w:div w:id="331834614">
      <w:bodyDiv w:val="1"/>
      <w:marLeft w:val="0"/>
      <w:marRight w:val="0"/>
      <w:marTop w:val="0"/>
      <w:marBottom w:val="0"/>
      <w:divBdr>
        <w:top w:val="none" w:sz="0" w:space="0" w:color="auto"/>
        <w:left w:val="none" w:sz="0" w:space="0" w:color="auto"/>
        <w:bottom w:val="none" w:sz="0" w:space="0" w:color="auto"/>
        <w:right w:val="none" w:sz="0" w:space="0" w:color="auto"/>
      </w:divBdr>
      <w:divsChild>
        <w:div w:id="411706835">
          <w:marLeft w:val="0"/>
          <w:marRight w:val="0"/>
          <w:marTop w:val="0"/>
          <w:marBottom w:val="0"/>
          <w:divBdr>
            <w:top w:val="none" w:sz="0" w:space="0" w:color="auto"/>
            <w:left w:val="none" w:sz="0" w:space="0" w:color="auto"/>
            <w:bottom w:val="none" w:sz="0" w:space="0" w:color="auto"/>
            <w:right w:val="none" w:sz="0" w:space="0" w:color="auto"/>
          </w:divBdr>
          <w:divsChild>
            <w:div w:id="1949964941">
              <w:marLeft w:val="0"/>
              <w:marRight w:val="0"/>
              <w:marTop w:val="0"/>
              <w:marBottom w:val="0"/>
              <w:divBdr>
                <w:top w:val="none" w:sz="0" w:space="0" w:color="auto"/>
                <w:left w:val="none" w:sz="0" w:space="0" w:color="auto"/>
                <w:bottom w:val="none" w:sz="0" w:space="0" w:color="auto"/>
                <w:right w:val="none" w:sz="0" w:space="0" w:color="auto"/>
              </w:divBdr>
              <w:divsChild>
                <w:div w:id="1811826095">
                  <w:marLeft w:val="0"/>
                  <w:marRight w:val="0"/>
                  <w:marTop w:val="0"/>
                  <w:marBottom w:val="0"/>
                  <w:divBdr>
                    <w:top w:val="none" w:sz="0" w:space="0" w:color="auto"/>
                    <w:left w:val="none" w:sz="0" w:space="0" w:color="auto"/>
                    <w:bottom w:val="none" w:sz="0" w:space="0" w:color="auto"/>
                    <w:right w:val="none" w:sz="0" w:space="0" w:color="auto"/>
                  </w:divBdr>
                  <w:divsChild>
                    <w:div w:id="1616522046">
                      <w:marLeft w:val="0"/>
                      <w:marRight w:val="0"/>
                      <w:marTop w:val="0"/>
                      <w:marBottom w:val="0"/>
                      <w:divBdr>
                        <w:top w:val="none" w:sz="0" w:space="0" w:color="auto"/>
                        <w:left w:val="none" w:sz="0" w:space="0" w:color="auto"/>
                        <w:bottom w:val="none" w:sz="0" w:space="0" w:color="auto"/>
                        <w:right w:val="none" w:sz="0" w:space="0" w:color="auto"/>
                      </w:divBdr>
                      <w:divsChild>
                        <w:div w:id="2007828423">
                          <w:marLeft w:val="0"/>
                          <w:marRight w:val="0"/>
                          <w:marTop w:val="0"/>
                          <w:marBottom w:val="0"/>
                          <w:divBdr>
                            <w:top w:val="none" w:sz="0" w:space="0" w:color="auto"/>
                            <w:left w:val="none" w:sz="0" w:space="0" w:color="auto"/>
                            <w:bottom w:val="none" w:sz="0" w:space="0" w:color="auto"/>
                            <w:right w:val="none" w:sz="0" w:space="0" w:color="auto"/>
                          </w:divBdr>
                          <w:divsChild>
                            <w:div w:id="1855917994">
                              <w:marLeft w:val="0"/>
                              <w:marRight w:val="0"/>
                              <w:marTop w:val="0"/>
                              <w:marBottom w:val="0"/>
                              <w:divBdr>
                                <w:top w:val="none" w:sz="0" w:space="0" w:color="auto"/>
                                <w:left w:val="none" w:sz="0" w:space="0" w:color="auto"/>
                                <w:bottom w:val="none" w:sz="0" w:space="0" w:color="auto"/>
                                <w:right w:val="none" w:sz="0" w:space="0" w:color="auto"/>
                              </w:divBdr>
                              <w:divsChild>
                                <w:div w:id="147328047">
                                  <w:marLeft w:val="0"/>
                                  <w:marRight w:val="0"/>
                                  <w:marTop w:val="30"/>
                                  <w:marBottom w:val="2250"/>
                                  <w:divBdr>
                                    <w:top w:val="none" w:sz="0" w:space="0" w:color="auto"/>
                                    <w:left w:val="none" w:sz="0" w:space="0" w:color="auto"/>
                                    <w:bottom w:val="none" w:sz="0" w:space="0" w:color="auto"/>
                                    <w:right w:val="none" w:sz="0" w:space="0" w:color="auto"/>
                                  </w:divBdr>
                                  <w:divsChild>
                                    <w:div w:id="934483870">
                                      <w:marLeft w:val="0"/>
                                      <w:marRight w:val="0"/>
                                      <w:marTop w:val="0"/>
                                      <w:marBottom w:val="0"/>
                                      <w:divBdr>
                                        <w:top w:val="none" w:sz="0" w:space="0" w:color="auto"/>
                                        <w:left w:val="none" w:sz="0" w:space="0" w:color="auto"/>
                                        <w:bottom w:val="none" w:sz="0" w:space="0" w:color="auto"/>
                                        <w:right w:val="none" w:sz="0" w:space="0" w:color="auto"/>
                                      </w:divBdr>
                                      <w:divsChild>
                                        <w:div w:id="1837915911">
                                          <w:marLeft w:val="0"/>
                                          <w:marRight w:val="0"/>
                                          <w:marTop w:val="0"/>
                                          <w:marBottom w:val="0"/>
                                          <w:divBdr>
                                            <w:top w:val="none" w:sz="0" w:space="0" w:color="auto"/>
                                            <w:left w:val="none" w:sz="0" w:space="0" w:color="auto"/>
                                            <w:bottom w:val="none" w:sz="0" w:space="0" w:color="auto"/>
                                            <w:right w:val="none" w:sz="0" w:space="0" w:color="auto"/>
                                          </w:divBdr>
                                          <w:divsChild>
                                            <w:div w:id="196704074">
                                              <w:marLeft w:val="0"/>
                                              <w:marRight w:val="0"/>
                                              <w:marTop w:val="0"/>
                                              <w:marBottom w:val="0"/>
                                              <w:divBdr>
                                                <w:top w:val="none" w:sz="0" w:space="0" w:color="auto"/>
                                                <w:left w:val="none" w:sz="0" w:space="0" w:color="auto"/>
                                                <w:bottom w:val="none" w:sz="0" w:space="0" w:color="auto"/>
                                                <w:right w:val="none" w:sz="0" w:space="0" w:color="auto"/>
                                              </w:divBdr>
                                              <w:divsChild>
                                                <w:div w:id="253711243">
                                                  <w:marLeft w:val="0"/>
                                                  <w:marRight w:val="0"/>
                                                  <w:marTop w:val="0"/>
                                                  <w:marBottom w:val="0"/>
                                                  <w:divBdr>
                                                    <w:top w:val="none" w:sz="0" w:space="0" w:color="auto"/>
                                                    <w:left w:val="none" w:sz="0" w:space="0" w:color="auto"/>
                                                    <w:bottom w:val="none" w:sz="0" w:space="0" w:color="auto"/>
                                                    <w:right w:val="none" w:sz="0" w:space="0" w:color="auto"/>
                                                  </w:divBdr>
                                                  <w:divsChild>
                                                    <w:div w:id="190109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5983915">
      <w:bodyDiv w:val="1"/>
      <w:marLeft w:val="0"/>
      <w:marRight w:val="0"/>
      <w:marTop w:val="0"/>
      <w:marBottom w:val="0"/>
      <w:divBdr>
        <w:top w:val="none" w:sz="0" w:space="0" w:color="auto"/>
        <w:left w:val="none" w:sz="0" w:space="0" w:color="auto"/>
        <w:bottom w:val="none" w:sz="0" w:space="0" w:color="auto"/>
        <w:right w:val="none" w:sz="0" w:space="0" w:color="auto"/>
      </w:divBdr>
    </w:div>
    <w:div w:id="346298058">
      <w:bodyDiv w:val="1"/>
      <w:marLeft w:val="0"/>
      <w:marRight w:val="0"/>
      <w:marTop w:val="0"/>
      <w:marBottom w:val="0"/>
      <w:divBdr>
        <w:top w:val="none" w:sz="0" w:space="0" w:color="auto"/>
        <w:left w:val="none" w:sz="0" w:space="0" w:color="auto"/>
        <w:bottom w:val="none" w:sz="0" w:space="0" w:color="auto"/>
        <w:right w:val="none" w:sz="0" w:space="0" w:color="auto"/>
      </w:divBdr>
    </w:div>
    <w:div w:id="359665556">
      <w:bodyDiv w:val="1"/>
      <w:marLeft w:val="0"/>
      <w:marRight w:val="0"/>
      <w:marTop w:val="0"/>
      <w:marBottom w:val="0"/>
      <w:divBdr>
        <w:top w:val="none" w:sz="0" w:space="0" w:color="auto"/>
        <w:left w:val="none" w:sz="0" w:space="0" w:color="auto"/>
        <w:bottom w:val="none" w:sz="0" w:space="0" w:color="auto"/>
        <w:right w:val="none" w:sz="0" w:space="0" w:color="auto"/>
      </w:divBdr>
    </w:div>
    <w:div w:id="369306266">
      <w:bodyDiv w:val="1"/>
      <w:marLeft w:val="0"/>
      <w:marRight w:val="0"/>
      <w:marTop w:val="0"/>
      <w:marBottom w:val="0"/>
      <w:divBdr>
        <w:top w:val="none" w:sz="0" w:space="0" w:color="auto"/>
        <w:left w:val="none" w:sz="0" w:space="0" w:color="auto"/>
        <w:bottom w:val="none" w:sz="0" w:space="0" w:color="auto"/>
        <w:right w:val="none" w:sz="0" w:space="0" w:color="auto"/>
      </w:divBdr>
      <w:divsChild>
        <w:div w:id="1760828502">
          <w:marLeft w:val="0"/>
          <w:marRight w:val="0"/>
          <w:marTop w:val="0"/>
          <w:marBottom w:val="0"/>
          <w:divBdr>
            <w:top w:val="none" w:sz="0" w:space="0" w:color="auto"/>
            <w:left w:val="none" w:sz="0" w:space="0" w:color="auto"/>
            <w:bottom w:val="none" w:sz="0" w:space="0" w:color="auto"/>
            <w:right w:val="none" w:sz="0" w:space="0" w:color="auto"/>
          </w:divBdr>
          <w:divsChild>
            <w:div w:id="377899493">
              <w:marLeft w:val="0"/>
              <w:marRight w:val="0"/>
              <w:marTop w:val="0"/>
              <w:marBottom w:val="0"/>
              <w:divBdr>
                <w:top w:val="none" w:sz="0" w:space="0" w:color="auto"/>
                <w:left w:val="none" w:sz="0" w:space="0" w:color="auto"/>
                <w:bottom w:val="none" w:sz="0" w:space="0" w:color="auto"/>
                <w:right w:val="none" w:sz="0" w:space="0" w:color="auto"/>
              </w:divBdr>
              <w:divsChild>
                <w:div w:id="1620844203">
                  <w:marLeft w:val="0"/>
                  <w:marRight w:val="0"/>
                  <w:marTop w:val="0"/>
                  <w:marBottom w:val="0"/>
                  <w:divBdr>
                    <w:top w:val="none" w:sz="0" w:space="0" w:color="auto"/>
                    <w:left w:val="none" w:sz="0" w:space="0" w:color="auto"/>
                    <w:bottom w:val="none" w:sz="0" w:space="0" w:color="auto"/>
                    <w:right w:val="none" w:sz="0" w:space="0" w:color="auto"/>
                  </w:divBdr>
                  <w:divsChild>
                    <w:div w:id="738596491">
                      <w:marLeft w:val="0"/>
                      <w:marRight w:val="0"/>
                      <w:marTop w:val="0"/>
                      <w:marBottom w:val="0"/>
                      <w:divBdr>
                        <w:top w:val="none" w:sz="0" w:space="0" w:color="auto"/>
                        <w:left w:val="none" w:sz="0" w:space="0" w:color="auto"/>
                        <w:bottom w:val="none" w:sz="0" w:space="0" w:color="auto"/>
                        <w:right w:val="none" w:sz="0" w:space="0" w:color="auto"/>
                      </w:divBdr>
                      <w:divsChild>
                        <w:div w:id="1464301694">
                          <w:marLeft w:val="0"/>
                          <w:marRight w:val="0"/>
                          <w:marTop w:val="0"/>
                          <w:marBottom w:val="0"/>
                          <w:divBdr>
                            <w:top w:val="none" w:sz="0" w:space="0" w:color="auto"/>
                            <w:left w:val="none" w:sz="0" w:space="0" w:color="auto"/>
                            <w:bottom w:val="none" w:sz="0" w:space="0" w:color="auto"/>
                            <w:right w:val="none" w:sz="0" w:space="0" w:color="auto"/>
                          </w:divBdr>
                          <w:divsChild>
                            <w:div w:id="106765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8502008">
      <w:bodyDiv w:val="1"/>
      <w:marLeft w:val="0"/>
      <w:marRight w:val="0"/>
      <w:marTop w:val="0"/>
      <w:marBottom w:val="0"/>
      <w:divBdr>
        <w:top w:val="none" w:sz="0" w:space="0" w:color="auto"/>
        <w:left w:val="none" w:sz="0" w:space="0" w:color="auto"/>
        <w:bottom w:val="none" w:sz="0" w:space="0" w:color="auto"/>
        <w:right w:val="none" w:sz="0" w:space="0" w:color="auto"/>
      </w:divBdr>
    </w:div>
    <w:div w:id="444924930">
      <w:bodyDiv w:val="1"/>
      <w:marLeft w:val="0"/>
      <w:marRight w:val="0"/>
      <w:marTop w:val="0"/>
      <w:marBottom w:val="0"/>
      <w:divBdr>
        <w:top w:val="none" w:sz="0" w:space="0" w:color="auto"/>
        <w:left w:val="none" w:sz="0" w:space="0" w:color="auto"/>
        <w:bottom w:val="none" w:sz="0" w:space="0" w:color="auto"/>
        <w:right w:val="none" w:sz="0" w:space="0" w:color="auto"/>
      </w:divBdr>
    </w:div>
    <w:div w:id="517475675">
      <w:bodyDiv w:val="1"/>
      <w:marLeft w:val="0"/>
      <w:marRight w:val="0"/>
      <w:marTop w:val="0"/>
      <w:marBottom w:val="0"/>
      <w:divBdr>
        <w:top w:val="none" w:sz="0" w:space="0" w:color="auto"/>
        <w:left w:val="none" w:sz="0" w:space="0" w:color="auto"/>
        <w:bottom w:val="none" w:sz="0" w:space="0" w:color="auto"/>
        <w:right w:val="none" w:sz="0" w:space="0" w:color="auto"/>
      </w:divBdr>
    </w:div>
    <w:div w:id="536503679">
      <w:bodyDiv w:val="1"/>
      <w:marLeft w:val="0"/>
      <w:marRight w:val="0"/>
      <w:marTop w:val="0"/>
      <w:marBottom w:val="0"/>
      <w:divBdr>
        <w:top w:val="none" w:sz="0" w:space="0" w:color="auto"/>
        <w:left w:val="none" w:sz="0" w:space="0" w:color="auto"/>
        <w:bottom w:val="none" w:sz="0" w:space="0" w:color="auto"/>
        <w:right w:val="none" w:sz="0" w:space="0" w:color="auto"/>
      </w:divBdr>
    </w:div>
    <w:div w:id="576674946">
      <w:bodyDiv w:val="1"/>
      <w:marLeft w:val="0"/>
      <w:marRight w:val="0"/>
      <w:marTop w:val="0"/>
      <w:marBottom w:val="0"/>
      <w:divBdr>
        <w:top w:val="none" w:sz="0" w:space="0" w:color="auto"/>
        <w:left w:val="none" w:sz="0" w:space="0" w:color="auto"/>
        <w:bottom w:val="none" w:sz="0" w:space="0" w:color="auto"/>
        <w:right w:val="none" w:sz="0" w:space="0" w:color="auto"/>
      </w:divBdr>
      <w:divsChild>
        <w:div w:id="1907639426">
          <w:marLeft w:val="0"/>
          <w:marRight w:val="0"/>
          <w:marTop w:val="0"/>
          <w:marBottom w:val="0"/>
          <w:divBdr>
            <w:top w:val="none" w:sz="0" w:space="0" w:color="auto"/>
            <w:left w:val="none" w:sz="0" w:space="0" w:color="auto"/>
            <w:bottom w:val="none" w:sz="0" w:space="0" w:color="auto"/>
            <w:right w:val="none" w:sz="0" w:space="0" w:color="auto"/>
          </w:divBdr>
        </w:div>
      </w:divsChild>
    </w:div>
    <w:div w:id="582377036">
      <w:bodyDiv w:val="1"/>
      <w:marLeft w:val="0"/>
      <w:marRight w:val="0"/>
      <w:marTop w:val="0"/>
      <w:marBottom w:val="0"/>
      <w:divBdr>
        <w:top w:val="none" w:sz="0" w:space="0" w:color="auto"/>
        <w:left w:val="none" w:sz="0" w:space="0" w:color="auto"/>
        <w:bottom w:val="none" w:sz="0" w:space="0" w:color="auto"/>
        <w:right w:val="none" w:sz="0" w:space="0" w:color="auto"/>
      </w:divBdr>
    </w:div>
    <w:div w:id="633750913">
      <w:bodyDiv w:val="1"/>
      <w:marLeft w:val="0"/>
      <w:marRight w:val="0"/>
      <w:marTop w:val="0"/>
      <w:marBottom w:val="0"/>
      <w:divBdr>
        <w:top w:val="none" w:sz="0" w:space="0" w:color="auto"/>
        <w:left w:val="none" w:sz="0" w:space="0" w:color="auto"/>
        <w:bottom w:val="none" w:sz="0" w:space="0" w:color="auto"/>
        <w:right w:val="none" w:sz="0" w:space="0" w:color="auto"/>
      </w:divBdr>
    </w:div>
    <w:div w:id="681248936">
      <w:bodyDiv w:val="1"/>
      <w:marLeft w:val="0"/>
      <w:marRight w:val="0"/>
      <w:marTop w:val="0"/>
      <w:marBottom w:val="0"/>
      <w:divBdr>
        <w:top w:val="none" w:sz="0" w:space="0" w:color="auto"/>
        <w:left w:val="none" w:sz="0" w:space="0" w:color="auto"/>
        <w:bottom w:val="none" w:sz="0" w:space="0" w:color="auto"/>
        <w:right w:val="none" w:sz="0" w:space="0" w:color="auto"/>
      </w:divBdr>
    </w:div>
    <w:div w:id="780339331">
      <w:bodyDiv w:val="1"/>
      <w:marLeft w:val="0"/>
      <w:marRight w:val="0"/>
      <w:marTop w:val="0"/>
      <w:marBottom w:val="0"/>
      <w:divBdr>
        <w:top w:val="none" w:sz="0" w:space="0" w:color="auto"/>
        <w:left w:val="none" w:sz="0" w:space="0" w:color="auto"/>
        <w:bottom w:val="none" w:sz="0" w:space="0" w:color="auto"/>
        <w:right w:val="none" w:sz="0" w:space="0" w:color="auto"/>
      </w:divBdr>
    </w:div>
    <w:div w:id="789862345">
      <w:bodyDiv w:val="1"/>
      <w:marLeft w:val="0"/>
      <w:marRight w:val="0"/>
      <w:marTop w:val="0"/>
      <w:marBottom w:val="0"/>
      <w:divBdr>
        <w:top w:val="none" w:sz="0" w:space="0" w:color="auto"/>
        <w:left w:val="none" w:sz="0" w:space="0" w:color="auto"/>
        <w:bottom w:val="none" w:sz="0" w:space="0" w:color="auto"/>
        <w:right w:val="none" w:sz="0" w:space="0" w:color="auto"/>
      </w:divBdr>
    </w:div>
    <w:div w:id="812648520">
      <w:bodyDiv w:val="1"/>
      <w:marLeft w:val="0"/>
      <w:marRight w:val="0"/>
      <w:marTop w:val="0"/>
      <w:marBottom w:val="0"/>
      <w:divBdr>
        <w:top w:val="none" w:sz="0" w:space="0" w:color="auto"/>
        <w:left w:val="none" w:sz="0" w:space="0" w:color="auto"/>
        <w:bottom w:val="none" w:sz="0" w:space="0" w:color="auto"/>
        <w:right w:val="none" w:sz="0" w:space="0" w:color="auto"/>
      </w:divBdr>
    </w:div>
    <w:div w:id="822967153">
      <w:bodyDiv w:val="1"/>
      <w:marLeft w:val="0"/>
      <w:marRight w:val="0"/>
      <w:marTop w:val="0"/>
      <w:marBottom w:val="0"/>
      <w:divBdr>
        <w:top w:val="none" w:sz="0" w:space="0" w:color="auto"/>
        <w:left w:val="none" w:sz="0" w:space="0" w:color="auto"/>
        <w:bottom w:val="none" w:sz="0" w:space="0" w:color="auto"/>
        <w:right w:val="none" w:sz="0" w:space="0" w:color="auto"/>
      </w:divBdr>
    </w:div>
    <w:div w:id="840974566">
      <w:bodyDiv w:val="1"/>
      <w:marLeft w:val="0"/>
      <w:marRight w:val="0"/>
      <w:marTop w:val="0"/>
      <w:marBottom w:val="0"/>
      <w:divBdr>
        <w:top w:val="none" w:sz="0" w:space="0" w:color="auto"/>
        <w:left w:val="none" w:sz="0" w:space="0" w:color="auto"/>
        <w:bottom w:val="none" w:sz="0" w:space="0" w:color="auto"/>
        <w:right w:val="none" w:sz="0" w:space="0" w:color="auto"/>
      </w:divBdr>
    </w:div>
    <w:div w:id="842625879">
      <w:bodyDiv w:val="1"/>
      <w:marLeft w:val="0"/>
      <w:marRight w:val="0"/>
      <w:marTop w:val="0"/>
      <w:marBottom w:val="0"/>
      <w:divBdr>
        <w:top w:val="none" w:sz="0" w:space="0" w:color="auto"/>
        <w:left w:val="none" w:sz="0" w:space="0" w:color="auto"/>
        <w:bottom w:val="none" w:sz="0" w:space="0" w:color="auto"/>
        <w:right w:val="none" w:sz="0" w:space="0" w:color="auto"/>
      </w:divBdr>
    </w:div>
    <w:div w:id="875236743">
      <w:bodyDiv w:val="1"/>
      <w:marLeft w:val="0"/>
      <w:marRight w:val="0"/>
      <w:marTop w:val="0"/>
      <w:marBottom w:val="0"/>
      <w:divBdr>
        <w:top w:val="none" w:sz="0" w:space="0" w:color="auto"/>
        <w:left w:val="none" w:sz="0" w:space="0" w:color="auto"/>
        <w:bottom w:val="none" w:sz="0" w:space="0" w:color="auto"/>
        <w:right w:val="none" w:sz="0" w:space="0" w:color="auto"/>
      </w:divBdr>
      <w:divsChild>
        <w:div w:id="1611014732">
          <w:marLeft w:val="0"/>
          <w:marRight w:val="0"/>
          <w:marTop w:val="0"/>
          <w:marBottom w:val="0"/>
          <w:divBdr>
            <w:top w:val="none" w:sz="0" w:space="0" w:color="auto"/>
            <w:left w:val="none" w:sz="0" w:space="0" w:color="auto"/>
            <w:bottom w:val="none" w:sz="0" w:space="0" w:color="auto"/>
            <w:right w:val="none" w:sz="0" w:space="0" w:color="auto"/>
          </w:divBdr>
        </w:div>
      </w:divsChild>
    </w:div>
    <w:div w:id="940333690">
      <w:bodyDiv w:val="1"/>
      <w:marLeft w:val="0"/>
      <w:marRight w:val="0"/>
      <w:marTop w:val="0"/>
      <w:marBottom w:val="0"/>
      <w:divBdr>
        <w:top w:val="none" w:sz="0" w:space="0" w:color="auto"/>
        <w:left w:val="none" w:sz="0" w:space="0" w:color="auto"/>
        <w:bottom w:val="none" w:sz="0" w:space="0" w:color="auto"/>
        <w:right w:val="none" w:sz="0" w:space="0" w:color="auto"/>
      </w:divBdr>
    </w:div>
    <w:div w:id="973877497">
      <w:bodyDiv w:val="1"/>
      <w:marLeft w:val="0"/>
      <w:marRight w:val="0"/>
      <w:marTop w:val="0"/>
      <w:marBottom w:val="0"/>
      <w:divBdr>
        <w:top w:val="none" w:sz="0" w:space="0" w:color="auto"/>
        <w:left w:val="none" w:sz="0" w:space="0" w:color="auto"/>
        <w:bottom w:val="none" w:sz="0" w:space="0" w:color="auto"/>
        <w:right w:val="none" w:sz="0" w:space="0" w:color="auto"/>
      </w:divBdr>
    </w:div>
    <w:div w:id="974061911">
      <w:bodyDiv w:val="1"/>
      <w:marLeft w:val="0"/>
      <w:marRight w:val="0"/>
      <w:marTop w:val="0"/>
      <w:marBottom w:val="0"/>
      <w:divBdr>
        <w:top w:val="none" w:sz="0" w:space="0" w:color="auto"/>
        <w:left w:val="none" w:sz="0" w:space="0" w:color="auto"/>
        <w:bottom w:val="none" w:sz="0" w:space="0" w:color="auto"/>
        <w:right w:val="none" w:sz="0" w:space="0" w:color="auto"/>
      </w:divBdr>
    </w:div>
    <w:div w:id="1021317670">
      <w:bodyDiv w:val="1"/>
      <w:marLeft w:val="0"/>
      <w:marRight w:val="0"/>
      <w:marTop w:val="0"/>
      <w:marBottom w:val="0"/>
      <w:divBdr>
        <w:top w:val="none" w:sz="0" w:space="0" w:color="auto"/>
        <w:left w:val="none" w:sz="0" w:space="0" w:color="auto"/>
        <w:bottom w:val="none" w:sz="0" w:space="0" w:color="auto"/>
        <w:right w:val="none" w:sz="0" w:space="0" w:color="auto"/>
      </w:divBdr>
    </w:div>
    <w:div w:id="1024595020">
      <w:bodyDiv w:val="1"/>
      <w:marLeft w:val="0"/>
      <w:marRight w:val="0"/>
      <w:marTop w:val="0"/>
      <w:marBottom w:val="0"/>
      <w:divBdr>
        <w:top w:val="none" w:sz="0" w:space="0" w:color="auto"/>
        <w:left w:val="none" w:sz="0" w:space="0" w:color="auto"/>
        <w:bottom w:val="none" w:sz="0" w:space="0" w:color="auto"/>
        <w:right w:val="none" w:sz="0" w:space="0" w:color="auto"/>
      </w:divBdr>
    </w:div>
    <w:div w:id="1037968938">
      <w:bodyDiv w:val="1"/>
      <w:marLeft w:val="0"/>
      <w:marRight w:val="0"/>
      <w:marTop w:val="0"/>
      <w:marBottom w:val="0"/>
      <w:divBdr>
        <w:top w:val="none" w:sz="0" w:space="0" w:color="auto"/>
        <w:left w:val="none" w:sz="0" w:space="0" w:color="auto"/>
        <w:bottom w:val="none" w:sz="0" w:space="0" w:color="auto"/>
        <w:right w:val="none" w:sz="0" w:space="0" w:color="auto"/>
      </w:divBdr>
    </w:div>
    <w:div w:id="1107313096">
      <w:bodyDiv w:val="1"/>
      <w:marLeft w:val="0"/>
      <w:marRight w:val="0"/>
      <w:marTop w:val="0"/>
      <w:marBottom w:val="0"/>
      <w:divBdr>
        <w:top w:val="none" w:sz="0" w:space="0" w:color="auto"/>
        <w:left w:val="none" w:sz="0" w:space="0" w:color="auto"/>
        <w:bottom w:val="none" w:sz="0" w:space="0" w:color="auto"/>
        <w:right w:val="none" w:sz="0" w:space="0" w:color="auto"/>
      </w:divBdr>
    </w:div>
    <w:div w:id="1124736186">
      <w:bodyDiv w:val="1"/>
      <w:marLeft w:val="0"/>
      <w:marRight w:val="0"/>
      <w:marTop w:val="0"/>
      <w:marBottom w:val="0"/>
      <w:divBdr>
        <w:top w:val="none" w:sz="0" w:space="0" w:color="auto"/>
        <w:left w:val="none" w:sz="0" w:space="0" w:color="auto"/>
        <w:bottom w:val="none" w:sz="0" w:space="0" w:color="auto"/>
        <w:right w:val="none" w:sz="0" w:space="0" w:color="auto"/>
      </w:divBdr>
    </w:div>
    <w:div w:id="1289357228">
      <w:bodyDiv w:val="1"/>
      <w:marLeft w:val="0"/>
      <w:marRight w:val="0"/>
      <w:marTop w:val="0"/>
      <w:marBottom w:val="0"/>
      <w:divBdr>
        <w:top w:val="none" w:sz="0" w:space="0" w:color="auto"/>
        <w:left w:val="none" w:sz="0" w:space="0" w:color="auto"/>
        <w:bottom w:val="none" w:sz="0" w:space="0" w:color="auto"/>
        <w:right w:val="none" w:sz="0" w:space="0" w:color="auto"/>
      </w:divBdr>
    </w:div>
    <w:div w:id="1302004602">
      <w:bodyDiv w:val="1"/>
      <w:marLeft w:val="0"/>
      <w:marRight w:val="0"/>
      <w:marTop w:val="0"/>
      <w:marBottom w:val="0"/>
      <w:divBdr>
        <w:top w:val="none" w:sz="0" w:space="0" w:color="auto"/>
        <w:left w:val="none" w:sz="0" w:space="0" w:color="auto"/>
        <w:bottom w:val="none" w:sz="0" w:space="0" w:color="auto"/>
        <w:right w:val="none" w:sz="0" w:space="0" w:color="auto"/>
      </w:divBdr>
    </w:div>
    <w:div w:id="1314530066">
      <w:bodyDiv w:val="1"/>
      <w:marLeft w:val="0"/>
      <w:marRight w:val="0"/>
      <w:marTop w:val="0"/>
      <w:marBottom w:val="0"/>
      <w:divBdr>
        <w:top w:val="none" w:sz="0" w:space="0" w:color="auto"/>
        <w:left w:val="none" w:sz="0" w:space="0" w:color="auto"/>
        <w:bottom w:val="none" w:sz="0" w:space="0" w:color="auto"/>
        <w:right w:val="none" w:sz="0" w:space="0" w:color="auto"/>
      </w:divBdr>
      <w:divsChild>
        <w:div w:id="77138750">
          <w:marLeft w:val="288"/>
          <w:marRight w:val="0"/>
          <w:marTop w:val="53"/>
          <w:marBottom w:val="0"/>
          <w:divBdr>
            <w:top w:val="none" w:sz="0" w:space="0" w:color="auto"/>
            <w:left w:val="none" w:sz="0" w:space="0" w:color="auto"/>
            <w:bottom w:val="none" w:sz="0" w:space="0" w:color="auto"/>
            <w:right w:val="none" w:sz="0" w:space="0" w:color="auto"/>
          </w:divBdr>
        </w:div>
      </w:divsChild>
    </w:div>
    <w:div w:id="1333145834">
      <w:bodyDiv w:val="1"/>
      <w:marLeft w:val="0"/>
      <w:marRight w:val="0"/>
      <w:marTop w:val="0"/>
      <w:marBottom w:val="0"/>
      <w:divBdr>
        <w:top w:val="none" w:sz="0" w:space="0" w:color="auto"/>
        <w:left w:val="none" w:sz="0" w:space="0" w:color="auto"/>
        <w:bottom w:val="none" w:sz="0" w:space="0" w:color="auto"/>
        <w:right w:val="none" w:sz="0" w:space="0" w:color="auto"/>
      </w:divBdr>
    </w:div>
    <w:div w:id="1372144671">
      <w:bodyDiv w:val="1"/>
      <w:marLeft w:val="0"/>
      <w:marRight w:val="0"/>
      <w:marTop w:val="0"/>
      <w:marBottom w:val="0"/>
      <w:divBdr>
        <w:top w:val="none" w:sz="0" w:space="0" w:color="auto"/>
        <w:left w:val="none" w:sz="0" w:space="0" w:color="auto"/>
        <w:bottom w:val="none" w:sz="0" w:space="0" w:color="auto"/>
        <w:right w:val="none" w:sz="0" w:space="0" w:color="auto"/>
      </w:divBdr>
    </w:div>
    <w:div w:id="1430854402">
      <w:bodyDiv w:val="1"/>
      <w:marLeft w:val="0"/>
      <w:marRight w:val="0"/>
      <w:marTop w:val="0"/>
      <w:marBottom w:val="0"/>
      <w:divBdr>
        <w:top w:val="none" w:sz="0" w:space="0" w:color="auto"/>
        <w:left w:val="none" w:sz="0" w:space="0" w:color="auto"/>
        <w:bottom w:val="none" w:sz="0" w:space="0" w:color="auto"/>
        <w:right w:val="none" w:sz="0" w:space="0" w:color="auto"/>
      </w:divBdr>
    </w:div>
    <w:div w:id="1437092288">
      <w:bodyDiv w:val="1"/>
      <w:marLeft w:val="0"/>
      <w:marRight w:val="0"/>
      <w:marTop w:val="0"/>
      <w:marBottom w:val="0"/>
      <w:divBdr>
        <w:top w:val="none" w:sz="0" w:space="0" w:color="auto"/>
        <w:left w:val="none" w:sz="0" w:space="0" w:color="auto"/>
        <w:bottom w:val="none" w:sz="0" w:space="0" w:color="auto"/>
        <w:right w:val="none" w:sz="0" w:space="0" w:color="auto"/>
      </w:divBdr>
    </w:div>
    <w:div w:id="1441729367">
      <w:bodyDiv w:val="1"/>
      <w:marLeft w:val="0"/>
      <w:marRight w:val="0"/>
      <w:marTop w:val="0"/>
      <w:marBottom w:val="0"/>
      <w:divBdr>
        <w:top w:val="none" w:sz="0" w:space="0" w:color="auto"/>
        <w:left w:val="none" w:sz="0" w:space="0" w:color="auto"/>
        <w:bottom w:val="none" w:sz="0" w:space="0" w:color="auto"/>
        <w:right w:val="none" w:sz="0" w:space="0" w:color="auto"/>
      </w:divBdr>
    </w:div>
    <w:div w:id="1469204598">
      <w:bodyDiv w:val="1"/>
      <w:marLeft w:val="0"/>
      <w:marRight w:val="0"/>
      <w:marTop w:val="0"/>
      <w:marBottom w:val="0"/>
      <w:divBdr>
        <w:top w:val="none" w:sz="0" w:space="0" w:color="auto"/>
        <w:left w:val="none" w:sz="0" w:space="0" w:color="auto"/>
        <w:bottom w:val="none" w:sz="0" w:space="0" w:color="auto"/>
        <w:right w:val="none" w:sz="0" w:space="0" w:color="auto"/>
      </w:divBdr>
    </w:div>
    <w:div w:id="1497649462">
      <w:bodyDiv w:val="1"/>
      <w:marLeft w:val="0"/>
      <w:marRight w:val="0"/>
      <w:marTop w:val="0"/>
      <w:marBottom w:val="0"/>
      <w:divBdr>
        <w:top w:val="none" w:sz="0" w:space="0" w:color="auto"/>
        <w:left w:val="none" w:sz="0" w:space="0" w:color="auto"/>
        <w:bottom w:val="none" w:sz="0" w:space="0" w:color="auto"/>
        <w:right w:val="none" w:sz="0" w:space="0" w:color="auto"/>
      </w:divBdr>
    </w:div>
    <w:div w:id="1518884893">
      <w:bodyDiv w:val="1"/>
      <w:marLeft w:val="0"/>
      <w:marRight w:val="0"/>
      <w:marTop w:val="0"/>
      <w:marBottom w:val="0"/>
      <w:divBdr>
        <w:top w:val="none" w:sz="0" w:space="0" w:color="auto"/>
        <w:left w:val="none" w:sz="0" w:space="0" w:color="auto"/>
        <w:bottom w:val="none" w:sz="0" w:space="0" w:color="auto"/>
        <w:right w:val="none" w:sz="0" w:space="0" w:color="auto"/>
      </w:divBdr>
    </w:div>
    <w:div w:id="1540624897">
      <w:bodyDiv w:val="1"/>
      <w:marLeft w:val="0"/>
      <w:marRight w:val="0"/>
      <w:marTop w:val="0"/>
      <w:marBottom w:val="0"/>
      <w:divBdr>
        <w:top w:val="none" w:sz="0" w:space="0" w:color="auto"/>
        <w:left w:val="none" w:sz="0" w:space="0" w:color="auto"/>
        <w:bottom w:val="none" w:sz="0" w:space="0" w:color="auto"/>
        <w:right w:val="none" w:sz="0" w:space="0" w:color="auto"/>
      </w:divBdr>
    </w:div>
    <w:div w:id="1551644626">
      <w:bodyDiv w:val="1"/>
      <w:marLeft w:val="0"/>
      <w:marRight w:val="0"/>
      <w:marTop w:val="0"/>
      <w:marBottom w:val="0"/>
      <w:divBdr>
        <w:top w:val="none" w:sz="0" w:space="0" w:color="auto"/>
        <w:left w:val="none" w:sz="0" w:space="0" w:color="auto"/>
        <w:bottom w:val="none" w:sz="0" w:space="0" w:color="auto"/>
        <w:right w:val="none" w:sz="0" w:space="0" w:color="auto"/>
      </w:divBdr>
    </w:div>
    <w:div w:id="1619220429">
      <w:bodyDiv w:val="1"/>
      <w:marLeft w:val="0"/>
      <w:marRight w:val="0"/>
      <w:marTop w:val="0"/>
      <w:marBottom w:val="0"/>
      <w:divBdr>
        <w:top w:val="none" w:sz="0" w:space="0" w:color="auto"/>
        <w:left w:val="none" w:sz="0" w:space="0" w:color="auto"/>
        <w:bottom w:val="none" w:sz="0" w:space="0" w:color="auto"/>
        <w:right w:val="none" w:sz="0" w:space="0" w:color="auto"/>
      </w:divBdr>
      <w:divsChild>
        <w:div w:id="1360087571">
          <w:marLeft w:val="0"/>
          <w:marRight w:val="0"/>
          <w:marTop w:val="0"/>
          <w:marBottom w:val="0"/>
          <w:divBdr>
            <w:top w:val="none" w:sz="0" w:space="0" w:color="auto"/>
            <w:left w:val="none" w:sz="0" w:space="0" w:color="auto"/>
            <w:bottom w:val="none" w:sz="0" w:space="0" w:color="auto"/>
            <w:right w:val="none" w:sz="0" w:space="0" w:color="auto"/>
          </w:divBdr>
          <w:divsChild>
            <w:div w:id="566576502">
              <w:marLeft w:val="0"/>
              <w:marRight w:val="0"/>
              <w:marTop w:val="0"/>
              <w:marBottom w:val="0"/>
              <w:divBdr>
                <w:top w:val="none" w:sz="0" w:space="0" w:color="auto"/>
                <w:left w:val="none" w:sz="0" w:space="0" w:color="auto"/>
                <w:bottom w:val="none" w:sz="0" w:space="0" w:color="auto"/>
                <w:right w:val="none" w:sz="0" w:space="0" w:color="auto"/>
              </w:divBdr>
              <w:divsChild>
                <w:div w:id="1673608260">
                  <w:marLeft w:val="0"/>
                  <w:marRight w:val="0"/>
                  <w:marTop w:val="0"/>
                  <w:marBottom w:val="0"/>
                  <w:divBdr>
                    <w:top w:val="none" w:sz="0" w:space="0" w:color="auto"/>
                    <w:left w:val="none" w:sz="0" w:space="0" w:color="auto"/>
                    <w:bottom w:val="none" w:sz="0" w:space="0" w:color="auto"/>
                    <w:right w:val="none" w:sz="0" w:space="0" w:color="auto"/>
                  </w:divBdr>
                  <w:divsChild>
                    <w:div w:id="952173778">
                      <w:marLeft w:val="0"/>
                      <w:marRight w:val="0"/>
                      <w:marTop w:val="0"/>
                      <w:marBottom w:val="0"/>
                      <w:divBdr>
                        <w:top w:val="none" w:sz="0" w:space="0" w:color="auto"/>
                        <w:left w:val="none" w:sz="0" w:space="0" w:color="auto"/>
                        <w:bottom w:val="none" w:sz="0" w:space="0" w:color="auto"/>
                        <w:right w:val="none" w:sz="0" w:space="0" w:color="auto"/>
                      </w:divBdr>
                      <w:divsChild>
                        <w:div w:id="1903979649">
                          <w:marLeft w:val="0"/>
                          <w:marRight w:val="0"/>
                          <w:marTop w:val="0"/>
                          <w:marBottom w:val="0"/>
                          <w:divBdr>
                            <w:top w:val="none" w:sz="0" w:space="0" w:color="auto"/>
                            <w:left w:val="none" w:sz="0" w:space="0" w:color="auto"/>
                            <w:bottom w:val="none" w:sz="0" w:space="0" w:color="auto"/>
                            <w:right w:val="none" w:sz="0" w:space="0" w:color="auto"/>
                          </w:divBdr>
                          <w:divsChild>
                            <w:div w:id="1872303742">
                              <w:marLeft w:val="0"/>
                              <w:marRight w:val="0"/>
                              <w:marTop w:val="0"/>
                              <w:marBottom w:val="0"/>
                              <w:divBdr>
                                <w:top w:val="none" w:sz="0" w:space="0" w:color="auto"/>
                                <w:left w:val="none" w:sz="0" w:space="0" w:color="auto"/>
                                <w:bottom w:val="none" w:sz="0" w:space="0" w:color="auto"/>
                                <w:right w:val="none" w:sz="0" w:space="0" w:color="auto"/>
                              </w:divBdr>
                              <w:divsChild>
                                <w:div w:id="1371876658">
                                  <w:marLeft w:val="0"/>
                                  <w:marRight w:val="0"/>
                                  <w:marTop w:val="0"/>
                                  <w:marBottom w:val="0"/>
                                  <w:divBdr>
                                    <w:top w:val="none" w:sz="0" w:space="0" w:color="auto"/>
                                    <w:left w:val="none" w:sz="0" w:space="0" w:color="auto"/>
                                    <w:bottom w:val="none" w:sz="0" w:space="0" w:color="auto"/>
                                    <w:right w:val="none" w:sz="0" w:space="0" w:color="auto"/>
                                  </w:divBdr>
                                  <w:divsChild>
                                    <w:div w:id="1472016309">
                                      <w:marLeft w:val="0"/>
                                      <w:marRight w:val="0"/>
                                      <w:marTop w:val="0"/>
                                      <w:marBottom w:val="0"/>
                                      <w:divBdr>
                                        <w:top w:val="none" w:sz="0" w:space="0" w:color="auto"/>
                                        <w:left w:val="none" w:sz="0" w:space="0" w:color="auto"/>
                                        <w:bottom w:val="none" w:sz="0" w:space="0" w:color="auto"/>
                                        <w:right w:val="none" w:sz="0" w:space="0" w:color="auto"/>
                                      </w:divBdr>
                                      <w:divsChild>
                                        <w:div w:id="166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1448195">
      <w:bodyDiv w:val="1"/>
      <w:marLeft w:val="0"/>
      <w:marRight w:val="0"/>
      <w:marTop w:val="0"/>
      <w:marBottom w:val="0"/>
      <w:divBdr>
        <w:top w:val="none" w:sz="0" w:space="0" w:color="auto"/>
        <w:left w:val="none" w:sz="0" w:space="0" w:color="auto"/>
        <w:bottom w:val="none" w:sz="0" w:space="0" w:color="auto"/>
        <w:right w:val="none" w:sz="0" w:space="0" w:color="auto"/>
      </w:divBdr>
    </w:div>
    <w:div w:id="1705905159">
      <w:bodyDiv w:val="1"/>
      <w:marLeft w:val="0"/>
      <w:marRight w:val="0"/>
      <w:marTop w:val="0"/>
      <w:marBottom w:val="0"/>
      <w:divBdr>
        <w:top w:val="none" w:sz="0" w:space="0" w:color="auto"/>
        <w:left w:val="none" w:sz="0" w:space="0" w:color="auto"/>
        <w:bottom w:val="none" w:sz="0" w:space="0" w:color="auto"/>
        <w:right w:val="none" w:sz="0" w:space="0" w:color="auto"/>
      </w:divBdr>
    </w:div>
    <w:div w:id="1745302201">
      <w:bodyDiv w:val="1"/>
      <w:marLeft w:val="0"/>
      <w:marRight w:val="0"/>
      <w:marTop w:val="0"/>
      <w:marBottom w:val="0"/>
      <w:divBdr>
        <w:top w:val="none" w:sz="0" w:space="0" w:color="auto"/>
        <w:left w:val="none" w:sz="0" w:space="0" w:color="auto"/>
        <w:bottom w:val="none" w:sz="0" w:space="0" w:color="auto"/>
        <w:right w:val="none" w:sz="0" w:space="0" w:color="auto"/>
      </w:divBdr>
    </w:div>
    <w:div w:id="1762139600">
      <w:bodyDiv w:val="1"/>
      <w:marLeft w:val="0"/>
      <w:marRight w:val="0"/>
      <w:marTop w:val="0"/>
      <w:marBottom w:val="0"/>
      <w:divBdr>
        <w:top w:val="none" w:sz="0" w:space="0" w:color="auto"/>
        <w:left w:val="none" w:sz="0" w:space="0" w:color="auto"/>
        <w:bottom w:val="none" w:sz="0" w:space="0" w:color="auto"/>
        <w:right w:val="none" w:sz="0" w:space="0" w:color="auto"/>
      </w:divBdr>
    </w:div>
    <w:div w:id="1824849994">
      <w:bodyDiv w:val="1"/>
      <w:marLeft w:val="0"/>
      <w:marRight w:val="0"/>
      <w:marTop w:val="0"/>
      <w:marBottom w:val="0"/>
      <w:divBdr>
        <w:top w:val="none" w:sz="0" w:space="0" w:color="auto"/>
        <w:left w:val="none" w:sz="0" w:space="0" w:color="auto"/>
        <w:bottom w:val="none" w:sz="0" w:space="0" w:color="auto"/>
        <w:right w:val="none" w:sz="0" w:space="0" w:color="auto"/>
      </w:divBdr>
    </w:div>
    <w:div w:id="1847553307">
      <w:bodyDiv w:val="1"/>
      <w:marLeft w:val="0"/>
      <w:marRight w:val="0"/>
      <w:marTop w:val="0"/>
      <w:marBottom w:val="0"/>
      <w:divBdr>
        <w:top w:val="none" w:sz="0" w:space="0" w:color="auto"/>
        <w:left w:val="none" w:sz="0" w:space="0" w:color="auto"/>
        <w:bottom w:val="none" w:sz="0" w:space="0" w:color="auto"/>
        <w:right w:val="none" w:sz="0" w:space="0" w:color="auto"/>
      </w:divBdr>
      <w:divsChild>
        <w:div w:id="467212389">
          <w:marLeft w:val="0"/>
          <w:marRight w:val="0"/>
          <w:marTop w:val="0"/>
          <w:marBottom w:val="0"/>
          <w:divBdr>
            <w:top w:val="none" w:sz="0" w:space="0" w:color="auto"/>
            <w:left w:val="none" w:sz="0" w:space="0" w:color="auto"/>
            <w:bottom w:val="none" w:sz="0" w:space="0" w:color="auto"/>
            <w:right w:val="none" w:sz="0" w:space="0" w:color="auto"/>
          </w:divBdr>
          <w:divsChild>
            <w:div w:id="1560356974">
              <w:marLeft w:val="0"/>
              <w:marRight w:val="0"/>
              <w:marTop w:val="0"/>
              <w:marBottom w:val="0"/>
              <w:divBdr>
                <w:top w:val="none" w:sz="0" w:space="0" w:color="auto"/>
                <w:left w:val="none" w:sz="0" w:space="0" w:color="auto"/>
                <w:bottom w:val="none" w:sz="0" w:space="0" w:color="auto"/>
                <w:right w:val="none" w:sz="0" w:space="0" w:color="auto"/>
              </w:divBdr>
              <w:divsChild>
                <w:div w:id="1288312042">
                  <w:marLeft w:val="0"/>
                  <w:marRight w:val="0"/>
                  <w:marTop w:val="0"/>
                  <w:marBottom w:val="0"/>
                  <w:divBdr>
                    <w:top w:val="none" w:sz="0" w:space="0" w:color="auto"/>
                    <w:left w:val="none" w:sz="0" w:space="0" w:color="auto"/>
                    <w:bottom w:val="none" w:sz="0" w:space="0" w:color="auto"/>
                    <w:right w:val="none" w:sz="0" w:space="0" w:color="auto"/>
                  </w:divBdr>
                  <w:divsChild>
                    <w:div w:id="1610238182">
                      <w:marLeft w:val="0"/>
                      <w:marRight w:val="0"/>
                      <w:marTop w:val="45"/>
                      <w:marBottom w:val="0"/>
                      <w:divBdr>
                        <w:top w:val="none" w:sz="0" w:space="0" w:color="auto"/>
                        <w:left w:val="none" w:sz="0" w:space="0" w:color="auto"/>
                        <w:bottom w:val="none" w:sz="0" w:space="0" w:color="auto"/>
                        <w:right w:val="none" w:sz="0" w:space="0" w:color="auto"/>
                      </w:divBdr>
                      <w:divsChild>
                        <w:div w:id="1617637352">
                          <w:marLeft w:val="0"/>
                          <w:marRight w:val="0"/>
                          <w:marTop w:val="0"/>
                          <w:marBottom w:val="0"/>
                          <w:divBdr>
                            <w:top w:val="none" w:sz="0" w:space="0" w:color="auto"/>
                            <w:left w:val="none" w:sz="0" w:space="0" w:color="auto"/>
                            <w:bottom w:val="none" w:sz="0" w:space="0" w:color="auto"/>
                            <w:right w:val="none" w:sz="0" w:space="0" w:color="auto"/>
                          </w:divBdr>
                          <w:divsChild>
                            <w:div w:id="1849905053">
                              <w:marLeft w:val="2070"/>
                              <w:marRight w:val="3810"/>
                              <w:marTop w:val="0"/>
                              <w:marBottom w:val="0"/>
                              <w:divBdr>
                                <w:top w:val="none" w:sz="0" w:space="0" w:color="auto"/>
                                <w:left w:val="none" w:sz="0" w:space="0" w:color="auto"/>
                                <w:bottom w:val="none" w:sz="0" w:space="0" w:color="auto"/>
                                <w:right w:val="none" w:sz="0" w:space="0" w:color="auto"/>
                              </w:divBdr>
                              <w:divsChild>
                                <w:div w:id="530388059">
                                  <w:marLeft w:val="0"/>
                                  <w:marRight w:val="0"/>
                                  <w:marTop w:val="0"/>
                                  <w:marBottom w:val="0"/>
                                  <w:divBdr>
                                    <w:top w:val="none" w:sz="0" w:space="0" w:color="auto"/>
                                    <w:left w:val="none" w:sz="0" w:space="0" w:color="auto"/>
                                    <w:bottom w:val="none" w:sz="0" w:space="0" w:color="auto"/>
                                    <w:right w:val="none" w:sz="0" w:space="0" w:color="auto"/>
                                  </w:divBdr>
                                  <w:divsChild>
                                    <w:div w:id="436297956">
                                      <w:marLeft w:val="0"/>
                                      <w:marRight w:val="0"/>
                                      <w:marTop w:val="0"/>
                                      <w:marBottom w:val="0"/>
                                      <w:divBdr>
                                        <w:top w:val="none" w:sz="0" w:space="0" w:color="auto"/>
                                        <w:left w:val="none" w:sz="0" w:space="0" w:color="auto"/>
                                        <w:bottom w:val="none" w:sz="0" w:space="0" w:color="auto"/>
                                        <w:right w:val="none" w:sz="0" w:space="0" w:color="auto"/>
                                      </w:divBdr>
                                      <w:divsChild>
                                        <w:div w:id="1904367940">
                                          <w:marLeft w:val="0"/>
                                          <w:marRight w:val="0"/>
                                          <w:marTop w:val="0"/>
                                          <w:marBottom w:val="0"/>
                                          <w:divBdr>
                                            <w:top w:val="none" w:sz="0" w:space="0" w:color="auto"/>
                                            <w:left w:val="none" w:sz="0" w:space="0" w:color="auto"/>
                                            <w:bottom w:val="none" w:sz="0" w:space="0" w:color="auto"/>
                                            <w:right w:val="none" w:sz="0" w:space="0" w:color="auto"/>
                                          </w:divBdr>
                                          <w:divsChild>
                                            <w:div w:id="581527822">
                                              <w:marLeft w:val="0"/>
                                              <w:marRight w:val="0"/>
                                              <w:marTop w:val="90"/>
                                              <w:marBottom w:val="0"/>
                                              <w:divBdr>
                                                <w:top w:val="none" w:sz="0" w:space="0" w:color="auto"/>
                                                <w:left w:val="none" w:sz="0" w:space="0" w:color="auto"/>
                                                <w:bottom w:val="none" w:sz="0" w:space="0" w:color="auto"/>
                                                <w:right w:val="none" w:sz="0" w:space="0" w:color="auto"/>
                                              </w:divBdr>
                                              <w:divsChild>
                                                <w:div w:id="1118649299">
                                                  <w:marLeft w:val="0"/>
                                                  <w:marRight w:val="0"/>
                                                  <w:marTop w:val="0"/>
                                                  <w:marBottom w:val="0"/>
                                                  <w:divBdr>
                                                    <w:top w:val="none" w:sz="0" w:space="0" w:color="auto"/>
                                                    <w:left w:val="none" w:sz="0" w:space="0" w:color="auto"/>
                                                    <w:bottom w:val="none" w:sz="0" w:space="0" w:color="auto"/>
                                                    <w:right w:val="none" w:sz="0" w:space="0" w:color="auto"/>
                                                  </w:divBdr>
                                                  <w:divsChild>
                                                    <w:div w:id="1607276811">
                                                      <w:marLeft w:val="0"/>
                                                      <w:marRight w:val="0"/>
                                                      <w:marTop w:val="0"/>
                                                      <w:marBottom w:val="0"/>
                                                      <w:divBdr>
                                                        <w:top w:val="none" w:sz="0" w:space="0" w:color="auto"/>
                                                        <w:left w:val="none" w:sz="0" w:space="0" w:color="auto"/>
                                                        <w:bottom w:val="none" w:sz="0" w:space="0" w:color="auto"/>
                                                        <w:right w:val="none" w:sz="0" w:space="0" w:color="auto"/>
                                                      </w:divBdr>
                                                      <w:divsChild>
                                                        <w:div w:id="836336915">
                                                          <w:marLeft w:val="0"/>
                                                          <w:marRight w:val="0"/>
                                                          <w:marTop w:val="0"/>
                                                          <w:marBottom w:val="390"/>
                                                          <w:divBdr>
                                                            <w:top w:val="none" w:sz="0" w:space="0" w:color="auto"/>
                                                            <w:left w:val="none" w:sz="0" w:space="0" w:color="auto"/>
                                                            <w:bottom w:val="none" w:sz="0" w:space="0" w:color="auto"/>
                                                            <w:right w:val="none" w:sz="0" w:space="0" w:color="auto"/>
                                                          </w:divBdr>
                                                          <w:divsChild>
                                                            <w:div w:id="1012147010">
                                                              <w:marLeft w:val="0"/>
                                                              <w:marRight w:val="0"/>
                                                              <w:marTop w:val="0"/>
                                                              <w:marBottom w:val="0"/>
                                                              <w:divBdr>
                                                                <w:top w:val="none" w:sz="0" w:space="0" w:color="auto"/>
                                                                <w:left w:val="none" w:sz="0" w:space="0" w:color="auto"/>
                                                                <w:bottom w:val="none" w:sz="0" w:space="0" w:color="auto"/>
                                                                <w:right w:val="none" w:sz="0" w:space="0" w:color="auto"/>
                                                              </w:divBdr>
                                                              <w:divsChild>
                                                                <w:div w:id="1777678408">
                                                                  <w:marLeft w:val="0"/>
                                                                  <w:marRight w:val="0"/>
                                                                  <w:marTop w:val="0"/>
                                                                  <w:marBottom w:val="0"/>
                                                                  <w:divBdr>
                                                                    <w:top w:val="none" w:sz="0" w:space="0" w:color="auto"/>
                                                                    <w:left w:val="none" w:sz="0" w:space="0" w:color="auto"/>
                                                                    <w:bottom w:val="none" w:sz="0" w:space="0" w:color="auto"/>
                                                                    <w:right w:val="none" w:sz="0" w:space="0" w:color="auto"/>
                                                                  </w:divBdr>
                                                                  <w:divsChild>
                                                                    <w:div w:id="748844043">
                                                                      <w:marLeft w:val="0"/>
                                                                      <w:marRight w:val="0"/>
                                                                      <w:marTop w:val="0"/>
                                                                      <w:marBottom w:val="0"/>
                                                                      <w:divBdr>
                                                                        <w:top w:val="none" w:sz="0" w:space="0" w:color="auto"/>
                                                                        <w:left w:val="none" w:sz="0" w:space="0" w:color="auto"/>
                                                                        <w:bottom w:val="none" w:sz="0" w:space="0" w:color="auto"/>
                                                                        <w:right w:val="none" w:sz="0" w:space="0" w:color="auto"/>
                                                                      </w:divBdr>
                                                                      <w:divsChild>
                                                                        <w:div w:id="1691947717">
                                                                          <w:marLeft w:val="0"/>
                                                                          <w:marRight w:val="0"/>
                                                                          <w:marTop w:val="0"/>
                                                                          <w:marBottom w:val="0"/>
                                                                          <w:divBdr>
                                                                            <w:top w:val="none" w:sz="0" w:space="0" w:color="auto"/>
                                                                            <w:left w:val="none" w:sz="0" w:space="0" w:color="auto"/>
                                                                            <w:bottom w:val="none" w:sz="0" w:space="0" w:color="auto"/>
                                                                            <w:right w:val="none" w:sz="0" w:space="0" w:color="auto"/>
                                                                          </w:divBdr>
                                                                          <w:divsChild>
                                                                            <w:div w:id="180583735">
                                                                              <w:marLeft w:val="0"/>
                                                                              <w:marRight w:val="0"/>
                                                                              <w:marTop w:val="0"/>
                                                                              <w:marBottom w:val="0"/>
                                                                              <w:divBdr>
                                                                                <w:top w:val="none" w:sz="0" w:space="0" w:color="auto"/>
                                                                                <w:left w:val="none" w:sz="0" w:space="0" w:color="auto"/>
                                                                                <w:bottom w:val="none" w:sz="0" w:space="0" w:color="auto"/>
                                                                                <w:right w:val="none" w:sz="0" w:space="0" w:color="auto"/>
                                                                              </w:divBdr>
                                                                              <w:divsChild>
                                                                                <w:div w:id="213350075">
                                                                                  <w:marLeft w:val="0"/>
                                                                                  <w:marRight w:val="0"/>
                                                                                  <w:marTop w:val="0"/>
                                                                                  <w:marBottom w:val="0"/>
                                                                                  <w:divBdr>
                                                                                    <w:top w:val="none" w:sz="0" w:space="0" w:color="auto"/>
                                                                                    <w:left w:val="none" w:sz="0" w:space="0" w:color="auto"/>
                                                                                    <w:bottom w:val="none" w:sz="0" w:space="0" w:color="auto"/>
                                                                                    <w:right w:val="none" w:sz="0" w:space="0" w:color="auto"/>
                                                                                  </w:divBdr>
                                                                                  <w:divsChild>
                                                                                    <w:div w:id="801656020">
                                                                                      <w:marLeft w:val="0"/>
                                                                                      <w:marRight w:val="0"/>
                                                                                      <w:marTop w:val="0"/>
                                                                                      <w:marBottom w:val="0"/>
                                                                                      <w:divBdr>
                                                                                        <w:top w:val="none" w:sz="0" w:space="0" w:color="auto"/>
                                                                                        <w:left w:val="none" w:sz="0" w:space="0" w:color="auto"/>
                                                                                        <w:bottom w:val="none" w:sz="0" w:space="0" w:color="auto"/>
                                                                                        <w:right w:val="none" w:sz="0" w:space="0" w:color="auto"/>
                                                                                      </w:divBdr>
                                                                                      <w:divsChild>
                                                                                        <w:div w:id="99576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199751">
      <w:bodyDiv w:val="1"/>
      <w:marLeft w:val="0"/>
      <w:marRight w:val="0"/>
      <w:marTop w:val="0"/>
      <w:marBottom w:val="0"/>
      <w:divBdr>
        <w:top w:val="none" w:sz="0" w:space="0" w:color="auto"/>
        <w:left w:val="none" w:sz="0" w:space="0" w:color="auto"/>
        <w:bottom w:val="none" w:sz="0" w:space="0" w:color="auto"/>
        <w:right w:val="none" w:sz="0" w:space="0" w:color="auto"/>
      </w:divBdr>
      <w:divsChild>
        <w:div w:id="428934682">
          <w:marLeft w:val="0"/>
          <w:marRight w:val="0"/>
          <w:marTop w:val="0"/>
          <w:marBottom w:val="0"/>
          <w:divBdr>
            <w:top w:val="none" w:sz="0" w:space="0" w:color="auto"/>
            <w:left w:val="none" w:sz="0" w:space="0" w:color="auto"/>
            <w:bottom w:val="none" w:sz="0" w:space="0" w:color="auto"/>
            <w:right w:val="none" w:sz="0" w:space="0" w:color="auto"/>
          </w:divBdr>
        </w:div>
      </w:divsChild>
    </w:div>
    <w:div w:id="1940214419">
      <w:bodyDiv w:val="1"/>
      <w:marLeft w:val="0"/>
      <w:marRight w:val="0"/>
      <w:marTop w:val="0"/>
      <w:marBottom w:val="0"/>
      <w:divBdr>
        <w:top w:val="none" w:sz="0" w:space="0" w:color="auto"/>
        <w:left w:val="none" w:sz="0" w:space="0" w:color="auto"/>
        <w:bottom w:val="none" w:sz="0" w:space="0" w:color="auto"/>
        <w:right w:val="none" w:sz="0" w:space="0" w:color="auto"/>
      </w:divBdr>
    </w:div>
    <w:div w:id="1970240503">
      <w:bodyDiv w:val="1"/>
      <w:marLeft w:val="0"/>
      <w:marRight w:val="0"/>
      <w:marTop w:val="0"/>
      <w:marBottom w:val="0"/>
      <w:divBdr>
        <w:top w:val="none" w:sz="0" w:space="0" w:color="auto"/>
        <w:left w:val="none" w:sz="0" w:space="0" w:color="auto"/>
        <w:bottom w:val="none" w:sz="0" w:space="0" w:color="auto"/>
        <w:right w:val="none" w:sz="0" w:space="0" w:color="auto"/>
      </w:divBdr>
    </w:div>
    <w:div w:id="1997565509">
      <w:bodyDiv w:val="1"/>
      <w:marLeft w:val="0"/>
      <w:marRight w:val="0"/>
      <w:marTop w:val="0"/>
      <w:marBottom w:val="0"/>
      <w:divBdr>
        <w:top w:val="none" w:sz="0" w:space="0" w:color="auto"/>
        <w:left w:val="none" w:sz="0" w:space="0" w:color="auto"/>
        <w:bottom w:val="none" w:sz="0" w:space="0" w:color="auto"/>
        <w:right w:val="none" w:sz="0" w:space="0" w:color="auto"/>
      </w:divBdr>
    </w:div>
    <w:div w:id="2013099938">
      <w:bodyDiv w:val="1"/>
      <w:marLeft w:val="0"/>
      <w:marRight w:val="0"/>
      <w:marTop w:val="0"/>
      <w:marBottom w:val="0"/>
      <w:divBdr>
        <w:top w:val="none" w:sz="0" w:space="0" w:color="auto"/>
        <w:left w:val="none" w:sz="0" w:space="0" w:color="auto"/>
        <w:bottom w:val="none" w:sz="0" w:space="0" w:color="auto"/>
        <w:right w:val="none" w:sz="0" w:space="0" w:color="auto"/>
      </w:divBdr>
    </w:div>
    <w:div w:id="2055034171">
      <w:bodyDiv w:val="1"/>
      <w:marLeft w:val="0"/>
      <w:marRight w:val="0"/>
      <w:marTop w:val="0"/>
      <w:marBottom w:val="0"/>
      <w:divBdr>
        <w:top w:val="none" w:sz="0" w:space="0" w:color="auto"/>
        <w:left w:val="none" w:sz="0" w:space="0" w:color="auto"/>
        <w:bottom w:val="none" w:sz="0" w:space="0" w:color="auto"/>
        <w:right w:val="none" w:sz="0" w:space="0" w:color="auto"/>
      </w:divBdr>
    </w:div>
    <w:div w:id="2102094848">
      <w:bodyDiv w:val="1"/>
      <w:marLeft w:val="0"/>
      <w:marRight w:val="0"/>
      <w:marTop w:val="0"/>
      <w:marBottom w:val="0"/>
      <w:divBdr>
        <w:top w:val="none" w:sz="0" w:space="0" w:color="auto"/>
        <w:left w:val="none" w:sz="0" w:space="0" w:color="auto"/>
        <w:bottom w:val="none" w:sz="0" w:space="0" w:color="auto"/>
        <w:right w:val="none" w:sz="0" w:space="0" w:color="auto"/>
      </w:divBdr>
    </w:div>
    <w:div w:id="2112703637">
      <w:bodyDiv w:val="1"/>
      <w:marLeft w:val="0"/>
      <w:marRight w:val="0"/>
      <w:marTop w:val="0"/>
      <w:marBottom w:val="0"/>
      <w:divBdr>
        <w:top w:val="none" w:sz="0" w:space="0" w:color="auto"/>
        <w:left w:val="none" w:sz="0" w:space="0" w:color="auto"/>
        <w:bottom w:val="none" w:sz="0" w:space="0" w:color="auto"/>
        <w:right w:val="none" w:sz="0" w:space="0" w:color="auto"/>
      </w:divBdr>
    </w:div>
    <w:div w:id="212723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lle.falcon@bbox.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Dessin_Microsoft_Visio1.vsd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Dessin_Microsoft_Visio.vsd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2421D-757B-4FCC-B126-229EEE3F0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12276</Words>
  <Characters>67518</Characters>
  <Application>Microsoft Office Word</Application>
  <DocSecurity>0</DocSecurity>
  <Lines>562</Lines>
  <Paragraphs>159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KLARSFELD Alain</dc:creator>
  <cp:lastModifiedBy>Gaelle Falcon</cp:lastModifiedBy>
  <cp:revision>9</cp:revision>
  <cp:lastPrinted>2019-04-12T15:17:00Z</cp:lastPrinted>
  <dcterms:created xsi:type="dcterms:W3CDTF">2019-04-29T15:20:00Z</dcterms:created>
  <dcterms:modified xsi:type="dcterms:W3CDTF">2019-07-09T18:25:00Z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