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6BD054" w14:textId="77777777" w:rsidR="00B50CA0" w:rsidRPr="004E53FD" w:rsidRDefault="00B50CA0" w:rsidP="00B50CA0">
      <w:pPr>
        <w:jc w:val="center"/>
        <w:rPr>
          <w:rFonts w:ascii="Arial" w:hAnsi="Arial" w:cs="Arial"/>
          <w:lang w:val="en-US"/>
        </w:rPr>
      </w:pPr>
    </w:p>
    <w:p w14:paraId="1824035B" w14:textId="77777777" w:rsidR="0028210D" w:rsidRPr="004E53FD" w:rsidRDefault="0028210D" w:rsidP="00B50CA0">
      <w:pPr>
        <w:jc w:val="center"/>
        <w:rPr>
          <w:rFonts w:ascii="Arial" w:hAnsi="Arial" w:cs="Arial"/>
        </w:rPr>
      </w:pPr>
    </w:p>
    <w:p w14:paraId="38A16F8F" w14:textId="77777777" w:rsidR="0028210D" w:rsidRPr="004E53FD" w:rsidRDefault="00982092" w:rsidP="00533C23">
      <w:pPr>
        <w:jc w:val="center"/>
        <w:rPr>
          <w:rFonts w:ascii="Arial" w:hAnsi="Arial" w:cs="Arial"/>
          <w:sz w:val="36"/>
          <w:szCs w:val="36"/>
        </w:rPr>
      </w:pPr>
      <w:r w:rsidRPr="004E53FD">
        <w:rPr>
          <w:rFonts w:ascii="Arial" w:hAnsi="Arial" w:cs="Arial"/>
          <w:sz w:val="36"/>
          <w:szCs w:val="36"/>
        </w:rPr>
        <w:t>Do Women “Cook” in Boardrooms?</w:t>
      </w:r>
    </w:p>
    <w:p w14:paraId="24418EF4" w14:textId="77777777" w:rsidR="00AD33F2" w:rsidRDefault="00982092" w:rsidP="000B1219">
      <w:pPr>
        <w:jc w:val="center"/>
        <w:rPr>
          <w:rFonts w:ascii="Arial" w:hAnsi="Arial" w:cs="Arial"/>
          <w:sz w:val="36"/>
          <w:szCs w:val="36"/>
        </w:rPr>
      </w:pPr>
      <w:r w:rsidRPr="004E53FD">
        <w:rPr>
          <w:rFonts w:ascii="Arial" w:hAnsi="Arial" w:cs="Arial"/>
          <w:sz w:val="36"/>
          <w:szCs w:val="36"/>
        </w:rPr>
        <w:t>Evidence from</w:t>
      </w:r>
      <w:r w:rsidR="0028210D" w:rsidRPr="004E53FD">
        <w:rPr>
          <w:rFonts w:ascii="Arial" w:hAnsi="Arial" w:cs="Arial"/>
          <w:sz w:val="36"/>
          <w:szCs w:val="36"/>
        </w:rPr>
        <w:t xml:space="preserve"> Equity Offerings</w:t>
      </w:r>
    </w:p>
    <w:p w14:paraId="0215DD7E" w14:textId="77777777" w:rsidR="000B1219" w:rsidRPr="000B1219" w:rsidRDefault="000B1219" w:rsidP="000B1219">
      <w:pPr>
        <w:jc w:val="center"/>
        <w:rPr>
          <w:rFonts w:ascii="Arial" w:hAnsi="Arial" w:cs="Arial"/>
          <w:sz w:val="20"/>
          <w:szCs w:val="20"/>
        </w:rPr>
      </w:pPr>
    </w:p>
    <w:p w14:paraId="1BDEDCC1" w14:textId="77777777" w:rsidR="00AD33F2" w:rsidRPr="004E53FD" w:rsidRDefault="00AD33F2" w:rsidP="00637F6D">
      <w:pPr>
        <w:jc w:val="center"/>
        <w:rPr>
          <w:rFonts w:ascii="Arial" w:hAnsi="Arial" w:cs="Arial"/>
        </w:rPr>
      </w:pPr>
      <w:r>
        <w:rPr>
          <w:rFonts w:ascii="Arial" w:hAnsi="Arial" w:cs="Arial"/>
        </w:rPr>
        <w:t>Michael P. Clements</w:t>
      </w:r>
      <w:r w:rsidR="00637F6D">
        <w:rPr>
          <w:rFonts w:ascii="Arial" w:hAnsi="Arial" w:cs="Arial"/>
        </w:rPr>
        <w:t>*</w:t>
      </w:r>
      <w:r>
        <w:rPr>
          <w:rFonts w:ascii="Arial" w:hAnsi="Arial" w:cs="Arial"/>
        </w:rPr>
        <w:t>, Carol Padgett</w:t>
      </w:r>
      <w:r w:rsidR="00FA1D3B" w:rsidRPr="00FA1D3B">
        <w:rPr>
          <w:rFonts w:ascii="Arial" w:hAnsi="Arial" w:cs="Arial"/>
          <w:sz w:val="16"/>
          <w:szCs w:val="16"/>
          <w:vertAlign w:val="superscript"/>
        </w:rPr>
        <w:t xml:space="preserve"> </w:t>
      </w:r>
      <w:r w:rsidR="00FA1D3B" w:rsidRPr="00FA1D3B">
        <w:rPr>
          <w:rFonts w:ascii="Arial" w:hAnsi="Arial" w:cs="Arial"/>
          <w:sz w:val="40"/>
          <w:szCs w:val="40"/>
          <w:vertAlign w:val="superscript"/>
        </w:rPr>
        <w:t>ᵼ</w:t>
      </w:r>
      <w:r>
        <w:rPr>
          <w:rFonts w:ascii="Arial" w:hAnsi="Arial" w:cs="Arial"/>
        </w:rPr>
        <w:t xml:space="preserve">, </w:t>
      </w:r>
      <w:r w:rsidRPr="004E53FD">
        <w:rPr>
          <w:rFonts w:ascii="Arial" w:hAnsi="Arial" w:cs="Arial"/>
        </w:rPr>
        <w:t>Yi Hong (Tiffany) Thng</w:t>
      </w:r>
      <w:r w:rsidR="00D107C0">
        <w:rPr>
          <w:rFonts w:ascii="Arial" w:hAnsi="Arial" w:cs="Arial"/>
          <w:vertAlign w:val="superscript"/>
        </w:rPr>
        <w:t>^</w:t>
      </w:r>
    </w:p>
    <w:p w14:paraId="4FC79183" w14:textId="77777777" w:rsidR="00B50CA0" w:rsidRPr="00005D97" w:rsidRDefault="00637F6D" w:rsidP="00005D97">
      <w:pPr>
        <w:jc w:val="center"/>
        <w:rPr>
          <w:rFonts w:ascii="Arial" w:hAnsi="Arial" w:cs="Arial"/>
        </w:rPr>
      </w:pPr>
      <w:r>
        <w:rPr>
          <w:rFonts w:ascii="Arial" w:hAnsi="Arial" w:cs="Arial"/>
        </w:rPr>
        <w:t xml:space="preserve">ICMA Centre, Henley Business School, </w:t>
      </w:r>
      <w:r w:rsidRPr="00AD33F2">
        <w:rPr>
          <w:rFonts w:ascii="Arial" w:hAnsi="Arial" w:cs="Arial"/>
        </w:rPr>
        <w:t>University of Reading</w:t>
      </w:r>
      <w:r>
        <w:rPr>
          <w:rFonts w:ascii="Arial" w:hAnsi="Arial" w:cs="Arial"/>
        </w:rPr>
        <w:t>, U</w:t>
      </w:r>
      <w:r w:rsidR="00234CB0">
        <w:rPr>
          <w:rFonts w:ascii="Arial" w:hAnsi="Arial" w:cs="Arial"/>
        </w:rPr>
        <w:t>.</w:t>
      </w:r>
      <w:r>
        <w:rPr>
          <w:rFonts w:ascii="Arial" w:hAnsi="Arial" w:cs="Arial"/>
        </w:rPr>
        <w:t>K</w:t>
      </w:r>
      <w:r w:rsidR="00234CB0">
        <w:rPr>
          <w:rFonts w:ascii="Arial" w:hAnsi="Arial" w:cs="Arial"/>
        </w:rPr>
        <w:t>.</w:t>
      </w:r>
    </w:p>
    <w:p w14:paraId="193C93B1" w14:textId="77777777" w:rsidR="00250CB1" w:rsidRPr="00CA676F" w:rsidRDefault="00250CB1" w:rsidP="00CA676F">
      <w:pPr>
        <w:rPr>
          <w:rFonts w:ascii="Arial" w:hAnsi="Arial" w:cs="Arial"/>
          <w:sz w:val="16"/>
          <w:szCs w:val="16"/>
        </w:rPr>
      </w:pPr>
    </w:p>
    <w:p w14:paraId="43FA9D41" w14:textId="77777777" w:rsidR="00250CB1" w:rsidRPr="004E53FD" w:rsidRDefault="00250CB1" w:rsidP="00B50CA0">
      <w:pPr>
        <w:jc w:val="center"/>
        <w:rPr>
          <w:rFonts w:ascii="Arial" w:hAnsi="Arial" w:cs="Arial"/>
        </w:rPr>
      </w:pPr>
    </w:p>
    <w:p w14:paraId="6F65C717" w14:textId="77777777" w:rsidR="00BA7769" w:rsidRPr="000B1219" w:rsidRDefault="00AD33F2" w:rsidP="000B1219">
      <w:pPr>
        <w:jc w:val="center"/>
        <w:rPr>
          <w:rFonts w:ascii="Arial" w:hAnsi="Arial" w:cs="Arial"/>
          <w:b/>
        </w:rPr>
      </w:pPr>
      <w:r w:rsidRPr="006256C6">
        <w:rPr>
          <w:rFonts w:ascii="Arial" w:hAnsi="Arial" w:cs="Arial"/>
          <w:b/>
        </w:rPr>
        <w:t>Abstract</w:t>
      </w:r>
    </w:p>
    <w:p w14:paraId="78D67EA6" w14:textId="7FC635E5" w:rsidR="002F4A5E" w:rsidRPr="00042A92" w:rsidRDefault="00042A92" w:rsidP="002F4A5E">
      <w:pPr>
        <w:spacing w:after="0" w:line="360" w:lineRule="auto"/>
        <w:jc w:val="both"/>
        <w:rPr>
          <w:rFonts w:ascii="Arial" w:hAnsi="Arial" w:cs="Arial"/>
          <w:sz w:val="21"/>
          <w:szCs w:val="21"/>
          <w:lang w:val="en-US"/>
        </w:rPr>
      </w:pPr>
      <w:r w:rsidRPr="00042A92">
        <w:rPr>
          <w:rFonts w:ascii="Arial" w:hAnsi="Arial" w:cs="Arial"/>
          <w:sz w:val="21"/>
          <w:szCs w:val="21"/>
        </w:rPr>
        <w:t>This study examines the impact of board diversity of Initial Public Offering (IPO) and primary Seasoned Equity Offering (SEO) firms on underpricing of these issues. Using hand-collected board composition data of U.S. firms that have participated in both IPO and primary SEO markets between 1997 and 2013, we show that gender and quality of top management teams (executive and non-executive directors) influence underpricing. Previous research display mixed results when it links board diversity with short- and long-term underperformances of IPOs but little has been documented for the underpricing anomaly. This paper contributes to existing literature by tracking these IPO firms to their primary SEO to observe if board dynamics evolve after an IPO. We find evidence to suggest that, before and at IPO, gender diversity and educational background of the top management team (TMT) members influences underpricing. In particular, firms consisting of a larger proportion of female directors who are highly educated experience lesser “money left on the table”. Also, our empirical results demonstrate that having female TMT presence in boardrooms induces the extent of underpricing, with the notion of attracting more investors. However, board diversity and the education level of TMT members in the SEO markets do not appear to have such impacts. Results offer evidence that information asymmetry lessens when firms mature into the capital market.</w:t>
      </w:r>
    </w:p>
    <w:p w14:paraId="6981A75D" w14:textId="77777777" w:rsidR="00250CB1" w:rsidRDefault="00250CB1" w:rsidP="002F4A5E">
      <w:pPr>
        <w:spacing w:after="0" w:line="360" w:lineRule="auto"/>
        <w:jc w:val="both"/>
        <w:rPr>
          <w:rFonts w:ascii="Arial" w:hAnsi="Arial" w:cs="Arial"/>
          <w:lang w:val="en-US"/>
        </w:rPr>
      </w:pPr>
    </w:p>
    <w:p w14:paraId="566B9104" w14:textId="77777777" w:rsidR="00CA676F" w:rsidRDefault="00CA676F" w:rsidP="002F4A5E">
      <w:pPr>
        <w:spacing w:after="0" w:line="360" w:lineRule="auto"/>
        <w:jc w:val="both"/>
        <w:rPr>
          <w:rFonts w:ascii="Arial" w:hAnsi="Arial" w:cs="Arial"/>
          <w:lang w:val="en-US"/>
        </w:rPr>
      </w:pPr>
    </w:p>
    <w:p w14:paraId="2DFE8B8E" w14:textId="77777777" w:rsidR="00250CB1" w:rsidRPr="00250CB1" w:rsidRDefault="00250CB1" w:rsidP="002F4A5E">
      <w:pPr>
        <w:spacing w:after="0" w:line="360" w:lineRule="auto"/>
        <w:jc w:val="both"/>
        <w:rPr>
          <w:rFonts w:ascii="Arial" w:hAnsi="Arial" w:cs="Arial"/>
          <w:sz w:val="20"/>
          <w:szCs w:val="20"/>
          <w:lang w:val="en-US"/>
        </w:rPr>
      </w:pPr>
    </w:p>
    <w:p w14:paraId="45B3BF6E" w14:textId="77777777" w:rsidR="0028210D" w:rsidRPr="00250CB1" w:rsidRDefault="00AD33F2" w:rsidP="0028210D">
      <w:pPr>
        <w:rPr>
          <w:rFonts w:ascii="Arial" w:hAnsi="Arial" w:cs="Arial"/>
          <w:sz w:val="18"/>
          <w:szCs w:val="18"/>
        </w:rPr>
      </w:pPr>
      <w:r w:rsidRPr="00250CB1">
        <w:rPr>
          <w:rFonts w:ascii="Arial" w:hAnsi="Arial" w:cs="Arial"/>
          <w:sz w:val="18"/>
          <w:szCs w:val="18"/>
        </w:rPr>
        <w:t>JEL classification:</w:t>
      </w:r>
      <w:r w:rsidR="00D107C0" w:rsidRPr="00250CB1">
        <w:rPr>
          <w:rFonts w:ascii="Arial" w:hAnsi="Arial" w:cs="Arial"/>
          <w:sz w:val="18"/>
          <w:szCs w:val="18"/>
        </w:rPr>
        <w:t xml:space="preserve"> G02, </w:t>
      </w:r>
      <w:r w:rsidR="00AF5345" w:rsidRPr="00250CB1">
        <w:rPr>
          <w:rFonts w:ascii="Arial" w:hAnsi="Arial" w:cs="Arial"/>
          <w:sz w:val="18"/>
          <w:szCs w:val="18"/>
        </w:rPr>
        <w:t xml:space="preserve">G14, </w:t>
      </w:r>
      <w:r w:rsidR="00D107C0" w:rsidRPr="00250CB1">
        <w:rPr>
          <w:rFonts w:ascii="Arial" w:hAnsi="Arial" w:cs="Arial"/>
          <w:sz w:val="18"/>
          <w:szCs w:val="18"/>
        </w:rPr>
        <w:t>G32, G34</w:t>
      </w:r>
    </w:p>
    <w:p w14:paraId="1BC3B668" w14:textId="77777777" w:rsidR="00492154" w:rsidRPr="00250CB1" w:rsidRDefault="0028210D" w:rsidP="0028210D">
      <w:pPr>
        <w:rPr>
          <w:rFonts w:ascii="Arial" w:hAnsi="Arial" w:cs="Arial"/>
          <w:sz w:val="18"/>
          <w:szCs w:val="18"/>
        </w:rPr>
      </w:pPr>
      <w:r w:rsidRPr="00250CB1">
        <w:rPr>
          <w:rFonts w:ascii="Arial" w:hAnsi="Arial" w:cs="Arial"/>
          <w:sz w:val="18"/>
          <w:szCs w:val="18"/>
        </w:rPr>
        <w:t>Keywords: board composition, female directors, gender diversity, initial public offering, seasoned equity offering</w:t>
      </w:r>
    </w:p>
    <w:p w14:paraId="3E396649" w14:textId="77777777" w:rsidR="00AD33F2" w:rsidRDefault="00AD33F2" w:rsidP="0028210D">
      <w:pPr>
        <w:rPr>
          <w:rFonts w:ascii="Arial" w:hAnsi="Arial" w:cs="Arial"/>
          <w:sz w:val="16"/>
          <w:szCs w:val="16"/>
        </w:rPr>
      </w:pPr>
      <w:r w:rsidRPr="00FA1D3B">
        <w:rPr>
          <w:rFonts w:ascii="Arial" w:hAnsi="Arial" w:cs="Arial"/>
          <w:sz w:val="16"/>
          <w:szCs w:val="16"/>
        </w:rPr>
        <w:t>_________________________________</w:t>
      </w:r>
    </w:p>
    <w:p w14:paraId="2730EB5A" w14:textId="77777777" w:rsidR="00250CB1" w:rsidRDefault="00250CB1" w:rsidP="0028210D">
      <w:pPr>
        <w:rPr>
          <w:rFonts w:ascii="Arial" w:hAnsi="Arial" w:cs="Arial"/>
          <w:sz w:val="16"/>
          <w:szCs w:val="16"/>
        </w:rPr>
      </w:pPr>
      <w:bookmarkStart w:id="0" w:name="_GoBack"/>
      <w:bookmarkEnd w:id="0"/>
    </w:p>
    <w:p w14:paraId="28347F00" w14:textId="6658AD60" w:rsidR="00250CB1" w:rsidRPr="00CA676F" w:rsidRDefault="00707C65" w:rsidP="0028210D">
      <w:pPr>
        <w:rPr>
          <w:rFonts w:ascii="Arial" w:hAnsi="Arial" w:cs="Arial"/>
          <w:sz w:val="36"/>
          <w:szCs w:val="36"/>
        </w:rPr>
      </w:pPr>
      <w:r>
        <w:rPr>
          <w:rFonts w:ascii="Arial" w:hAnsi="Arial" w:cs="Arial"/>
          <w:sz w:val="36"/>
          <w:szCs w:val="36"/>
        </w:rPr>
        <w:lastRenderedPageBreak/>
        <w:t>Authors’ autobiography</w:t>
      </w:r>
    </w:p>
    <w:p w14:paraId="00F8F2A7" w14:textId="77777777" w:rsidR="00250CB1" w:rsidRPr="00CA676F" w:rsidRDefault="00250CB1" w:rsidP="0028210D">
      <w:pPr>
        <w:rPr>
          <w:rFonts w:ascii="Arial" w:hAnsi="Arial" w:cs="Arial"/>
          <w:sz w:val="24"/>
          <w:szCs w:val="24"/>
        </w:rPr>
      </w:pPr>
    </w:p>
    <w:p w14:paraId="3B15C255" w14:textId="5C52D2BE" w:rsidR="00AD33F2" w:rsidRDefault="00AD33F2" w:rsidP="00CA676F">
      <w:pPr>
        <w:autoSpaceDE w:val="0"/>
        <w:autoSpaceDN w:val="0"/>
        <w:adjustRightInd w:val="0"/>
        <w:spacing w:after="0" w:line="240" w:lineRule="auto"/>
        <w:rPr>
          <w:rFonts w:ascii="Arial" w:hAnsi="Arial" w:cs="Arial"/>
          <w:sz w:val="24"/>
          <w:szCs w:val="24"/>
        </w:rPr>
      </w:pPr>
      <w:r w:rsidRPr="00CA676F">
        <w:rPr>
          <w:rFonts w:ascii="Arial" w:hAnsi="Arial" w:cs="Arial"/>
          <w:sz w:val="24"/>
          <w:szCs w:val="24"/>
        </w:rPr>
        <w:t>*</w:t>
      </w:r>
      <w:r w:rsidR="00637F6D" w:rsidRPr="00CA676F">
        <w:rPr>
          <w:rFonts w:ascii="Arial" w:hAnsi="Arial" w:cs="Arial"/>
          <w:sz w:val="24"/>
          <w:szCs w:val="24"/>
        </w:rPr>
        <w:t xml:space="preserve"> Michael Clements is Professor of Econometrics at the ICMA Centre, Henley Business School, University of Reading, and a member of the Institute for New Economic Thinking at the Oxford Martin School, University of Oxford. Email: </w:t>
      </w:r>
      <w:hyperlink r:id="rId8" w:history="1">
        <w:r w:rsidR="00CA676F" w:rsidRPr="008D7E76">
          <w:rPr>
            <w:rStyle w:val="Hyperlink"/>
            <w:rFonts w:ascii="Arial" w:hAnsi="Arial" w:cs="Arial"/>
            <w:sz w:val="24"/>
            <w:szCs w:val="24"/>
          </w:rPr>
          <w:t>m.p.clements@icmacentre.ac.uk</w:t>
        </w:r>
      </w:hyperlink>
      <w:r w:rsidR="00637F6D" w:rsidRPr="00CA676F">
        <w:rPr>
          <w:rFonts w:ascii="Arial" w:hAnsi="Arial" w:cs="Arial"/>
          <w:sz w:val="24"/>
          <w:szCs w:val="24"/>
        </w:rPr>
        <w:t>.</w:t>
      </w:r>
    </w:p>
    <w:p w14:paraId="003D590D" w14:textId="77777777" w:rsidR="00CA676F" w:rsidRPr="00CA676F" w:rsidRDefault="00CA676F" w:rsidP="00CA676F">
      <w:pPr>
        <w:autoSpaceDE w:val="0"/>
        <w:autoSpaceDN w:val="0"/>
        <w:adjustRightInd w:val="0"/>
        <w:spacing w:after="0" w:line="240" w:lineRule="auto"/>
        <w:rPr>
          <w:rFonts w:ascii="Arial" w:hAnsi="Arial" w:cs="Arial"/>
          <w:sz w:val="24"/>
          <w:szCs w:val="24"/>
        </w:rPr>
      </w:pPr>
    </w:p>
    <w:p w14:paraId="4CCCF91D" w14:textId="226B150C" w:rsidR="00504F5E" w:rsidRDefault="00AD33F2" w:rsidP="00CA676F">
      <w:pPr>
        <w:autoSpaceDE w:val="0"/>
        <w:autoSpaceDN w:val="0"/>
        <w:adjustRightInd w:val="0"/>
        <w:spacing w:after="0" w:line="240" w:lineRule="auto"/>
        <w:rPr>
          <w:rFonts w:ascii="Arial" w:hAnsi="Arial" w:cs="Arial"/>
          <w:sz w:val="24"/>
          <w:szCs w:val="24"/>
        </w:rPr>
      </w:pPr>
      <w:r w:rsidRPr="00CA676F">
        <w:rPr>
          <w:rFonts w:ascii="Arial" w:hAnsi="Arial" w:cs="Arial"/>
          <w:sz w:val="24"/>
          <w:szCs w:val="24"/>
          <w:vertAlign w:val="superscript"/>
        </w:rPr>
        <w:t>ᵼ</w:t>
      </w:r>
      <w:r w:rsidR="00637F6D" w:rsidRPr="00CA676F">
        <w:rPr>
          <w:rFonts w:ascii="Arial" w:hAnsi="Arial" w:cs="Arial"/>
          <w:sz w:val="24"/>
          <w:szCs w:val="24"/>
        </w:rPr>
        <w:t xml:space="preserve">Carol Padgett is </w:t>
      </w:r>
      <w:r w:rsidR="00D107C0" w:rsidRPr="00CA676F">
        <w:rPr>
          <w:rFonts w:ascii="Arial" w:hAnsi="Arial" w:cs="Arial"/>
          <w:sz w:val="24"/>
          <w:szCs w:val="24"/>
        </w:rPr>
        <w:t>a Senior Lecturer</w:t>
      </w:r>
      <w:r w:rsidR="00637F6D" w:rsidRPr="00CA676F">
        <w:rPr>
          <w:rFonts w:ascii="Arial" w:hAnsi="Arial" w:cs="Arial"/>
          <w:sz w:val="24"/>
          <w:szCs w:val="24"/>
        </w:rPr>
        <w:t xml:space="preserve"> at the ICMA</w:t>
      </w:r>
      <w:r w:rsidR="00492154" w:rsidRPr="00CA676F">
        <w:rPr>
          <w:rFonts w:ascii="Arial" w:hAnsi="Arial" w:cs="Arial"/>
          <w:sz w:val="24"/>
          <w:szCs w:val="24"/>
        </w:rPr>
        <w:t xml:space="preserve"> Centre, Henley Business School,</w:t>
      </w:r>
      <w:r w:rsidR="00637F6D" w:rsidRPr="00CA676F">
        <w:rPr>
          <w:rFonts w:ascii="Arial" w:hAnsi="Arial" w:cs="Arial"/>
          <w:sz w:val="24"/>
          <w:szCs w:val="24"/>
        </w:rPr>
        <w:t xml:space="preserve"> University of Reading, U.K. Email: </w:t>
      </w:r>
      <w:hyperlink r:id="rId9" w:history="1">
        <w:r w:rsidR="00CA676F" w:rsidRPr="008D7E76">
          <w:rPr>
            <w:rStyle w:val="Hyperlink"/>
            <w:rFonts w:ascii="Arial" w:hAnsi="Arial" w:cs="Arial"/>
            <w:sz w:val="24"/>
            <w:szCs w:val="24"/>
          </w:rPr>
          <w:t>c.padgett@icmacentre.ac.uk</w:t>
        </w:r>
      </w:hyperlink>
      <w:r w:rsidR="00D107C0" w:rsidRPr="00CA676F">
        <w:rPr>
          <w:rFonts w:ascii="Arial" w:hAnsi="Arial" w:cs="Arial"/>
          <w:sz w:val="24"/>
          <w:szCs w:val="24"/>
        </w:rPr>
        <w:t>.</w:t>
      </w:r>
    </w:p>
    <w:p w14:paraId="706B9FC8" w14:textId="77777777" w:rsidR="00CA676F" w:rsidRPr="00CA676F" w:rsidRDefault="00CA676F" w:rsidP="00CA676F">
      <w:pPr>
        <w:autoSpaceDE w:val="0"/>
        <w:autoSpaceDN w:val="0"/>
        <w:adjustRightInd w:val="0"/>
        <w:spacing w:after="0" w:line="240" w:lineRule="auto"/>
        <w:rPr>
          <w:rFonts w:ascii="Arial" w:hAnsi="Arial" w:cs="Arial"/>
          <w:sz w:val="24"/>
          <w:szCs w:val="24"/>
        </w:rPr>
      </w:pPr>
    </w:p>
    <w:p w14:paraId="6E7DBD40" w14:textId="56E34095" w:rsidR="00B50CA0" w:rsidRDefault="00D107C0" w:rsidP="00CA676F">
      <w:pPr>
        <w:autoSpaceDE w:val="0"/>
        <w:autoSpaceDN w:val="0"/>
        <w:adjustRightInd w:val="0"/>
        <w:spacing w:after="0" w:line="240" w:lineRule="auto"/>
        <w:rPr>
          <w:rFonts w:ascii="Arial" w:hAnsi="Arial" w:cs="Arial"/>
          <w:sz w:val="24"/>
          <w:szCs w:val="24"/>
        </w:rPr>
      </w:pPr>
      <w:r w:rsidRPr="00CA676F">
        <w:rPr>
          <w:rFonts w:ascii="Arial" w:hAnsi="Arial" w:cs="Arial"/>
          <w:sz w:val="24"/>
          <w:szCs w:val="24"/>
          <w:vertAlign w:val="superscript"/>
        </w:rPr>
        <w:t>^</w:t>
      </w:r>
      <w:r w:rsidRPr="00CA676F">
        <w:rPr>
          <w:rFonts w:ascii="Arial" w:hAnsi="Arial" w:cs="Arial"/>
          <w:sz w:val="24"/>
          <w:szCs w:val="24"/>
        </w:rPr>
        <w:t xml:space="preserve">Tiffany Thng is a Ph.D. Candidate at the ICMA Centre, Henley Business School, University of Reading, U.K. Email: </w:t>
      </w:r>
      <w:hyperlink r:id="rId10" w:history="1">
        <w:r w:rsidR="00CA676F" w:rsidRPr="008D7E76">
          <w:rPr>
            <w:rStyle w:val="Hyperlink"/>
            <w:rFonts w:ascii="Arial" w:hAnsi="Arial" w:cs="Arial"/>
            <w:sz w:val="24"/>
            <w:szCs w:val="24"/>
          </w:rPr>
          <w:t>y.h.thng@pgr.icmacentre.ac.</w:t>
        </w:r>
        <w:r w:rsidR="00CA676F" w:rsidRPr="008D7E76">
          <w:rPr>
            <w:rStyle w:val="Hyperlink"/>
            <w:rFonts w:ascii="Arial" w:hAnsi="Arial" w:cs="Arial"/>
            <w:sz w:val="24"/>
            <w:szCs w:val="24"/>
            <w:lang w:val="en-US"/>
          </w:rPr>
          <w:t>uk</w:t>
        </w:r>
      </w:hyperlink>
      <w:r w:rsidR="00390EFF" w:rsidRPr="00CA676F">
        <w:rPr>
          <w:rFonts w:ascii="Arial" w:hAnsi="Arial" w:cs="Arial"/>
          <w:sz w:val="24"/>
          <w:szCs w:val="24"/>
        </w:rPr>
        <w:t>.</w:t>
      </w:r>
    </w:p>
    <w:p w14:paraId="011342EF" w14:textId="77777777" w:rsidR="00CA676F" w:rsidRPr="00CA676F" w:rsidRDefault="00CA676F" w:rsidP="00CA676F">
      <w:pPr>
        <w:autoSpaceDE w:val="0"/>
        <w:autoSpaceDN w:val="0"/>
        <w:adjustRightInd w:val="0"/>
        <w:spacing w:after="0" w:line="240" w:lineRule="auto"/>
        <w:rPr>
          <w:rFonts w:ascii="Arial" w:hAnsi="Arial" w:cs="Arial"/>
          <w:sz w:val="24"/>
          <w:szCs w:val="24"/>
        </w:rPr>
      </w:pPr>
    </w:p>
    <w:sectPr w:rsidR="00CA676F" w:rsidRPr="00CA676F" w:rsidSect="0098352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8D708F" w14:textId="77777777" w:rsidR="00E55A40" w:rsidRDefault="00E55A40" w:rsidP="00093974">
      <w:pPr>
        <w:spacing w:after="0" w:line="240" w:lineRule="auto"/>
      </w:pPr>
      <w:r>
        <w:separator/>
      </w:r>
    </w:p>
  </w:endnote>
  <w:endnote w:type="continuationSeparator" w:id="0">
    <w:p w14:paraId="57E8866A" w14:textId="77777777" w:rsidR="00E55A40" w:rsidRDefault="00E55A40" w:rsidP="00093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455F39" w14:textId="77777777" w:rsidR="00E55A40" w:rsidRDefault="00E55A40" w:rsidP="00093974">
      <w:pPr>
        <w:spacing w:after="0" w:line="240" w:lineRule="auto"/>
      </w:pPr>
      <w:r>
        <w:separator/>
      </w:r>
    </w:p>
  </w:footnote>
  <w:footnote w:type="continuationSeparator" w:id="0">
    <w:p w14:paraId="525553DE" w14:textId="77777777" w:rsidR="00E55A40" w:rsidRDefault="00E55A40" w:rsidP="000939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916EA"/>
    <w:multiLevelType w:val="multilevel"/>
    <w:tmpl w:val="811CA9B8"/>
    <w:lvl w:ilvl="0">
      <w:start w:val="2"/>
      <w:numFmt w:val="decimal"/>
      <w:lvlText w:val="%1."/>
      <w:lvlJc w:val="left"/>
      <w:pPr>
        <w:ind w:left="585" w:hanging="58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 w15:restartNumberingAfterBreak="0">
    <w:nsid w:val="07ED2CF6"/>
    <w:multiLevelType w:val="multilevel"/>
    <w:tmpl w:val="2482F966"/>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ED8030C"/>
    <w:multiLevelType w:val="multilevel"/>
    <w:tmpl w:val="44C4A2E0"/>
    <w:lvl w:ilvl="0">
      <w:start w:val="5"/>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9C5165C"/>
    <w:multiLevelType w:val="hybridMultilevel"/>
    <w:tmpl w:val="EF24FF3E"/>
    <w:lvl w:ilvl="0" w:tplc="9738D42A">
      <w:start w:val="1"/>
      <w:numFmt w:val="upp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B8A657A"/>
    <w:multiLevelType w:val="multilevel"/>
    <w:tmpl w:val="CBA0737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404843F4"/>
    <w:multiLevelType w:val="hybridMultilevel"/>
    <w:tmpl w:val="51CA3E70"/>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2C0E2D"/>
    <w:multiLevelType w:val="multilevel"/>
    <w:tmpl w:val="ED86BE90"/>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54D5EA8"/>
    <w:multiLevelType w:val="hybridMultilevel"/>
    <w:tmpl w:val="D8B88A8A"/>
    <w:lvl w:ilvl="0" w:tplc="62000B96">
      <w:start w:val="25"/>
      <w:numFmt w:val="bullet"/>
      <w:lvlText w:val=""/>
      <w:lvlJc w:val="left"/>
      <w:pPr>
        <w:ind w:left="1080" w:hanging="360"/>
      </w:pPr>
      <w:rPr>
        <w:rFonts w:ascii="Symbol" w:eastAsiaTheme="minorHAnsi" w:hAnsi="Symbo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5D7C2CFD"/>
    <w:multiLevelType w:val="hybridMultilevel"/>
    <w:tmpl w:val="1554BB5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F45E8A"/>
    <w:multiLevelType w:val="multilevel"/>
    <w:tmpl w:val="17FA41B0"/>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6"/>
  </w:num>
  <w:num w:numId="2">
    <w:abstractNumId w:val="4"/>
  </w:num>
  <w:num w:numId="3">
    <w:abstractNumId w:val="3"/>
  </w:num>
  <w:num w:numId="4">
    <w:abstractNumId w:val="5"/>
  </w:num>
  <w:num w:numId="5">
    <w:abstractNumId w:val="8"/>
  </w:num>
  <w:num w:numId="6">
    <w:abstractNumId w:val="9"/>
  </w:num>
  <w:num w:numId="7">
    <w:abstractNumId w:val="2"/>
  </w:num>
  <w:num w:numId="8">
    <w:abstractNumId w:val="0"/>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092"/>
    <w:rsid w:val="00005D97"/>
    <w:rsid w:val="00011455"/>
    <w:rsid w:val="00030642"/>
    <w:rsid w:val="00042A92"/>
    <w:rsid w:val="000477B1"/>
    <w:rsid w:val="00051B90"/>
    <w:rsid w:val="000715D8"/>
    <w:rsid w:val="00093974"/>
    <w:rsid w:val="000B1219"/>
    <w:rsid w:val="000C052C"/>
    <w:rsid w:val="000D3C60"/>
    <w:rsid w:val="00113896"/>
    <w:rsid w:val="00195D33"/>
    <w:rsid w:val="001D2792"/>
    <w:rsid w:val="00201129"/>
    <w:rsid w:val="002100FB"/>
    <w:rsid w:val="00234CB0"/>
    <w:rsid w:val="00250CB1"/>
    <w:rsid w:val="0025207C"/>
    <w:rsid w:val="0028210D"/>
    <w:rsid w:val="002E6850"/>
    <w:rsid w:val="002F19B0"/>
    <w:rsid w:val="002F4A5E"/>
    <w:rsid w:val="0032127C"/>
    <w:rsid w:val="0036051A"/>
    <w:rsid w:val="00390EFF"/>
    <w:rsid w:val="003913B4"/>
    <w:rsid w:val="00396EA9"/>
    <w:rsid w:val="0040404E"/>
    <w:rsid w:val="00417874"/>
    <w:rsid w:val="0047014D"/>
    <w:rsid w:val="00492154"/>
    <w:rsid w:val="004C2AF6"/>
    <w:rsid w:val="004E53FD"/>
    <w:rsid w:val="0050308E"/>
    <w:rsid w:val="00504F5E"/>
    <w:rsid w:val="00516A76"/>
    <w:rsid w:val="00533C23"/>
    <w:rsid w:val="00534A43"/>
    <w:rsid w:val="0057464A"/>
    <w:rsid w:val="005B69C6"/>
    <w:rsid w:val="005C772B"/>
    <w:rsid w:val="005E6B79"/>
    <w:rsid w:val="006256C6"/>
    <w:rsid w:val="00637F6D"/>
    <w:rsid w:val="00671CFA"/>
    <w:rsid w:val="00677874"/>
    <w:rsid w:val="00692B61"/>
    <w:rsid w:val="006B40C3"/>
    <w:rsid w:val="006D1C3A"/>
    <w:rsid w:val="00707C65"/>
    <w:rsid w:val="00726949"/>
    <w:rsid w:val="0079416C"/>
    <w:rsid w:val="007B5B3A"/>
    <w:rsid w:val="00982092"/>
    <w:rsid w:val="00983529"/>
    <w:rsid w:val="00996EC0"/>
    <w:rsid w:val="009C7C22"/>
    <w:rsid w:val="009D4684"/>
    <w:rsid w:val="00A22757"/>
    <w:rsid w:val="00AD33F2"/>
    <w:rsid w:val="00AF3CE2"/>
    <w:rsid w:val="00AF5345"/>
    <w:rsid w:val="00B50CA0"/>
    <w:rsid w:val="00BA4618"/>
    <w:rsid w:val="00BA7769"/>
    <w:rsid w:val="00C02E19"/>
    <w:rsid w:val="00C54BE1"/>
    <w:rsid w:val="00C66FF7"/>
    <w:rsid w:val="00C95822"/>
    <w:rsid w:val="00CA676F"/>
    <w:rsid w:val="00D107C0"/>
    <w:rsid w:val="00D473F5"/>
    <w:rsid w:val="00D6703A"/>
    <w:rsid w:val="00D84BE5"/>
    <w:rsid w:val="00E53E7A"/>
    <w:rsid w:val="00E55A40"/>
    <w:rsid w:val="00E63BD8"/>
    <w:rsid w:val="00EA31F7"/>
    <w:rsid w:val="00F00968"/>
    <w:rsid w:val="00FA1D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D2CF8"/>
  <w15:chartTrackingRefBased/>
  <w15:docId w15:val="{25DEEDC1-331A-4DA0-9839-13A0BD9A4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210D"/>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504F5E"/>
    <w:pPr>
      <w:spacing w:after="0" w:line="240" w:lineRule="auto"/>
      <w:ind w:left="720"/>
      <w:contextualSpacing/>
    </w:pPr>
    <w:rPr>
      <w:rFonts w:eastAsiaTheme="minorEastAsia"/>
      <w:sz w:val="24"/>
      <w:szCs w:val="24"/>
      <w:lang w:val="en-US"/>
    </w:rPr>
  </w:style>
  <w:style w:type="paragraph" w:styleId="NoSpacing">
    <w:name w:val="No Spacing"/>
    <w:uiPriority w:val="1"/>
    <w:qFormat/>
    <w:rsid w:val="00F00968"/>
    <w:pPr>
      <w:spacing w:after="0" w:line="240" w:lineRule="auto"/>
    </w:pPr>
  </w:style>
  <w:style w:type="table" w:styleId="TableGrid">
    <w:name w:val="Table Grid"/>
    <w:basedOn w:val="TableNormal"/>
    <w:uiPriority w:val="39"/>
    <w:rsid w:val="00F009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00968"/>
    <w:rPr>
      <w:color w:val="808080"/>
    </w:rPr>
  </w:style>
  <w:style w:type="paragraph" w:styleId="BalloonText">
    <w:name w:val="Balloon Text"/>
    <w:basedOn w:val="Normal"/>
    <w:link w:val="BalloonTextChar"/>
    <w:uiPriority w:val="99"/>
    <w:semiHidden/>
    <w:unhideWhenUsed/>
    <w:rsid w:val="00F0096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00968"/>
    <w:rPr>
      <w:rFonts w:ascii="Lucida Grande" w:hAnsi="Lucida Grande" w:cs="Lucida Grande"/>
      <w:sz w:val="18"/>
      <w:szCs w:val="18"/>
    </w:rPr>
  </w:style>
  <w:style w:type="character" w:styleId="Hyperlink">
    <w:name w:val="Hyperlink"/>
    <w:basedOn w:val="DefaultParagraphFont"/>
    <w:uiPriority w:val="99"/>
    <w:unhideWhenUsed/>
    <w:rsid w:val="00D107C0"/>
    <w:rPr>
      <w:color w:val="0563C1" w:themeColor="hyperlink"/>
      <w:u w:val="single"/>
    </w:rPr>
  </w:style>
  <w:style w:type="paragraph" w:styleId="Header">
    <w:name w:val="header"/>
    <w:basedOn w:val="Normal"/>
    <w:link w:val="HeaderChar"/>
    <w:uiPriority w:val="99"/>
    <w:unhideWhenUsed/>
    <w:rsid w:val="000939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3974"/>
  </w:style>
  <w:style w:type="paragraph" w:styleId="Footer">
    <w:name w:val="footer"/>
    <w:basedOn w:val="Normal"/>
    <w:link w:val="FooterChar"/>
    <w:uiPriority w:val="99"/>
    <w:unhideWhenUsed/>
    <w:rsid w:val="000939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39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p.clements@icmacentre.ac.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y.h.thng@pgr.icmacentre.ac.uk" TargetMode="External"/><Relationship Id="rId4" Type="http://schemas.openxmlformats.org/officeDocument/2006/relationships/settings" Target="settings.xml"/><Relationship Id="rId9" Type="http://schemas.openxmlformats.org/officeDocument/2006/relationships/hyperlink" Target="mailto:c.padgett@icmacentre.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40FF6-F542-41BC-A022-8E8EAB366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2191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2570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 Hong Thng</dc:creator>
  <cp:keywords/>
  <dc:description/>
  <cp:lastModifiedBy>Yi Hong Thng</cp:lastModifiedBy>
  <cp:revision>2</cp:revision>
  <dcterms:created xsi:type="dcterms:W3CDTF">2016-05-09T17:29:00Z</dcterms:created>
  <dcterms:modified xsi:type="dcterms:W3CDTF">2016-05-09T17:29:00Z</dcterms:modified>
</cp:coreProperties>
</file>