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466" w:rsidRPr="00AA492F" w:rsidRDefault="00D06466" w:rsidP="00D5686B">
      <w:pPr>
        <w:jc w:val="center"/>
        <w:rPr>
          <w:b/>
          <w:sz w:val="22"/>
        </w:rPr>
      </w:pPr>
      <w:r w:rsidRPr="00AA492F">
        <w:rPr>
          <w:b/>
          <w:sz w:val="22"/>
        </w:rPr>
        <w:t>Organi</w:t>
      </w:r>
      <w:r w:rsidR="009E1248" w:rsidRPr="00AA492F">
        <w:rPr>
          <w:b/>
          <w:sz w:val="22"/>
        </w:rPr>
        <w:t>z</w:t>
      </w:r>
      <w:r w:rsidRPr="00AA492F">
        <w:rPr>
          <w:b/>
          <w:sz w:val="22"/>
        </w:rPr>
        <w:t>ing an entrepreneurial career within knowledge based industries</w:t>
      </w:r>
    </w:p>
    <w:p w:rsidR="00637936" w:rsidRPr="00AA492F" w:rsidRDefault="00D06466" w:rsidP="00B26D96">
      <w:pPr>
        <w:spacing w:before="240" w:line="360" w:lineRule="auto"/>
        <w:jc w:val="both"/>
        <w:rPr>
          <w:sz w:val="22"/>
        </w:rPr>
      </w:pPr>
      <w:r w:rsidRPr="00AA492F">
        <w:rPr>
          <w:sz w:val="22"/>
        </w:rPr>
        <w:t>Knowledge work is often ambiguous, subjective, abstract and context-dependent (Alvesson, 1993; Morris, 2001; Swart, 2007)</w:t>
      </w:r>
      <w:r w:rsidR="00003170">
        <w:rPr>
          <w:sz w:val="22"/>
        </w:rPr>
        <w:t>.</w:t>
      </w:r>
      <w:r w:rsidRPr="00AA492F">
        <w:rPr>
          <w:sz w:val="22"/>
        </w:rPr>
        <w:t xml:space="preserve"> This ambiguity affects both clients’ assessments of </w:t>
      </w:r>
      <w:r w:rsidR="00637936" w:rsidRPr="00AA492F">
        <w:rPr>
          <w:sz w:val="22"/>
        </w:rPr>
        <w:t xml:space="preserve">services bought </w:t>
      </w:r>
      <w:r w:rsidRPr="00AA492F">
        <w:rPr>
          <w:sz w:val="22"/>
        </w:rPr>
        <w:t xml:space="preserve">and knowledge workers’ acquisition of the knowledge and skills they sell. </w:t>
      </w:r>
      <w:r w:rsidR="00003170">
        <w:rPr>
          <w:sz w:val="22"/>
        </w:rPr>
        <w:t>T</w:t>
      </w:r>
      <w:r w:rsidRPr="00AA492F">
        <w:rPr>
          <w:sz w:val="22"/>
        </w:rPr>
        <w:t xml:space="preserve">he individual </w:t>
      </w:r>
      <w:r w:rsidR="00B26D96" w:rsidRPr="00AA492F">
        <w:rPr>
          <w:sz w:val="22"/>
        </w:rPr>
        <w:t xml:space="preserve">knowledge worker </w:t>
      </w:r>
      <w:r w:rsidR="00637936" w:rsidRPr="00AA492F">
        <w:rPr>
          <w:sz w:val="22"/>
        </w:rPr>
        <w:t xml:space="preserve">must </w:t>
      </w:r>
      <w:r w:rsidRPr="00AA492F">
        <w:rPr>
          <w:sz w:val="22"/>
        </w:rPr>
        <w:t xml:space="preserve">determine what they need to know (Gann and Salter, 2000; Grabher, 2002a) and the purchaser </w:t>
      </w:r>
      <w:r w:rsidR="00637936" w:rsidRPr="00AA492F">
        <w:rPr>
          <w:sz w:val="22"/>
        </w:rPr>
        <w:t xml:space="preserve">must </w:t>
      </w:r>
      <w:r w:rsidRPr="00AA492F">
        <w:rPr>
          <w:sz w:val="22"/>
        </w:rPr>
        <w:t>develop method</w:t>
      </w:r>
      <w:r w:rsidR="00637936" w:rsidRPr="00AA492F">
        <w:rPr>
          <w:sz w:val="22"/>
        </w:rPr>
        <w:t>s</w:t>
      </w:r>
      <w:r w:rsidRPr="00AA492F">
        <w:rPr>
          <w:sz w:val="22"/>
        </w:rPr>
        <w:t xml:space="preserve"> for determining who to employ, with both sides</w:t>
      </w:r>
      <w:r w:rsidR="00637936" w:rsidRPr="00AA492F">
        <w:rPr>
          <w:sz w:val="22"/>
        </w:rPr>
        <w:t>’ decisions</w:t>
      </w:r>
      <w:r w:rsidRPr="00AA492F">
        <w:rPr>
          <w:sz w:val="22"/>
        </w:rPr>
        <w:t xml:space="preserve"> often </w:t>
      </w:r>
      <w:r w:rsidR="00637936" w:rsidRPr="00AA492F">
        <w:rPr>
          <w:sz w:val="22"/>
        </w:rPr>
        <w:t>informed by e</w:t>
      </w:r>
      <w:r w:rsidRPr="00AA492F">
        <w:rPr>
          <w:sz w:val="22"/>
        </w:rPr>
        <w:t xml:space="preserve">xisting relationships (Baumann, 2002; Grabher, 2002a; Tymon and Stumpf, 2003). Given the informality or “looseness” of these mechanisms, contractors </w:t>
      </w:r>
      <w:r w:rsidR="00637936" w:rsidRPr="00AA492F">
        <w:rPr>
          <w:sz w:val="22"/>
        </w:rPr>
        <w:t xml:space="preserve">must </w:t>
      </w:r>
      <w:r w:rsidRPr="00AA492F">
        <w:rPr>
          <w:sz w:val="22"/>
        </w:rPr>
        <w:t>cultivate extensive networks of different and related associates to manage their careers effectively. These</w:t>
      </w:r>
      <w:r w:rsidRPr="00AA492F">
        <w:rPr>
          <w:sz w:val="22"/>
          <w:lang w:val="en-GB"/>
        </w:rPr>
        <w:t xml:space="preserve"> occupational communities or ‘cliques’, which are</w:t>
      </w:r>
      <w:r w:rsidRPr="00AA492F">
        <w:rPr>
          <w:sz w:val="22"/>
        </w:rPr>
        <w:t xml:space="preserve"> often formed through professional relationships across various types of organi</w:t>
      </w:r>
      <w:r w:rsidR="009E1248" w:rsidRPr="00AA492F">
        <w:rPr>
          <w:sz w:val="22"/>
        </w:rPr>
        <w:t>z</w:t>
      </w:r>
      <w:r w:rsidRPr="00AA492F">
        <w:rPr>
          <w:sz w:val="22"/>
        </w:rPr>
        <w:t>ations, provide access to information and work opportunities (Kunda et al, 2002;</w:t>
      </w:r>
      <w:r w:rsidRPr="00AA492F">
        <w:rPr>
          <w:sz w:val="22"/>
          <w:lang w:val="en-GB"/>
        </w:rPr>
        <w:t xml:space="preserve"> Barley and Kunda, 2004; Antcliff, et al, 2007) and </w:t>
      </w:r>
      <w:r w:rsidRPr="00AA492F">
        <w:rPr>
          <w:sz w:val="22"/>
        </w:rPr>
        <w:t xml:space="preserve">play an important role in skills acquisition (Adams and Demaiter, 2008). In summary, experts must </w:t>
      </w:r>
      <w:r w:rsidR="00637936" w:rsidRPr="00AA492F">
        <w:rPr>
          <w:sz w:val="22"/>
        </w:rPr>
        <w:t xml:space="preserve">acquire </w:t>
      </w:r>
      <w:r w:rsidRPr="00AA492F">
        <w:rPr>
          <w:sz w:val="22"/>
        </w:rPr>
        <w:t>the tacit knowledge of their field (Lam, 2000), and in these circumstances, processes of enculturation are important (Grabher, 2002b) because agents must become “insiders” by picking up the norms, conventions, language and other signifiers of members</w:t>
      </w:r>
      <w:r w:rsidR="00637936" w:rsidRPr="00AA492F">
        <w:rPr>
          <w:sz w:val="22"/>
        </w:rPr>
        <w:t>hip (Barrett, 1998).</w:t>
      </w:r>
      <w:r w:rsidR="00003170">
        <w:rPr>
          <w:sz w:val="22"/>
        </w:rPr>
        <w:t xml:space="preserve"> What does a predominance of informal, network-based allocation of opportunities mean for those who are traditionally excluded from the ‘right’ occupational communities?</w:t>
      </w:r>
    </w:p>
    <w:p w:rsidR="00D06466" w:rsidRPr="00AA492F" w:rsidRDefault="00D06466" w:rsidP="00B26D96">
      <w:pPr>
        <w:spacing w:before="240" w:line="360" w:lineRule="auto"/>
        <w:jc w:val="both"/>
        <w:rPr>
          <w:sz w:val="22"/>
          <w:lang w:val="en-GB"/>
        </w:rPr>
      </w:pPr>
      <w:r w:rsidRPr="00AA492F">
        <w:rPr>
          <w:sz w:val="22"/>
          <w:lang w:val="en-GB"/>
        </w:rPr>
        <w:t xml:space="preserve">Formal </w:t>
      </w:r>
      <w:r w:rsidRPr="00AA492F">
        <w:rPr>
          <w:sz w:val="22"/>
        </w:rPr>
        <w:t xml:space="preserve">equal opportunities procedures, which may increase the opportunities available to marginalized groups, </w:t>
      </w:r>
      <w:r w:rsidR="00637936" w:rsidRPr="00AA492F">
        <w:rPr>
          <w:sz w:val="22"/>
        </w:rPr>
        <w:t xml:space="preserve">may make little difference </w:t>
      </w:r>
      <w:r w:rsidRPr="00AA492F">
        <w:rPr>
          <w:sz w:val="22"/>
        </w:rPr>
        <w:t>when informal</w:t>
      </w:r>
      <w:r w:rsidR="00637936" w:rsidRPr="00AA492F">
        <w:rPr>
          <w:sz w:val="22"/>
        </w:rPr>
        <w:t>ity</w:t>
      </w:r>
      <w:r w:rsidRPr="00AA492F">
        <w:rPr>
          <w:sz w:val="22"/>
        </w:rPr>
        <w:t xml:space="preserve"> </w:t>
      </w:r>
      <w:r w:rsidR="00637936" w:rsidRPr="00AA492F">
        <w:rPr>
          <w:sz w:val="22"/>
        </w:rPr>
        <w:t xml:space="preserve">governs an occupation </w:t>
      </w:r>
      <w:r w:rsidRPr="00AA492F">
        <w:rPr>
          <w:sz w:val="22"/>
        </w:rPr>
        <w:t xml:space="preserve">(Holgate and McKay, 2007). Furthermore, activities that promote the development of cliques amongst more marginal groups may only serve to further embed disadvantage (Bates, 1997). </w:t>
      </w:r>
      <w:r w:rsidRPr="00AA492F">
        <w:rPr>
          <w:sz w:val="22"/>
          <w:lang w:val="en-GB"/>
        </w:rPr>
        <w:t xml:space="preserve">Similarly, whilst positive benefits have been associated with general business support activities for minority groups, problems </w:t>
      </w:r>
      <w:r w:rsidR="009E1248" w:rsidRPr="00AA492F">
        <w:rPr>
          <w:sz w:val="22"/>
          <w:lang w:val="en-GB"/>
        </w:rPr>
        <w:t>remain including</w:t>
      </w:r>
      <w:r w:rsidRPr="00AA492F">
        <w:rPr>
          <w:sz w:val="22"/>
          <w:lang w:val="en-GB"/>
        </w:rPr>
        <w:t xml:space="preserve"> skewed membership and ineffective support for new entrants (Fallo</w:t>
      </w:r>
      <w:r w:rsidR="009E1248" w:rsidRPr="00AA492F">
        <w:rPr>
          <w:sz w:val="22"/>
          <w:lang w:val="en-GB"/>
        </w:rPr>
        <w:t>n and Berman Brown, 2004).</w:t>
      </w:r>
    </w:p>
    <w:p w:rsidR="0023008A" w:rsidRPr="00AA492F" w:rsidRDefault="00D06466" w:rsidP="009E1248">
      <w:pPr>
        <w:spacing w:before="240" w:line="360" w:lineRule="auto"/>
        <w:jc w:val="both"/>
        <w:rPr>
          <w:sz w:val="22"/>
          <w:lang w:val="en-GB"/>
        </w:rPr>
      </w:pPr>
      <w:r w:rsidRPr="00AA492F">
        <w:rPr>
          <w:sz w:val="22"/>
          <w:lang w:val="en-GB"/>
        </w:rPr>
        <w:t>It seems that addressing these issues with a generic “communities” model will not overcome the problems facing specific groups, so it is necessary to identify the ‘social resource matrix’ that supports the differing needs of diverse groups in purposive ways (see Barbieri, 2003). This requires a detailed knowledge and understanding of occupational communities, the differing ways that diverse groups are embedded within them and the various levers available to policy-makers wishing to positively affect the prospects of marginal groups within these communities. This task poses numerous ontological and methodological challenges to researchers, which our presentation will consider.</w:t>
      </w:r>
    </w:p>
    <w:p w:rsidR="00AA492F" w:rsidRDefault="00AA492F">
      <w:pPr>
        <w:rPr>
          <w:b/>
          <w:lang w:val="en-GB"/>
        </w:rPr>
      </w:pPr>
      <w:r>
        <w:rPr>
          <w:b/>
          <w:lang w:val="en-GB"/>
        </w:rPr>
        <w:br w:type="page"/>
      </w:r>
    </w:p>
    <w:p w:rsidR="009E1248" w:rsidRDefault="009E1248" w:rsidP="009E1248">
      <w:pPr>
        <w:spacing w:before="240" w:line="360" w:lineRule="auto"/>
        <w:jc w:val="both"/>
        <w:rPr>
          <w:b/>
          <w:lang w:val="en-GB"/>
        </w:rPr>
      </w:pPr>
      <w:r w:rsidRPr="009E1248">
        <w:rPr>
          <w:b/>
          <w:lang w:val="en-GB"/>
        </w:rPr>
        <w:lastRenderedPageBreak/>
        <w:t>References</w:t>
      </w:r>
    </w:p>
    <w:p w:rsidR="009E1248" w:rsidRPr="00AA492F" w:rsidRDefault="009E1248" w:rsidP="00AA492F">
      <w:pPr>
        <w:ind w:left="720" w:hanging="720"/>
        <w:jc w:val="both"/>
        <w:rPr>
          <w:sz w:val="22"/>
          <w:lang w:eastAsia="en-GB"/>
        </w:rPr>
      </w:pPr>
      <w:r w:rsidRPr="00AA492F">
        <w:rPr>
          <w:sz w:val="22"/>
          <w:lang w:eastAsia="en-GB"/>
        </w:rPr>
        <w:t xml:space="preserve">Adams, T.L. and Demaiter, E.I. (2008) ‘Skill, education and credentials in the new economy: the case of information technology workers.’ </w:t>
      </w:r>
      <w:r w:rsidRPr="00AA492F">
        <w:rPr>
          <w:i/>
          <w:sz w:val="22"/>
          <w:lang w:eastAsia="en-GB"/>
        </w:rPr>
        <w:t>Work, Employment and Society</w:t>
      </w:r>
      <w:r w:rsidRPr="00AA492F">
        <w:rPr>
          <w:sz w:val="22"/>
          <w:lang w:eastAsia="en-GB"/>
        </w:rPr>
        <w:t>, 22(2):351-362.</w:t>
      </w:r>
    </w:p>
    <w:p w:rsidR="009E1248" w:rsidRPr="00AA492F" w:rsidRDefault="009E1248" w:rsidP="00AA492F">
      <w:pPr>
        <w:ind w:left="720" w:hanging="720"/>
        <w:jc w:val="both"/>
        <w:rPr>
          <w:sz w:val="22"/>
          <w:lang w:eastAsia="en-GB"/>
        </w:rPr>
      </w:pPr>
      <w:r w:rsidRPr="00AA492F">
        <w:rPr>
          <w:sz w:val="22"/>
        </w:rPr>
        <w:t xml:space="preserve">Alvesson, M. (1993). 'Organizations as rhetoric: knowledge-intensive firms and the struggle with ambiguity'. </w:t>
      </w:r>
      <w:r w:rsidRPr="00AA492F">
        <w:rPr>
          <w:i/>
          <w:sz w:val="22"/>
        </w:rPr>
        <w:t>Journal of Management Studies</w:t>
      </w:r>
      <w:r w:rsidRPr="00AA492F">
        <w:rPr>
          <w:sz w:val="22"/>
        </w:rPr>
        <w:t>, 30(6):997-1015.</w:t>
      </w:r>
    </w:p>
    <w:p w:rsidR="009E1248" w:rsidRPr="00AA492F" w:rsidRDefault="009E1248" w:rsidP="00AA492F">
      <w:pPr>
        <w:ind w:left="720" w:hanging="720"/>
        <w:jc w:val="both"/>
        <w:rPr>
          <w:sz w:val="22"/>
        </w:rPr>
      </w:pPr>
      <w:r w:rsidRPr="00AA492F">
        <w:rPr>
          <w:sz w:val="22"/>
        </w:rPr>
        <w:t xml:space="preserve">Antcliff, V. Saundry, R. and Stuart, M. (2007) ‘Networks and social capital in the UK television industry: The weakness of weak ties’, </w:t>
      </w:r>
      <w:r w:rsidRPr="00AA492F">
        <w:rPr>
          <w:i/>
          <w:sz w:val="22"/>
        </w:rPr>
        <w:t>Human Relations</w:t>
      </w:r>
      <w:r w:rsidRPr="00AA492F">
        <w:rPr>
          <w:sz w:val="22"/>
        </w:rPr>
        <w:t xml:space="preserve">, 60(2): 371-393. </w:t>
      </w:r>
    </w:p>
    <w:p w:rsidR="009E1248" w:rsidRPr="00AA492F" w:rsidRDefault="009E1248" w:rsidP="00AA492F">
      <w:pPr>
        <w:ind w:left="720" w:hanging="720"/>
        <w:jc w:val="both"/>
        <w:rPr>
          <w:sz w:val="22"/>
          <w:lang w:val="en-GB"/>
        </w:rPr>
      </w:pPr>
      <w:r w:rsidRPr="00AA492F">
        <w:rPr>
          <w:sz w:val="22"/>
        </w:rPr>
        <w:t xml:space="preserve">Barbieri, P. (2003) ‘Social Capital and Self-Employment: A Network Analysis Experiment and Several Considerations’, </w:t>
      </w:r>
      <w:r w:rsidRPr="00AA492F">
        <w:rPr>
          <w:i/>
          <w:sz w:val="22"/>
        </w:rPr>
        <w:t>International Sociology</w:t>
      </w:r>
      <w:r w:rsidRPr="00AA492F">
        <w:rPr>
          <w:sz w:val="22"/>
        </w:rPr>
        <w:t xml:space="preserve">, 18(4): 681-701. </w:t>
      </w:r>
    </w:p>
    <w:p w:rsidR="009E1248" w:rsidRPr="00AA492F" w:rsidRDefault="009E1248" w:rsidP="00AA492F">
      <w:pPr>
        <w:ind w:left="720" w:hanging="720"/>
        <w:jc w:val="both"/>
        <w:rPr>
          <w:sz w:val="22"/>
          <w:lang w:val="en-GB"/>
        </w:rPr>
      </w:pPr>
      <w:r w:rsidRPr="00AA492F">
        <w:rPr>
          <w:sz w:val="22"/>
          <w:lang w:val="en-GB"/>
        </w:rPr>
        <w:t xml:space="preserve">Barley, S. and Kunda, G. (2004) </w:t>
      </w:r>
      <w:r w:rsidRPr="00AA492F">
        <w:rPr>
          <w:i/>
          <w:sz w:val="22"/>
          <w:lang w:val="en-GB"/>
        </w:rPr>
        <w:t>Gurus, Hired Guns and Warm Bodies: Itinerant Experts in a knowledge Economy</w:t>
      </w:r>
      <w:r w:rsidRPr="00AA492F">
        <w:rPr>
          <w:sz w:val="22"/>
          <w:lang w:val="en-GB"/>
        </w:rPr>
        <w:t xml:space="preserve">, Princeton, Princeton University Press. </w:t>
      </w:r>
    </w:p>
    <w:p w:rsidR="009E1248" w:rsidRPr="00AA492F" w:rsidRDefault="009E1248" w:rsidP="00AA492F">
      <w:pPr>
        <w:autoSpaceDE w:val="0"/>
        <w:autoSpaceDN w:val="0"/>
        <w:adjustRightInd w:val="0"/>
        <w:ind w:left="720" w:hanging="720"/>
        <w:jc w:val="both"/>
        <w:rPr>
          <w:sz w:val="22"/>
        </w:rPr>
      </w:pPr>
      <w:r w:rsidRPr="00AA492F">
        <w:rPr>
          <w:sz w:val="22"/>
        </w:rPr>
        <w:t xml:space="preserve">Barrett, F. J. (1998). 'Creativity and improvisation in jazz and organizations'. </w:t>
      </w:r>
      <w:r w:rsidRPr="00AA492F">
        <w:rPr>
          <w:i/>
          <w:sz w:val="22"/>
        </w:rPr>
        <w:t>Organization Science</w:t>
      </w:r>
      <w:r w:rsidRPr="00AA492F">
        <w:rPr>
          <w:sz w:val="22"/>
        </w:rPr>
        <w:t>, 9(5):605-622.</w:t>
      </w:r>
    </w:p>
    <w:p w:rsidR="009E1248" w:rsidRPr="00AA492F" w:rsidRDefault="009E1248" w:rsidP="00AA492F">
      <w:pPr>
        <w:ind w:left="720" w:hanging="720"/>
        <w:jc w:val="both"/>
        <w:rPr>
          <w:sz w:val="22"/>
          <w:lang w:val="en-GB"/>
        </w:rPr>
      </w:pPr>
      <w:r w:rsidRPr="00AA492F">
        <w:rPr>
          <w:sz w:val="22"/>
          <w:lang w:val="en-GB"/>
        </w:rPr>
        <w:t xml:space="preserve">Bates, T (1997) </w:t>
      </w:r>
      <w:r w:rsidRPr="00AA492F">
        <w:rPr>
          <w:i/>
          <w:sz w:val="22"/>
          <w:lang w:val="en-GB"/>
        </w:rPr>
        <w:t>Race,</w:t>
      </w:r>
      <w:r w:rsidRPr="00AA492F">
        <w:rPr>
          <w:sz w:val="22"/>
          <w:lang w:val="en-GB"/>
        </w:rPr>
        <w:t xml:space="preserve"> S</w:t>
      </w:r>
      <w:r w:rsidRPr="00AA492F">
        <w:rPr>
          <w:i/>
          <w:sz w:val="22"/>
          <w:lang w:val="en-GB"/>
        </w:rPr>
        <w:t>elf-Employment and Upward Mobility An Inclusive American Dream</w:t>
      </w:r>
      <w:r w:rsidRPr="00AA492F">
        <w:rPr>
          <w:sz w:val="22"/>
          <w:lang w:val="en-GB"/>
        </w:rPr>
        <w:t xml:space="preserve">, Baltimore: Johns Hopkins University Press. </w:t>
      </w:r>
    </w:p>
    <w:p w:rsidR="009E1248" w:rsidRPr="00AA492F" w:rsidRDefault="009E1248" w:rsidP="00AA492F">
      <w:pPr>
        <w:ind w:left="720" w:hanging="720"/>
        <w:jc w:val="both"/>
        <w:rPr>
          <w:sz w:val="22"/>
          <w:lang w:val="en-GB"/>
        </w:rPr>
      </w:pPr>
      <w:r w:rsidRPr="00AA492F">
        <w:rPr>
          <w:sz w:val="22"/>
          <w:lang w:val="en-GB"/>
        </w:rPr>
        <w:t xml:space="preserve">Baumann, A. (2002) ‘Informal labour market governance: the case of the British and German media production industries’, </w:t>
      </w:r>
      <w:r w:rsidRPr="00AA492F">
        <w:rPr>
          <w:i/>
          <w:sz w:val="22"/>
          <w:lang w:val="en-GB"/>
        </w:rPr>
        <w:t>Work, Employment and Society</w:t>
      </w:r>
      <w:r w:rsidRPr="00AA492F">
        <w:rPr>
          <w:sz w:val="22"/>
          <w:lang w:val="en-GB"/>
        </w:rPr>
        <w:t xml:space="preserve">, 16(1): 27-46. </w:t>
      </w:r>
    </w:p>
    <w:p w:rsidR="009E1248" w:rsidRPr="00AA492F" w:rsidRDefault="009E1248" w:rsidP="00AA492F">
      <w:pPr>
        <w:ind w:left="720" w:hanging="720"/>
        <w:jc w:val="both"/>
        <w:rPr>
          <w:sz w:val="22"/>
        </w:rPr>
      </w:pPr>
      <w:r w:rsidRPr="00AA492F">
        <w:rPr>
          <w:sz w:val="22"/>
          <w:lang w:val="en-GB"/>
        </w:rPr>
        <w:t xml:space="preserve">Fallon, G. and Berman Brown, R. (2004) ‘Supporting Ethnic Community Businesses: Lessons from West Midlands Asian Business Support Agency’, </w:t>
      </w:r>
      <w:r w:rsidRPr="00AA492F">
        <w:rPr>
          <w:i/>
          <w:sz w:val="22"/>
          <w:lang w:val="en-GB"/>
        </w:rPr>
        <w:t>Regional Studies</w:t>
      </w:r>
      <w:r w:rsidRPr="00AA492F">
        <w:rPr>
          <w:sz w:val="22"/>
          <w:lang w:val="en-GB"/>
        </w:rPr>
        <w:t>, 38(2): 137-148.</w:t>
      </w:r>
    </w:p>
    <w:p w:rsidR="009E1248" w:rsidRPr="00AA492F" w:rsidRDefault="009E1248" w:rsidP="00AA492F">
      <w:pPr>
        <w:ind w:left="720" w:hanging="720"/>
        <w:jc w:val="both"/>
        <w:rPr>
          <w:sz w:val="22"/>
        </w:rPr>
      </w:pPr>
      <w:r w:rsidRPr="00AA492F">
        <w:rPr>
          <w:sz w:val="22"/>
        </w:rPr>
        <w:t xml:space="preserve">Gann, D.M. and Salter, A.J. (2000) ‘Innovation in project-based, service-enhanced firms: the construction of complex products and systems’. </w:t>
      </w:r>
      <w:r w:rsidRPr="00AA492F">
        <w:rPr>
          <w:i/>
          <w:sz w:val="22"/>
        </w:rPr>
        <w:t>Research Policy</w:t>
      </w:r>
      <w:r w:rsidRPr="00AA492F">
        <w:rPr>
          <w:sz w:val="22"/>
        </w:rPr>
        <w:t>, 29:955-972.</w:t>
      </w:r>
    </w:p>
    <w:p w:rsidR="009E1248" w:rsidRPr="00AA492F" w:rsidRDefault="009E1248" w:rsidP="00AA492F">
      <w:pPr>
        <w:pStyle w:val="PlainText"/>
        <w:ind w:left="720" w:hanging="720"/>
        <w:jc w:val="both"/>
        <w:rPr>
          <w:rFonts w:ascii="Times New Roman" w:hAnsi="Times New Roman" w:cs="Times New Roman"/>
          <w:sz w:val="22"/>
          <w:szCs w:val="24"/>
        </w:rPr>
      </w:pPr>
      <w:r w:rsidRPr="00AA492F">
        <w:rPr>
          <w:rFonts w:ascii="Times New Roman" w:hAnsi="Times New Roman" w:cs="Times New Roman"/>
          <w:sz w:val="22"/>
          <w:szCs w:val="24"/>
        </w:rPr>
        <w:t xml:space="preserve">Grabher, G. (2002a) ‘Fragile sector, robust practice: project ecologies in new media’. </w:t>
      </w:r>
      <w:r w:rsidRPr="00AA492F">
        <w:rPr>
          <w:rFonts w:ascii="Times New Roman" w:hAnsi="Times New Roman" w:cs="Times New Roman"/>
          <w:i/>
          <w:sz w:val="22"/>
          <w:szCs w:val="24"/>
        </w:rPr>
        <w:t xml:space="preserve"> Environment and Planning A</w:t>
      </w:r>
      <w:r w:rsidRPr="00AA492F">
        <w:rPr>
          <w:rFonts w:ascii="Times New Roman" w:hAnsi="Times New Roman" w:cs="Times New Roman"/>
          <w:sz w:val="22"/>
          <w:szCs w:val="24"/>
        </w:rPr>
        <w:t>, 34:1911-1926.</w:t>
      </w:r>
    </w:p>
    <w:p w:rsidR="009E1248" w:rsidRPr="00AA492F" w:rsidRDefault="009E1248" w:rsidP="00AA492F">
      <w:pPr>
        <w:pStyle w:val="PlainText"/>
        <w:ind w:left="720" w:hanging="720"/>
        <w:jc w:val="both"/>
        <w:rPr>
          <w:rFonts w:ascii="Times New Roman" w:hAnsi="Times New Roman" w:cs="Times New Roman"/>
          <w:sz w:val="22"/>
          <w:szCs w:val="24"/>
        </w:rPr>
      </w:pPr>
      <w:r w:rsidRPr="00AA492F">
        <w:rPr>
          <w:rFonts w:ascii="Times New Roman" w:hAnsi="Times New Roman" w:cs="Times New Roman"/>
          <w:sz w:val="22"/>
          <w:szCs w:val="24"/>
        </w:rPr>
        <w:t xml:space="preserve">Grabher, G. (2002b) ‘Cool projects, boring institutions: temporary collaboration in social context’. </w:t>
      </w:r>
      <w:r w:rsidRPr="00AA492F">
        <w:rPr>
          <w:rFonts w:ascii="Times New Roman" w:hAnsi="Times New Roman" w:cs="Times New Roman"/>
          <w:i/>
          <w:sz w:val="22"/>
          <w:szCs w:val="24"/>
        </w:rPr>
        <w:t>Regional Studies</w:t>
      </w:r>
      <w:r w:rsidRPr="00AA492F">
        <w:rPr>
          <w:rFonts w:ascii="Times New Roman" w:hAnsi="Times New Roman" w:cs="Times New Roman"/>
          <w:sz w:val="22"/>
          <w:szCs w:val="24"/>
        </w:rPr>
        <w:t>, 36(3):205-214.</w:t>
      </w:r>
    </w:p>
    <w:p w:rsidR="009E1248" w:rsidRPr="00AA492F" w:rsidRDefault="009E1248" w:rsidP="00AA492F">
      <w:pPr>
        <w:ind w:left="720" w:hanging="720"/>
        <w:jc w:val="both"/>
        <w:rPr>
          <w:sz w:val="22"/>
          <w:lang w:val="en-GB"/>
        </w:rPr>
      </w:pPr>
      <w:r w:rsidRPr="00AA492F">
        <w:rPr>
          <w:sz w:val="22"/>
          <w:lang w:val="en-GB"/>
        </w:rPr>
        <w:t xml:space="preserve">Holgate, J. and McKay, S. (2007) </w:t>
      </w:r>
      <w:r w:rsidRPr="00AA492F">
        <w:rPr>
          <w:i/>
          <w:sz w:val="22"/>
          <w:lang w:val="en-GB"/>
        </w:rPr>
        <w:t>Institutional barriers to recruitment and employment in London’s audio-visual industries</w:t>
      </w:r>
      <w:r w:rsidRPr="00AA492F">
        <w:rPr>
          <w:sz w:val="22"/>
          <w:lang w:val="en-GB"/>
        </w:rPr>
        <w:t>, London: Workinglives Research Institute</w:t>
      </w:r>
    </w:p>
    <w:p w:rsidR="009E1248" w:rsidRPr="00AA492F" w:rsidRDefault="009E1248" w:rsidP="00AA492F">
      <w:pPr>
        <w:autoSpaceDE w:val="0"/>
        <w:autoSpaceDN w:val="0"/>
        <w:adjustRightInd w:val="0"/>
        <w:ind w:left="720" w:hanging="720"/>
        <w:jc w:val="both"/>
        <w:rPr>
          <w:sz w:val="22"/>
        </w:rPr>
      </w:pPr>
      <w:r w:rsidRPr="00AA492F">
        <w:rPr>
          <w:sz w:val="22"/>
        </w:rPr>
        <w:t xml:space="preserve">Kunda, G., Barley, S. R. and Evans, J. (2002). 'Why contractors contract? The experience of highly skilled technical professionals in a contingent labour market'. </w:t>
      </w:r>
      <w:r w:rsidRPr="00AA492F">
        <w:rPr>
          <w:i/>
          <w:sz w:val="22"/>
        </w:rPr>
        <w:t>Industrial and Labor Relations Review</w:t>
      </w:r>
      <w:r w:rsidRPr="00AA492F">
        <w:rPr>
          <w:sz w:val="22"/>
        </w:rPr>
        <w:t>, 55(2): 234-261.</w:t>
      </w:r>
    </w:p>
    <w:p w:rsidR="009E1248" w:rsidRPr="00AA492F" w:rsidRDefault="009E1248" w:rsidP="00AA492F">
      <w:pPr>
        <w:ind w:left="720" w:hanging="720"/>
        <w:jc w:val="both"/>
        <w:rPr>
          <w:sz w:val="22"/>
          <w:lang w:val="en-GB"/>
        </w:rPr>
      </w:pPr>
      <w:r w:rsidRPr="00AA492F">
        <w:rPr>
          <w:sz w:val="22"/>
        </w:rPr>
        <w:t xml:space="preserve">Lam, A. (2000). 'Tacit knowledge, organizational learning and societal institutions: an integrated framework.' </w:t>
      </w:r>
      <w:r w:rsidRPr="00AA492F">
        <w:rPr>
          <w:i/>
          <w:sz w:val="22"/>
        </w:rPr>
        <w:t>Organization Studies</w:t>
      </w:r>
      <w:r w:rsidRPr="00AA492F">
        <w:rPr>
          <w:sz w:val="22"/>
        </w:rPr>
        <w:t>, 21(3): 487-513.</w:t>
      </w:r>
    </w:p>
    <w:p w:rsidR="009E1248" w:rsidRPr="00AA492F" w:rsidRDefault="009E1248" w:rsidP="00AA492F">
      <w:pPr>
        <w:autoSpaceDE w:val="0"/>
        <w:autoSpaceDN w:val="0"/>
        <w:adjustRightInd w:val="0"/>
        <w:ind w:left="720" w:hanging="720"/>
        <w:jc w:val="both"/>
        <w:rPr>
          <w:sz w:val="22"/>
        </w:rPr>
      </w:pPr>
      <w:r w:rsidRPr="00AA492F">
        <w:rPr>
          <w:sz w:val="22"/>
        </w:rPr>
        <w:t xml:space="preserve">Morris, T. (2001). ‘Asserting property rights: knowledge codification in the professional service firm’. </w:t>
      </w:r>
      <w:r w:rsidRPr="00AA492F">
        <w:rPr>
          <w:i/>
          <w:sz w:val="22"/>
        </w:rPr>
        <w:t>Human Relations</w:t>
      </w:r>
      <w:r w:rsidRPr="00AA492F">
        <w:rPr>
          <w:sz w:val="22"/>
        </w:rPr>
        <w:t xml:space="preserve">, </w:t>
      </w:r>
      <w:r w:rsidRPr="00AA492F">
        <w:rPr>
          <w:bCs/>
          <w:sz w:val="22"/>
        </w:rPr>
        <w:t>54</w:t>
      </w:r>
      <w:r w:rsidRPr="00AA492F">
        <w:rPr>
          <w:sz w:val="22"/>
        </w:rPr>
        <w:t>(7):919-838.</w:t>
      </w:r>
    </w:p>
    <w:p w:rsidR="009E1248" w:rsidRPr="00AA492F" w:rsidRDefault="009E1248" w:rsidP="00AA492F">
      <w:pPr>
        <w:ind w:left="720" w:hanging="720"/>
        <w:jc w:val="both"/>
        <w:rPr>
          <w:sz w:val="22"/>
        </w:rPr>
      </w:pPr>
      <w:r w:rsidRPr="00AA492F">
        <w:rPr>
          <w:sz w:val="22"/>
        </w:rPr>
        <w:t xml:space="preserve">Tymon, W.G. and Stumpf, S.A. (2003) ‘Social capital in the success of knowledge workers’. </w:t>
      </w:r>
      <w:r w:rsidRPr="00AA492F">
        <w:rPr>
          <w:i/>
          <w:sz w:val="22"/>
        </w:rPr>
        <w:t>Career Development</w:t>
      </w:r>
      <w:r w:rsidRPr="00AA492F">
        <w:rPr>
          <w:sz w:val="22"/>
        </w:rPr>
        <w:t>, 8(1):12-20.</w:t>
      </w:r>
    </w:p>
    <w:p w:rsidR="009E1248" w:rsidRPr="00AA492F" w:rsidRDefault="009E1248" w:rsidP="00AA492F">
      <w:pPr>
        <w:ind w:left="720" w:hanging="720"/>
        <w:jc w:val="both"/>
        <w:rPr>
          <w:b/>
          <w:sz w:val="22"/>
        </w:rPr>
      </w:pPr>
      <w:r w:rsidRPr="00AA492F">
        <w:rPr>
          <w:sz w:val="22"/>
        </w:rPr>
        <w:t xml:space="preserve">Swart, J. (2007) ‘HRM and knowledge workers’. In Boxall, P., Purcell, J. and Wright, P. M. (eds.), </w:t>
      </w:r>
      <w:r w:rsidRPr="00AA492F">
        <w:rPr>
          <w:i/>
          <w:sz w:val="22"/>
        </w:rPr>
        <w:t>The Oxford Handbook of Human Resource Management</w:t>
      </w:r>
      <w:r w:rsidRPr="00AA492F">
        <w:rPr>
          <w:sz w:val="22"/>
        </w:rPr>
        <w:t>. Oxford: Oxford University Press. pp. 450-468</w:t>
      </w:r>
    </w:p>
    <w:sectPr w:rsidR="009E1248" w:rsidRPr="00AA492F" w:rsidSect="0023008A">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F3D" w:rsidRDefault="00C94F3D" w:rsidP="00D5686B">
      <w:r>
        <w:separator/>
      </w:r>
    </w:p>
  </w:endnote>
  <w:endnote w:type="continuationSeparator" w:id="0">
    <w:p w:rsidR="00C94F3D" w:rsidRDefault="00C94F3D" w:rsidP="00D568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9610"/>
      <w:docPartObj>
        <w:docPartGallery w:val="Page Numbers (Bottom of Page)"/>
        <w:docPartUnique/>
      </w:docPartObj>
    </w:sdtPr>
    <w:sdtContent>
      <w:p w:rsidR="00D5686B" w:rsidRDefault="007B3698">
        <w:pPr>
          <w:pStyle w:val="Footer"/>
          <w:jc w:val="right"/>
        </w:pPr>
        <w:fldSimple w:instr=" PAGE   \* MERGEFORMAT ">
          <w:r w:rsidR="005420AA">
            <w:rPr>
              <w:noProof/>
            </w:rPr>
            <w:t>1</w:t>
          </w:r>
        </w:fldSimple>
      </w:p>
    </w:sdtContent>
  </w:sdt>
  <w:p w:rsidR="00D5686B" w:rsidRDefault="00D568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F3D" w:rsidRDefault="00C94F3D" w:rsidP="00D5686B">
      <w:r>
        <w:separator/>
      </w:r>
    </w:p>
  </w:footnote>
  <w:footnote w:type="continuationSeparator" w:id="0">
    <w:p w:rsidR="00C94F3D" w:rsidRDefault="00C94F3D" w:rsidP="00D568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06466"/>
    <w:rsid w:val="00003170"/>
    <w:rsid w:val="00015FF1"/>
    <w:rsid w:val="00112853"/>
    <w:rsid w:val="00210442"/>
    <w:rsid w:val="0023008A"/>
    <w:rsid w:val="00306C3B"/>
    <w:rsid w:val="00354157"/>
    <w:rsid w:val="004D58D3"/>
    <w:rsid w:val="004F2A37"/>
    <w:rsid w:val="005420AA"/>
    <w:rsid w:val="00637936"/>
    <w:rsid w:val="007637D5"/>
    <w:rsid w:val="007B3698"/>
    <w:rsid w:val="007F3CC4"/>
    <w:rsid w:val="009E1248"/>
    <w:rsid w:val="00AA492F"/>
    <w:rsid w:val="00B26D96"/>
    <w:rsid w:val="00B43DE2"/>
    <w:rsid w:val="00B90DF5"/>
    <w:rsid w:val="00C94F3D"/>
    <w:rsid w:val="00D06466"/>
    <w:rsid w:val="00D538CE"/>
    <w:rsid w:val="00D56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466"/>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9E1248"/>
    <w:rPr>
      <w:rFonts w:ascii="Courier New" w:hAnsi="Courier New" w:cs="Courier New"/>
      <w:sz w:val="20"/>
      <w:szCs w:val="20"/>
    </w:rPr>
  </w:style>
  <w:style w:type="character" w:customStyle="1" w:styleId="PlainTextChar">
    <w:name w:val="Plain Text Char"/>
    <w:basedOn w:val="DefaultParagraphFont"/>
    <w:link w:val="PlainText"/>
    <w:rsid w:val="009E1248"/>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D5686B"/>
    <w:pPr>
      <w:tabs>
        <w:tab w:val="center" w:pos="4680"/>
        <w:tab w:val="right" w:pos="9360"/>
      </w:tabs>
    </w:pPr>
  </w:style>
  <w:style w:type="character" w:customStyle="1" w:styleId="HeaderChar">
    <w:name w:val="Header Char"/>
    <w:basedOn w:val="DefaultParagraphFont"/>
    <w:link w:val="Header"/>
    <w:uiPriority w:val="99"/>
    <w:semiHidden/>
    <w:rsid w:val="00D5686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5686B"/>
    <w:pPr>
      <w:tabs>
        <w:tab w:val="center" w:pos="4680"/>
        <w:tab w:val="right" w:pos="9360"/>
      </w:tabs>
    </w:pPr>
  </w:style>
  <w:style w:type="character" w:customStyle="1" w:styleId="FooterChar">
    <w:name w:val="Footer Char"/>
    <w:basedOn w:val="DefaultParagraphFont"/>
    <w:link w:val="Footer"/>
    <w:uiPriority w:val="99"/>
    <w:rsid w:val="00D5686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Bradford</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2010-05-14T11:35:00Z</cp:lastPrinted>
  <dcterms:created xsi:type="dcterms:W3CDTF">2010-05-14T11:45:00Z</dcterms:created>
  <dcterms:modified xsi:type="dcterms:W3CDTF">2010-05-14T11:45:00Z</dcterms:modified>
</cp:coreProperties>
</file>