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AB5" w:rsidRDefault="00A67AB5" w:rsidP="00A67AB5">
      <w:pPr>
        <w:spacing w:line="240" w:lineRule="auto"/>
      </w:pPr>
      <w:r>
        <w:t>TITLE</w:t>
      </w:r>
    </w:p>
    <w:p w:rsidR="005E3D3E" w:rsidRPr="009A387D" w:rsidRDefault="005E3D3E" w:rsidP="005E3D3E">
      <w:pPr>
        <w:spacing w:line="240" w:lineRule="auto"/>
      </w:pPr>
      <w:r>
        <w:t xml:space="preserve">Gender Differences in </w:t>
      </w:r>
      <w:r w:rsidR="0041413C">
        <w:t>Environmentally Sustainable</w:t>
      </w:r>
      <w:r>
        <w:t xml:space="preserve"> Behavior</w:t>
      </w:r>
      <w:r w:rsidR="0041413C">
        <w:t xml:space="preserve"> and its Determinants</w:t>
      </w:r>
    </w:p>
    <w:p w:rsidR="00A67AB5" w:rsidRDefault="00A67AB5" w:rsidP="00A67AB5">
      <w:pPr>
        <w:spacing w:line="240" w:lineRule="auto"/>
      </w:pPr>
    </w:p>
    <w:p w:rsidR="007A342E" w:rsidRDefault="007A342E" w:rsidP="00A67AB5">
      <w:pPr>
        <w:spacing w:line="240" w:lineRule="auto"/>
      </w:pPr>
      <w:r>
        <w:t>ARTICLE CATEGORY</w:t>
      </w:r>
    </w:p>
    <w:p w:rsidR="007A342E" w:rsidRDefault="007A342E" w:rsidP="00A67AB5">
      <w:pPr>
        <w:spacing w:line="240" w:lineRule="auto"/>
      </w:pPr>
      <w:r>
        <w:t>Full paper</w:t>
      </w:r>
    </w:p>
    <w:p w:rsidR="007A342E" w:rsidRDefault="007A342E" w:rsidP="00A67AB5">
      <w:pPr>
        <w:spacing w:line="240" w:lineRule="auto"/>
      </w:pPr>
    </w:p>
    <w:p w:rsidR="007A342E" w:rsidRDefault="007A342E" w:rsidP="00A67AB5">
      <w:pPr>
        <w:spacing w:line="240" w:lineRule="auto"/>
      </w:pPr>
      <w:r>
        <w:t>KEYWORDS</w:t>
      </w:r>
    </w:p>
    <w:p w:rsidR="006F25A7" w:rsidRDefault="007A342E" w:rsidP="00A67AB5">
      <w:pPr>
        <w:spacing w:line="240" w:lineRule="auto"/>
      </w:pPr>
      <w:r>
        <w:t xml:space="preserve">Gender, environmental sustainability, </w:t>
      </w:r>
      <w:r>
        <w:t>pro-environmental behavior</w:t>
      </w:r>
      <w:r>
        <w:t>, green behavior, attitudes, meta-analysis</w:t>
      </w:r>
    </w:p>
    <w:p w:rsidR="007A342E" w:rsidRDefault="007A342E" w:rsidP="00A67AB5">
      <w:pPr>
        <w:spacing w:line="240" w:lineRule="auto"/>
      </w:pPr>
    </w:p>
    <w:p w:rsidR="00A67AB5" w:rsidRDefault="00A67AB5" w:rsidP="00A67AB5">
      <w:pPr>
        <w:spacing w:line="240" w:lineRule="auto"/>
      </w:pPr>
      <w:r>
        <w:t>ABSTRACT</w:t>
      </w:r>
    </w:p>
    <w:p w:rsidR="00B51B12" w:rsidRPr="0064102F" w:rsidRDefault="00B51B12" w:rsidP="00A67AB5">
      <w:pPr>
        <w:spacing w:line="240" w:lineRule="auto"/>
        <w:rPr>
          <w:i/>
        </w:rPr>
      </w:pPr>
      <w:r w:rsidRPr="0064102F">
        <w:rPr>
          <w:i/>
        </w:rPr>
        <w:t>Purpose</w:t>
      </w:r>
    </w:p>
    <w:p w:rsidR="00B51B12" w:rsidRDefault="00E374D6" w:rsidP="00DF5AC3">
      <w:pPr>
        <w:spacing w:line="240" w:lineRule="auto"/>
        <w:ind w:firstLine="720"/>
      </w:pPr>
      <w:r>
        <w:t>As the green economy grows and organizations look to employees to work toward environmental solutions, awareness of gender differences in environmentally sustainable</w:t>
      </w:r>
      <w:r w:rsidR="00DD779F">
        <w:t xml:space="preserve"> behavior</w:t>
      </w:r>
      <w:r>
        <w:t xml:space="preserve"> and its determinants is important to</w:t>
      </w:r>
      <w:r>
        <w:t xml:space="preserve"> understand</w:t>
      </w:r>
      <w:r>
        <w:t>ing how and why individuals contribute to sustainability.</w:t>
      </w:r>
      <w:r>
        <w:t xml:space="preserve"> </w:t>
      </w:r>
      <w:r w:rsidR="00DD779F">
        <w:t>T</w:t>
      </w:r>
      <w:r>
        <w:t xml:space="preserve">here have been </w:t>
      </w:r>
      <w:r w:rsidRPr="00DF5AC3">
        <w:t>call</w:t>
      </w:r>
      <w:r>
        <w:t>s</w:t>
      </w:r>
      <w:r w:rsidRPr="00DF5AC3">
        <w:t xml:space="preserve"> for an increased effort in recruiting and encouraging women to assume green leadership positions so that their talent and resources can be utilized in the environmental domain. </w:t>
      </w:r>
      <w:r w:rsidR="00B51B12">
        <w:t xml:space="preserve">This paper </w:t>
      </w:r>
      <w:r w:rsidR="0092449C">
        <w:t>aims to examine</w:t>
      </w:r>
      <w:r w:rsidR="00B51B12">
        <w:t xml:space="preserve"> the relat</w:t>
      </w:r>
      <w:r>
        <w:t xml:space="preserve">ionships between gender and environmental </w:t>
      </w:r>
      <w:r w:rsidR="00B51B12">
        <w:t xml:space="preserve">values, attitudes, commitment, </w:t>
      </w:r>
      <w:r w:rsidR="0092449C">
        <w:t xml:space="preserve">behavior, </w:t>
      </w:r>
      <w:r w:rsidR="00B51B12">
        <w:t>and motive</w:t>
      </w:r>
      <w:r w:rsidR="0092449C">
        <w:t>s</w:t>
      </w:r>
      <w:r>
        <w:t xml:space="preserve"> in order to </w:t>
      </w:r>
      <w:r w:rsidR="000A4B85">
        <w:t xml:space="preserve">determine the direction and magnitude of gender differences and to </w:t>
      </w:r>
      <w:r>
        <w:t>inform how women can be recruited and encouraged to assume roles related to environmental sustainability at work</w:t>
      </w:r>
      <w:r w:rsidR="00B51B12">
        <w:t>.</w:t>
      </w:r>
      <w:r w:rsidR="00DF5AC3">
        <w:t xml:space="preserve"> </w:t>
      </w:r>
    </w:p>
    <w:p w:rsidR="0092449C" w:rsidRDefault="0092449C" w:rsidP="00A67AB5">
      <w:pPr>
        <w:spacing w:line="240" w:lineRule="auto"/>
      </w:pPr>
    </w:p>
    <w:p w:rsidR="00B51B12" w:rsidRPr="0064102F" w:rsidRDefault="00B51B12" w:rsidP="00A67AB5">
      <w:pPr>
        <w:spacing w:line="240" w:lineRule="auto"/>
        <w:rPr>
          <w:i/>
        </w:rPr>
      </w:pPr>
      <w:r w:rsidRPr="0064102F">
        <w:rPr>
          <w:i/>
        </w:rPr>
        <w:t>Methodology</w:t>
      </w:r>
    </w:p>
    <w:p w:rsidR="0092449C" w:rsidRDefault="0092449C" w:rsidP="00DF5AC3">
      <w:pPr>
        <w:spacing w:line="240" w:lineRule="auto"/>
        <w:ind w:firstLine="720"/>
      </w:pPr>
      <w:r>
        <w:t xml:space="preserve">The authors sought to determine the direction and degree of gender differences by </w:t>
      </w:r>
      <w:r w:rsidR="00DF5AC3">
        <w:t xml:space="preserve">searching for and then </w:t>
      </w:r>
      <w:r>
        <w:t>meta-analytically combining studies that examined gender diff</w:t>
      </w:r>
      <w:r w:rsidR="00D33071">
        <w:t>erences in</w:t>
      </w:r>
      <w:r>
        <w:t xml:space="preserve"> environmental</w:t>
      </w:r>
      <w:r w:rsidR="00D33071" w:rsidRPr="00D33071">
        <w:t xml:space="preserve"> </w:t>
      </w:r>
      <w:r w:rsidR="00D33071">
        <w:t>values, attitudes, commitment, behavior, and motives</w:t>
      </w:r>
      <w:r>
        <w:t>.</w:t>
      </w:r>
    </w:p>
    <w:p w:rsidR="0092449C" w:rsidRDefault="0092449C" w:rsidP="00A67AB5">
      <w:pPr>
        <w:spacing w:line="240" w:lineRule="auto"/>
      </w:pPr>
    </w:p>
    <w:p w:rsidR="00B51B12" w:rsidRPr="0064102F" w:rsidRDefault="00B51B12" w:rsidP="00A67AB5">
      <w:pPr>
        <w:spacing w:line="240" w:lineRule="auto"/>
        <w:rPr>
          <w:i/>
        </w:rPr>
      </w:pPr>
      <w:r w:rsidRPr="0064102F">
        <w:rPr>
          <w:i/>
        </w:rPr>
        <w:t>Findings</w:t>
      </w:r>
    </w:p>
    <w:p w:rsidR="0092449C" w:rsidRDefault="0092449C" w:rsidP="00DF5AC3">
      <w:pPr>
        <w:spacing w:line="240" w:lineRule="auto"/>
        <w:ind w:firstLine="720"/>
      </w:pPr>
      <w:r>
        <w:t xml:space="preserve">Women were more appreciative of the environment, held slightly more pro-environmental attitudes, </w:t>
      </w:r>
      <w:r w:rsidR="00DF5AC3">
        <w:t xml:space="preserve">and </w:t>
      </w:r>
      <w:r>
        <w:t>engaged in slightly more green behaviors</w:t>
      </w:r>
      <w:r w:rsidR="00DF5AC3">
        <w:t xml:space="preserve">. Women were more also more likely to be motivated to engage in green behaviors due to a </w:t>
      </w:r>
      <w:r w:rsidR="00F82D2F">
        <w:t>sense of social responsibility</w:t>
      </w:r>
      <w:r w:rsidR="00D84C62">
        <w:t xml:space="preserve">, social norms, and the belief that </w:t>
      </w:r>
      <w:r w:rsidR="00DF5AC3">
        <w:t>their actions would have an impact on the environment.</w:t>
      </w:r>
      <w:r w:rsidR="00F82D2F">
        <w:t xml:space="preserve"> </w:t>
      </w:r>
    </w:p>
    <w:p w:rsidR="0064102F" w:rsidRDefault="0064102F" w:rsidP="0092449C">
      <w:pPr>
        <w:spacing w:line="240" w:lineRule="auto"/>
      </w:pPr>
    </w:p>
    <w:p w:rsidR="0092449C" w:rsidRPr="0064102F" w:rsidRDefault="0092449C" w:rsidP="0092449C">
      <w:pPr>
        <w:spacing w:line="240" w:lineRule="auto"/>
        <w:rPr>
          <w:i/>
        </w:rPr>
      </w:pPr>
      <w:r w:rsidRPr="0064102F">
        <w:rPr>
          <w:i/>
        </w:rPr>
        <w:t xml:space="preserve">Research </w:t>
      </w:r>
      <w:r w:rsidR="0064102F">
        <w:rPr>
          <w:i/>
        </w:rPr>
        <w:t>L</w:t>
      </w:r>
      <w:r w:rsidRPr="0064102F">
        <w:rPr>
          <w:i/>
        </w:rPr>
        <w:t>imitations/</w:t>
      </w:r>
      <w:r w:rsidR="0064102F">
        <w:rPr>
          <w:i/>
        </w:rPr>
        <w:t>I</w:t>
      </w:r>
      <w:r w:rsidRPr="0064102F">
        <w:rPr>
          <w:i/>
        </w:rPr>
        <w:t>mplications</w:t>
      </w:r>
    </w:p>
    <w:p w:rsidR="0092449C" w:rsidRDefault="00D33071" w:rsidP="00D33071">
      <w:pPr>
        <w:spacing w:line="240" w:lineRule="auto"/>
        <w:ind w:firstLine="720"/>
      </w:pPr>
      <w:r>
        <w:t xml:space="preserve">Overall findings suggest that women are no less committed to the environment than men, and even tend to be more likely to have pro-environmental attitudes and engage in most types of pro-environmental behavior more frequently </w:t>
      </w:r>
      <w:r w:rsidR="00D84C62">
        <w:t>(although these effects do not generalize)</w:t>
      </w:r>
      <w:r>
        <w:t xml:space="preserve">. Since women </w:t>
      </w:r>
      <w:r w:rsidR="00D84C62">
        <w:t xml:space="preserve">do </w:t>
      </w:r>
      <w:r>
        <w:t xml:space="preserve">tend to value the environment to a greater extent than men, organizations will want to take advantage of </w:t>
      </w:r>
      <w:r w:rsidR="00D84C62">
        <w:t>women’s</w:t>
      </w:r>
      <w:r>
        <w:t xml:space="preserve"> </w:t>
      </w:r>
      <w:r w:rsidR="000A4B85">
        <w:t>appreciation of and</w:t>
      </w:r>
      <w:r>
        <w:t xml:space="preserve"> commitment</w:t>
      </w:r>
      <w:r w:rsidR="000A4B85">
        <w:t xml:space="preserve"> to the environment</w:t>
      </w:r>
      <w:r w:rsidR="006F25A7">
        <w:t xml:space="preserve"> by making sure they have a chance to contribute to environmental sustainability at work</w:t>
      </w:r>
      <w:r>
        <w:t xml:space="preserve">. </w:t>
      </w:r>
    </w:p>
    <w:p w:rsidR="00D33071" w:rsidRDefault="00DF5AC3" w:rsidP="00D33071">
      <w:pPr>
        <w:spacing w:line="240" w:lineRule="auto"/>
        <w:ind w:firstLine="720"/>
      </w:pPr>
      <w:r>
        <w:t xml:space="preserve">Each meta-analysis </w:t>
      </w:r>
      <w:r w:rsidR="000A4B85">
        <w:t xml:space="preserve">examining gender and </w:t>
      </w:r>
      <w:r>
        <w:t xml:space="preserve">environmental motives was relatively </w:t>
      </w:r>
      <w:r w:rsidR="00D84C62">
        <w:t>smal</w:t>
      </w:r>
      <w:r>
        <w:t>l, so initial conclusions about gender diffe</w:t>
      </w:r>
      <w:r w:rsidR="000A4B85">
        <w:t>rences in motives are tentative. S</w:t>
      </w:r>
      <w:r>
        <w:t>ome categories of green behavior were also underrepresented. This indicates that more research is needed examining gender differences in environmental motives</w:t>
      </w:r>
      <w:r w:rsidR="00D84C62">
        <w:t xml:space="preserve"> and different types of </w:t>
      </w:r>
      <w:r>
        <w:t xml:space="preserve">green </w:t>
      </w:r>
      <w:r>
        <w:t>behavior.</w:t>
      </w:r>
      <w:r w:rsidR="00D33071" w:rsidRPr="00D33071">
        <w:t xml:space="preserve"> </w:t>
      </w:r>
      <w:r w:rsidR="000A4B85">
        <w:t xml:space="preserve">Initial </w:t>
      </w:r>
      <w:r w:rsidR="00D33071">
        <w:t xml:space="preserve">findings </w:t>
      </w:r>
      <w:r w:rsidR="000A4B85">
        <w:t xml:space="preserve">with respect to motives </w:t>
      </w:r>
      <w:r w:rsidR="00D33071">
        <w:t>suggest that w</w:t>
      </w:r>
      <w:r w:rsidR="00D33071" w:rsidRPr="00D33071">
        <w:t xml:space="preserve">hen recruiting women for green jobs, it may be </w:t>
      </w:r>
      <w:r w:rsidR="00D33071" w:rsidRPr="00D33071">
        <w:lastRenderedPageBreak/>
        <w:t>beneficial to provide information about females employed in similar positions</w:t>
      </w:r>
      <w:r w:rsidR="00D84C62">
        <w:t xml:space="preserve">, as well as </w:t>
      </w:r>
      <w:r w:rsidR="00D84C62" w:rsidRPr="00D33071">
        <w:t>emphasize the social responsibility aspect of positions</w:t>
      </w:r>
      <w:r w:rsidR="00D33071" w:rsidRPr="00D33071">
        <w:t xml:space="preserve">. </w:t>
      </w:r>
    </w:p>
    <w:p w:rsidR="0092449C" w:rsidRDefault="0092449C" w:rsidP="0092449C">
      <w:pPr>
        <w:spacing w:line="240" w:lineRule="auto"/>
      </w:pPr>
    </w:p>
    <w:p w:rsidR="006F25A7" w:rsidRDefault="006F25A7" w:rsidP="0092449C">
      <w:pPr>
        <w:spacing w:line="240" w:lineRule="auto"/>
        <w:rPr>
          <w:i/>
        </w:rPr>
      </w:pPr>
    </w:p>
    <w:p w:rsidR="00B51B12" w:rsidRPr="0064102F" w:rsidRDefault="00B51B12" w:rsidP="0092449C">
      <w:pPr>
        <w:spacing w:line="240" w:lineRule="auto"/>
        <w:rPr>
          <w:i/>
        </w:rPr>
      </w:pPr>
      <w:r w:rsidRPr="0064102F">
        <w:rPr>
          <w:i/>
        </w:rPr>
        <w:t>Originality/Value</w:t>
      </w:r>
    </w:p>
    <w:p w:rsidR="00D84C62" w:rsidRDefault="00F82D2F" w:rsidP="0064102F">
      <w:pPr>
        <w:spacing w:line="240" w:lineRule="auto"/>
        <w:ind w:firstLine="720"/>
      </w:pPr>
      <w:r>
        <w:t>To date, there have been no efforts to meta-analytically examine gender differences in environmental values, attitudes, commitment, and motives</w:t>
      </w:r>
      <w:r w:rsidR="00D33071">
        <w:t>, and draw i</w:t>
      </w:r>
      <w:r w:rsidR="000A4B85">
        <w:t xml:space="preserve">mplications </w:t>
      </w:r>
      <w:r w:rsidR="00DD779F">
        <w:t xml:space="preserve">about </w:t>
      </w:r>
      <w:r w:rsidR="00D33071">
        <w:t xml:space="preserve">how these differences may affect </w:t>
      </w:r>
      <w:r w:rsidR="00DD779F">
        <w:t>the workplace behavior</w:t>
      </w:r>
      <w:r>
        <w:t xml:space="preserve">. </w:t>
      </w:r>
      <w:r w:rsidR="003270D5">
        <w:t>Awa</w:t>
      </w:r>
      <w:r w:rsidR="00D33071">
        <w:t xml:space="preserve">reness of gender differences </w:t>
      </w:r>
      <w:r>
        <w:t>in these variables</w:t>
      </w:r>
      <w:r w:rsidR="008B5194">
        <w:t>, as well as green behavior itself,</w:t>
      </w:r>
      <w:r>
        <w:t xml:space="preserve"> </w:t>
      </w:r>
      <w:r w:rsidR="003270D5">
        <w:t xml:space="preserve">is </w:t>
      </w:r>
      <w:r w:rsidR="00D33071">
        <w:t>an important step in</w:t>
      </w:r>
      <w:r w:rsidR="003270D5">
        <w:t xml:space="preserve"> understanding and supporting employee contributions to organizations’ sustainability efforts, as well as recruiting women for jobs in the growing green </w:t>
      </w:r>
      <w:r w:rsidR="003270D5" w:rsidRPr="00DF5AC3">
        <w:t xml:space="preserve">economy. </w:t>
      </w:r>
      <w:r w:rsidR="00D84C62">
        <w:t xml:space="preserve">In addition, </w:t>
      </w:r>
      <w:r w:rsidR="0064102F">
        <w:t xml:space="preserve">the findings that gender differences are small and generally favor women suggest that the women may be able to leverage these values and behaviors to participate in and contribute to the </w:t>
      </w:r>
      <w:r w:rsidR="00D84C62">
        <w:t xml:space="preserve">growing </w:t>
      </w:r>
      <w:r w:rsidR="0064102F">
        <w:t>green</w:t>
      </w:r>
      <w:r w:rsidR="00D84C62">
        <w:t xml:space="preserve"> economy. </w:t>
      </w: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C3766E" w:rsidRDefault="00C3766E" w:rsidP="00A67AB5">
      <w:pPr>
        <w:spacing w:line="240" w:lineRule="auto"/>
        <w:jc w:val="center"/>
        <w:rPr>
          <w:b/>
        </w:rPr>
      </w:pPr>
    </w:p>
    <w:p w:rsidR="00A67AB5" w:rsidRDefault="00A67AB5" w:rsidP="00A67AB5">
      <w:pPr>
        <w:spacing w:line="240" w:lineRule="auto"/>
        <w:jc w:val="center"/>
        <w:rPr>
          <w:b/>
        </w:rPr>
      </w:pPr>
    </w:p>
    <w:p w:rsidR="00A67AB5" w:rsidRDefault="00A67AB5" w:rsidP="00A67AB5">
      <w:pPr>
        <w:spacing w:line="240" w:lineRule="auto"/>
        <w:jc w:val="center"/>
        <w:rPr>
          <w:b/>
        </w:rPr>
      </w:pPr>
    </w:p>
    <w:p w:rsidR="00621D3A" w:rsidRDefault="00621D3A" w:rsidP="00A67AB5">
      <w:pPr>
        <w:spacing w:line="240" w:lineRule="auto"/>
        <w:jc w:val="center"/>
        <w:rPr>
          <w:b/>
        </w:rPr>
      </w:pPr>
    </w:p>
    <w:p w:rsidR="00621D3A" w:rsidRDefault="00621D3A" w:rsidP="00A67AB5">
      <w:pPr>
        <w:spacing w:line="240" w:lineRule="auto"/>
        <w:jc w:val="center"/>
        <w:rPr>
          <w:b/>
        </w:rPr>
      </w:pPr>
    </w:p>
    <w:p w:rsidR="00621D3A" w:rsidRDefault="00621D3A" w:rsidP="00A67AB5">
      <w:pPr>
        <w:spacing w:line="240" w:lineRule="auto"/>
        <w:jc w:val="center"/>
        <w:rPr>
          <w:b/>
        </w:rPr>
      </w:pPr>
    </w:p>
    <w:p w:rsidR="007A342E" w:rsidRDefault="007A342E" w:rsidP="00A67AB5">
      <w:pPr>
        <w:spacing w:line="240" w:lineRule="auto"/>
        <w:jc w:val="center"/>
        <w:rPr>
          <w:b/>
        </w:rPr>
      </w:pPr>
    </w:p>
    <w:p w:rsidR="00621D3A" w:rsidRDefault="00621D3A" w:rsidP="00A67AB5">
      <w:pPr>
        <w:spacing w:line="240" w:lineRule="auto"/>
        <w:jc w:val="center"/>
        <w:rPr>
          <w:b/>
        </w:rPr>
      </w:pPr>
    </w:p>
    <w:p w:rsidR="00621D3A" w:rsidRDefault="00621D3A" w:rsidP="00A67AB5">
      <w:pPr>
        <w:spacing w:line="240" w:lineRule="auto"/>
        <w:jc w:val="center"/>
        <w:rPr>
          <w:b/>
        </w:rPr>
      </w:pPr>
    </w:p>
    <w:p w:rsidR="00621D3A" w:rsidRDefault="00621D3A" w:rsidP="00A67AB5">
      <w:pPr>
        <w:spacing w:line="240" w:lineRule="auto"/>
        <w:jc w:val="center"/>
        <w:rPr>
          <w:b/>
        </w:rPr>
      </w:pPr>
    </w:p>
    <w:p w:rsidR="008B5194" w:rsidRDefault="008B5194" w:rsidP="00A67AB5">
      <w:pPr>
        <w:spacing w:line="240" w:lineRule="auto"/>
        <w:jc w:val="center"/>
        <w:rPr>
          <w:b/>
        </w:rPr>
      </w:pPr>
      <w:bookmarkStart w:id="0" w:name="_GoBack"/>
      <w:bookmarkEnd w:id="0"/>
    </w:p>
    <w:p w:rsidR="00A67AB5" w:rsidRPr="009A387D" w:rsidRDefault="0041413C" w:rsidP="00447FCD">
      <w:pPr>
        <w:spacing w:line="480" w:lineRule="auto"/>
        <w:jc w:val="center"/>
      </w:pPr>
      <w:r w:rsidRPr="0041413C">
        <w:lastRenderedPageBreak/>
        <w:t>Gender Differences in Environmentally Sustainable Behavior and its Determinants</w:t>
      </w:r>
    </w:p>
    <w:p w:rsidR="00C678CD" w:rsidRDefault="00A67AB5" w:rsidP="00C678CD">
      <w:pPr>
        <w:spacing w:line="480" w:lineRule="auto"/>
        <w:ind w:firstLine="720"/>
      </w:pPr>
      <w:r>
        <w:t>Over the past several years, there has been an increasing interest in incorporating environmentally responsible behaviors into the workplace (Society of Human Resource Management, 2010</w:t>
      </w:r>
      <w:r w:rsidR="007134C0">
        <w:t xml:space="preserve">; </w:t>
      </w:r>
      <w:r w:rsidR="007134C0">
        <w:rPr>
          <w:noProof/>
        </w:rPr>
        <w:t>United Nations Environment Programme, 2008</w:t>
      </w:r>
      <w:r>
        <w:t>). Projections indicate that 4.2 million new green jobs will be added by 2038, which could constitute 10% of job growth over the next 30 years (Global Insight, 2008). As the green economy grows it is important to consider how men and women might be differentially attracted to these new positions</w:t>
      </w:r>
      <w:r w:rsidR="000E1AE8">
        <w:t>, and ultimately how they perform in these roles</w:t>
      </w:r>
      <w:r>
        <w:t xml:space="preserve">. </w:t>
      </w:r>
      <w:r w:rsidR="00952157">
        <w:t>In</w:t>
      </w:r>
      <w:r>
        <w:t xml:space="preserve"> their </w:t>
      </w:r>
      <w:r w:rsidRPr="000D5DD6">
        <w:rPr>
          <w:i/>
        </w:rPr>
        <w:t>CNN</w:t>
      </w:r>
      <w:r>
        <w:t xml:space="preserve"> article “Wanted: Women leaders in going globally green”, Johnson and Rogers (2011)  call for an increased effort in recruiting and encouraging women to assume green leadership positions so that their talent and resources can be utilized in the environmental domain. At present, organizations are at risk of not fully benefitting from women’s interests, skills, and abilities. For instance, women comprised only 26% of employees in science and engineering positions within the U.S. in 2006 (National Science Foundation, 2006). Specifically in the field of forestry and conservation science, women held only 14% of positions. These figures, along with similar statistics about the proportion of women in science, technology, engineering, and math (STEM) careers (</w:t>
      </w:r>
      <w:proofErr w:type="spellStart"/>
      <w:r>
        <w:t>Ceci</w:t>
      </w:r>
      <w:proofErr w:type="spellEnd"/>
      <w:r>
        <w:t xml:space="preserve">, Williams, &amp; Barnett, 2009), are a cause for concern with respect to women’s participation in the growing green economy. A better understanding of differences in men and women’s environmental values, attitudes, </w:t>
      </w:r>
      <w:r w:rsidR="00621D3A">
        <w:t xml:space="preserve">behaviors, </w:t>
      </w:r>
      <w:r>
        <w:t xml:space="preserve">and motives is needed in order to determine the resources both genders bring to green jobs, as well as how women’s participation in the green economy can be encouraged. </w:t>
      </w:r>
    </w:p>
    <w:p w:rsidR="00C678CD" w:rsidRDefault="00C678CD" w:rsidP="00C678CD">
      <w:pPr>
        <w:spacing w:line="480" w:lineRule="auto"/>
        <w:ind w:firstLine="720"/>
      </w:pPr>
    </w:p>
    <w:p w:rsidR="00C678CD" w:rsidRDefault="00C678CD" w:rsidP="00C678CD">
      <w:pPr>
        <w:spacing w:line="480" w:lineRule="auto"/>
        <w:ind w:firstLine="720"/>
      </w:pPr>
    </w:p>
    <w:p w:rsidR="00A67AB5" w:rsidRPr="00C3766E" w:rsidRDefault="00A67AB5" w:rsidP="00447FCD">
      <w:pPr>
        <w:spacing w:line="480" w:lineRule="auto"/>
        <w:rPr>
          <w:i/>
        </w:rPr>
      </w:pPr>
      <w:r w:rsidRPr="00C3766E">
        <w:rPr>
          <w:i/>
        </w:rPr>
        <w:lastRenderedPageBreak/>
        <w:t xml:space="preserve">Contributions of the </w:t>
      </w:r>
      <w:r w:rsidR="00C3766E">
        <w:rPr>
          <w:i/>
        </w:rPr>
        <w:t>Present Meta-A</w:t>
      </w:r>
      <w:r w:rsidRPr="00C3766E">
        <w:rPr>
          <w:i/>
        </w:rPr>
        <w:t>nalysis</w:t>
      </w:r>
    </w:p>
    <w:p w:rsidR="00A67AB5" w:rsidRDefault="00A67AB5" w:rsidP="00447FCD">
      <w:pPr>
        <w:spacing w:line="480" w:lineRule="auto"/>
        <w:ind w:firstLine="720"/>
      </w:pPr>
      <w:r>
        <w:t>Given past findings on gender differences in environmental values, attitudes,</w:t>
      </w:r>
      <w:r w:rsidR="00621D3A">
        <w:t xml:space="preserve"> behaviors,</w:t>
      </w:r>
      <w:r>
        <w:t xml:space="preserve"> and motives within household environments, an individual’s gender </w:t>
      </w:r>
      <w:r w:rsidR="00621D3A">
        <w:t>may</w:t>
      </w:r>
      <w:r>
        <w:t xml:space="preserve"> contribute to differences in environmental behaviors within the workplace. </w:t>
      </w:r>
      <w:r w:rsidR="006B5F9A">
        <w:t>While gender differences in pro-environmental behaviors have been examined meta-analytically</w:t>
      </w:r>
      <w:r>
        <w:t xml:space="preserve">, no previous meta-analysis has examined gender differences in </w:t>
      </w:r>
      <w:r w:rsidR="001C042A">
        <w:t xml:space="preserve">environmental </w:t>
      </w:r>
      <w:r>
        <w:t>values, a</w:t>
      </w:r>
      <w:r w:rsidR="00A40580">
        <w:t>ttitudes toward specific</w:t>
      </w:r>
      <w:r w:rsidR="001C042A">
        <w:t xml:space="preserve"> environmental</w:t>
      </w:r>
      <w:r w:rsidR="00A40580">
        <w:t xml:space="preserve"> issues and </w:t>
      </w:r>
      <w:r>
        <w:t>behaviors, commitment</w:t>
      </w:r>
      <w:r w:rsidR="00A40580">
        <w:t xml:space="preserve"> attitudes</w:t>
      </w:r>
      <w:r>
        <w:t>, or motives. Thus, we conducted a</w:t>
      </w:r>
      <w:r w:rsidR="00A40580">
        <w:t xml:space="preserve"> comprehensive meta-analysis </w:t>
      </w:r>
      <w:r>
        <w:t>to examine the relationships between gender and these environmental criteria and interpret these findings in terms of implications for the workplace.</w:t>
      </w:r>
      <w:r w:rsidRPr="00C450B9">
        <w:t xml:space="preserve"> </w:t>
      </w:r>
    </w:p>
    <w:p w:rsidR="00A67AB5" w:rsidRDefault="00A67AB5" w:rsidP="00447FCD">
      <w:pPr>
        <w:spacing w:line="480" w:lineRule="auto"/>
        <w:ind w:firstLine="720"/>
      </w:pPr>
      <w:r>
        <w:t xml:space="preserve">In </w:t>
      </w:r>
      <w:r w:rsidR="00952157">
        <w:t>order to understand</w:t>
      </w:r>
      <w:r>
        <w:t xml:space="preserve"> differences in participation in green occupations among men and women</w:t>
      </w:r>
      <w:r w:rsidR="00952157">
        <w:t>,</w:t>
      </w:r>
      <w:r>
        <w:t xml:space="preserve"> an initial question is whether or not there are differences in men’s and women’s environmental values. Do men and women equally value and appreciate the natural environment? We also examine whether men or women hold more pro-environmental attitudes and if one group is more committed to the environment. </w:t>
      </w:r>
      <w:r w:rsidR="00161636">
        <w:t xml:space="preserve">We then examine actual behaviors in terms of which gender is more likely to engage in environmentally sustainable behaviors in non-workplace settings. </w:t>
      </w:r>
      <w:r>
        <w:t>Lastly, we examine the motives men and women cite for engaging in green behaviors, looking at which motives are endorsed more often by men and women. Understanding why individuals engage in green behaviors is crucial to understanding how to best recruit men and w</w:t>
      </w:r>
      <w:r w:rsidR="00A40580">
        <w:t>omen for green positions and</w:t>
      </w:r>
      <w:r>
        <w:t xml:space="preserve"> how to increase pro-environmental work behaviors. </w:t>
      </w:r>
    </w:p>
    <w:p w:rsidR="00A67AB5" w:rsidRPr="00C3766E" w:rsidRDefault="00A67AB5" w:rsidP="00447FCD">
      <w:pPr>
        <w:spacing w:line="480" w:lineRule="auto"/>
        <w:rPr>
          <w:i/>
        </w:rPr>
      </w:pPr>
      <w:r w:rsidRPr="00C3766E">
        <w:rPr>
          <w:i/>
        </w:rPr>
        <w:t>Environmental Values</w:t>
      </w:r>
    </w:p>
    <w:p w:rsidR="00A67AB5" w:rsidRDefault="00A67AB5" w:rsidP="00447FCD">
      <w:pPr>
        <w:spacing w:line="480" w:lineRule="auto"/>
      </w:pPr>
      <w:r>
        <w:tab/>
        <w:t xml:space="preserve">Environmental values encompass individuals’ appreciation for the natural environment, with the environment being viewed as having utility or merit. Values serve as guiding principles in a person’s life, influencing how individuals define desirable actions and outcomes and how </w:t>
      </w:r>
      <w:r>
        <w:lastRenderedPageBreak/>
        <w:t>they make important life decisions (</w:t>
      </w:r>
      <w:proofErr w:type="spellStart"/>
      <w:r>
        <w:t>Rokeach</w:t>
      </w:r>
      <w:proofErr w:type="spellEnd"/>
      <w:r>
        <w:t xml:space="preserve">, 1973; Schwartz &amp; </w:t>
      </w:r>
      <w:proofErr w:type="spellStart"/>
      <w:r>
        <w:t>Bilsky</w:t>
      </w:r>
      <w:proofErr w:type="spellEnd"/>
      <w:r>
        <w:t>, 1987). Lifestyle preferences and interests can affect vocational decisions and career persistence (</w:t>
      </w:r>
      <w:proofErr w:type="spellStart"/>
      <w:r>
        <w:t>Ceci</w:t>
      </w:r>
      <w:proofErr w:type="spellEnd"/>
      <w:r>
        <w:t xml:space="preserve"> et al., 2009; Robertson, </w:t>
      </w:r>
      <w:proofErr w:type="spellStart"/>
      <w:r>
        <w:t>Smeets</w:t>
      </w:r>
      <w:proofErr w:type="spellEnd"/>
      <w:r>
        <w:t xml:space="preserve">, </w:t>
      </w:r>
      <w:proofErr w:type="spellStart"/>
      <w:r>
        <w:t>Lubinski</w:t>
      </w:r>
      <w:proofErr w:type="spellEnd"/>
      <w:r>
        <w:t xml:space="preserve">, &amp; </w:t>
      </w:r>
      <w:proofErr w:type="spellStart"/>
      <w:r>
        <w:t>Benbow</w:t>
      </w:r>
      <w:proofErr w:type="spellEnd"/>
      <w:r>
        <w:t>, 2010). Individuals who highly value the environment may be drawn to positions and careers where they can contribute to protecting</w:t>
      </w:r>
      <w:r w:rsidR="00F64291">
        <w:t xml:space="preserve"> and improving the environment.</w:t>
      </w:r>
      <w:r>
        <w:t xml:space="preserve"> Although only a few studies </w:t>
      </w:r>
      <w:r w:rsidR="00952157">
        <w:t>have examined</w:t>
      </w:r>
      <w:r>
        <w:t xml:space="preserve"> gender differences in environmental values, there is some evidence that women value the environment more highly than </w:t>
      </w:r>
      <w:r w:rsidR="00510671">
        <w:t xml:space="preserve">men. Mayer </w:t>
      </w:r>
      <w:r>
        <w:t>and Frantz (2004) found that women valued the environment to a greater extent and felt more connected to it than men across three different samples, with correlation coefficients ranging from .10 to .36. A cross-cultural study of 2,160 participants from 14 countries found a small relationship between gender and eco-centric values (</w:t>
      </w:r>
      <w:r w:rsidRPr="00EA4CD7">
        <w:rPr>
          <w:i/>
        </w:rPr>
        <w:t>r</w:t>
      </w:r>
      <w:r>
        <w:t xml:space="preserve"> = .10; </w:t>
      </w:r>
      <w:proofErr w:type="spellStart"/>
      <w:r>
        <w:t>Zelezny</w:t>
      </w:r>
      <w:proofErr w:type="spellEnd"/>
      <w:r>
        <w:t>, Chua, &amp; Aldrich, 2000). Given the gender differences that have been found in environmental values, we expect that women may be more likely to value the environment</w:t>
      </w:r>
      <w:r w:rsidR="004248DB">
        <w:t xml:space="preserve"> across studies</w:t>
      </w:r>
      <w:r>
        <w:t xml:space="preserve">. </w:t>
      </w:r>
    </w:p>
    <w:p w:rsidR="00A67AB5" w:rsidRPr="00C3766E" w:rsidRDefault="00A67AB5" w:rsidP="00447FCD">
      <w:pPr>
        <w:spacing w:line="480" w:lineRule="auto"/>
        <w:rPr>
          <w:i/>
        </w:rPr>
      </w:pPr>
      <w:r w:rsidRPr="00C3766E">
        <w:rPr>
          <w:i/>
        </w:rPr>
        <w:t>Environmental Attitudes toward Specific Issues and Behaviors</w:t>
      </w:r>
    </w:p>
    <w:p w:rsidR="00A67AB5" w:rsidRDefault="00A67AB5" w:rsidP="00447FCD">
      <w:pPr>
        <w:spacing w:line="480" w:lineRule="auto"/>
        <w:ind w:firstLine="720"/>
      </w:pPr>
      <w:r>
        <w:t xml:space="preserve">Environmental attitudes consist of two categories: specific attitudes and environmental commitment attitudes. Specific environmental attitudes are individuals’ positive or negative evaluations of specific environmental issues or behaviors. For instance, individuals are asked to report on their specific attitudes toward issues such as recycling, environmental regulation, or alternative energy development. </w:t>
      </w:r>
    </w:p>
    <w:p w:rsidR="00A67AB5" w:rsidRDefault="00A67AB5" w:rsidP="00447FCD">
      <w:pPr>
        <w:spacing w:line="480" w:lineRule="auto"/>
        <w:ind w:firstLine="720"/>
      </w:pPr>
      <w:r>
        <w:t xml:space="preserve">Individuals who </w:t>
      </w:r>
      <w:r w:rsidR="00F84184">
        <w:t xml:space="preserve">value </w:t>
      </w:r>
      <w:r>
        <w:t>the environment may also be more favorable toward specific environmental behaviors</w:t>
      </w:r>
      <w:r w:rsidR="00952157">
        <w:t>, because</w:t>
      </w:r>
      <w:r>
        <w:t xml:space="preserve"> they are more likely to see the need for pro-environmental behaviors. Findings with respect to </w:t>
      </w:r>
      <w:r w:rsidR="00F84184">
        <w:t xml:space="preserve">gender differences in </w:t>
      </w:r>
      <w:r>
        <w:t xml:space="preserve">specific environmental attitudes have been inconsistent. </w:t>
      </w:r>
      <w:proofErr w:type="spellStart"/>
      <w:r>
        <w:t>Eisler</w:t>
      </w:r>
      <w:proofErr w:type="spellEnd"/>
      <w:r>
        <w:t xml:space="preserve">, </w:t>
      </w:r>
      <w:proofErr w:type="spellStart"/>
      <w:r>
        <w:t>Eisler</w:t>
      </w:r>
      <w:proofErr w:type="spellEnd"/>
      <w:r>
        <w:t xml:space="preserve">, and Yoshida (2003) found that women had more pro-environmental attitudes toward issues such as preserving nature and providing more ecological </w:t>
      </w:r>
      <w:r>
        <w:lastRenderedPageBreak/>
        <w:t>education in schools. In another study, men thought it was slightly more important to allocate funds to clean up streams and rivers and to allocate land and water for recreation and protection of fish and wildlife than women (</w:t>
      </w:r>
      <w:proofErr w:type="spellStart"/>
      <w:r>
        <w:t>Mohai</w:t>
      </w:r>
      <w:proofErr w:type="spellEnd"/>
      <w:r>
        <w:t xml:space="preserve">, 1992). This meta-analysis aims to determine the overall </w:t>
      </w:r>
      <w:r w:rsidR="004248DB">
        <w:t xml:space="preserve">direction and magnitude of the </w:t>
      </w:r>
      <w:r>
        <w:t>relationship between gender and attitudes toward specific issues and behaviors.</w:t>
      </w:r>
    </w:p>
    <w:p w:rsidR="00A67AB5" w:rsidRPr="00C3766E" w:rsidRDefault="00A67AB5" w:rsidP="00447FCD">
      <w:pPr>
        <w:spacing w:line="480" w:lineRule="auto"/>
        <w:rPr>
          <w:i/>
        </w:rPr>
      </w:pPr>
      <w:r w:rsidRPr="00C3766E">
        <w:rPr>
          <w:i/>
        </w:rPr>
        <w:t>Environmental Commitment</w:t>
      </w:r>
    </w:p>
    <w:p w:rsidR="004248DB" w:rsidRDefault="00A67AB5" w:rsidP="00447FCD">
      <w:pPr>
        <w:spacing w:line="480" w:lineRule="auto"/>
        <w:ind w:firstLine="720"/>
      </w:pPr>
      <w:r>
        <w:t xml:space="preserve">Another type of environmental attitude is environmental commitment. Environmental commitment is defined as how committed individuals are to the environment in terms of how willing they are to personally pay or expend effort for particular environmental causes or outcomes. For example, commitment items ask participants to indicate their willingness to pay more for environmental products or services. Fewer studies have examined gender differences in environmental commitment than environmental attitudes toward specific issues. Individuals who value the environment and hold pro-environmental attitudes should also be more willing to commit to environmental action. Interestingly, </w:t>
      </w:r>
      <w:proofErr w:type="spellStart"/>
      <w:r>
        <w:t>Andreoni</w:t>
      </w:r>
      <w:proofErr w:type="spellEnd"/>
      <w:r>
        <w:t xml:space="preserve"> and </w:t>
      </w:r>
      <w:proofErr w:type="spellStart"/>
      <w:r>
        <w:t>Vesterlund</w:t>
      </w:r>
      <w:proofErr w:type="spellEnd"/>
      <w:r>
        <w:t xml:space="preserve"> </w:t>
      </w:r>
      <w:r>
        <w:rPr>
          <w:noProof/>
        </w:rPr>
        <w:t>(2001)</w:t>
      </w:r>
      <w:r>
        <w:t xml:space="preserve"> found that women were more altruistic when the monetary costs of helping were greater, whereas men were more altruistic when the costs were small. Across studies we would expect women to be more committed to the environment in terms of their willingness to pay more to protect the environment.</w:t>
      </w:r>
    </w:p>
    <w:p w:rsidR="005D3F8C" w:rsidRDefault="005D3F8C" w:rsidP="00447FCD">
      <w:pPr>
        <w:spacing w:line="480" w:lineRule="auto"/>
        <w:rPr>
          <w:i/>
        </w:rPr>
      </w:pPr>
      <w:r>
        <w:rPr>
          <w:i/>
        </w:rPr>
        <w:t>Green Behaviors</w:t>
      </w:r>
    </w:p>
    <w:p w:rsidR="006B5F9A" w:rsidRDefault="005D3F8C" w:rsidP="006B5F9A">
      <w:pPr>
        <w:spacing w:line="480" w:lineRule="auto"/>
      </w:pPr>
      <w:r>
        <w:tab/>
        <w:t xml:space="preserve">Several literature reviews have focused on gender differences in pro-environmental behaviors within non-workplace settings (e.g., Diamantopoulos, </w:t>
      </w:r>
      <w:proofErr w:type="spellStart"/>
      <w:r w:rsidRPr="007F31BA">
        <w:t>Schlegelmilch</w:t>
      </w:r>
      <w:proofErr w:type="spellEnd"/>
      <w:r w:rsidRPr="007F31BA">
        <w:t>,</w:t>
      </w:r>
      <w:r>
        <w:t xml:space="preserve"> </w:t>
      </w:r>
      <w:proofErr w:type="spellStart"/>
      <w:r>
        <w:t>Sinkovics</w:t>
      </w:r>
      <w:proofErr w:type="spellEnd"/>
      <w:r>
        <w:t xml:space="preserve"> </w:t>
      </w:r>
      <w:r w:rsidRPr="007F31BA">
        <w:t>&amp; Bohlen</w:t>
      </w:r>
      <w:r>
        <w:t xml:space="preserve">, 2003; Van </w:t>
      </w:r>
      <w:proofErr w:type="spellStart"/>
      <w:r>
        <w:t>Liere</w:t>
      </w:r>
      <w:proofErr w:type="spellEnd"/>
      <w:r>
        <w:t xml:space="preserve"> &amp; Dunlap, 1980), with two meta-analyses examining the average magnitude of these gender differences within households (Hines et al., 1986-87; </w:t>
      </w:r>
      <w:proofErr w:type="spellStart"/>
      <w:r>
        <w:t>Zelezny</w:t>
      </w:r>
      <w:proofErr w:type="spellEnd"/>
      <w:r>
        <w:t xml:space="preserve"> et al., </w:t>
      </w:r>
      <w:r>
        <w:lastRenderedPageBreak/>
        <w:t xml:space="preserve">2000). The first meta-analysis (Hines et al.) found a relationship of </w:t>
      </w:r>
      <w:r w:rsidRPr="001A680F">
        <w:rPr>
          <w:i/>
        </w:rPr>
        <w:t>r</w:t>
      </w:r>
      <w:r>
        <w:t xml:space="preserve"> = .075 between gender and environmental behavior based on four studies, with women more likely to engage in green behaviors than men. To update this meta-analysis, </w:t>
      </w:r>
      <w:proofErr w:type="spellStart"/>
      <w:r>
        <w:t>Zelezny</w:t>
      </w:r>
      <w:proofErr w:type="spellEnd"/>
      <w:r>
        <w:t xml:space="preserve"> et al. summarized 13 relevant studies conducted between 1988 and 1998, with an average gender-environmental behavior relationship of similar magnitude (</w:t>
      </w:r>
      <w:r w:rsidRPr="00AD7D9C">
        <w:rPr>
          <w:i/>
        </w:rPr>
        <w:t>r</w:t>
      </w:r>
      <w:r>
        <w:rPr>
          <w:i/>
        </w:rPr>
        <w:t xml:space="preserve"> </w:t>
      </w:r>
      <w:r>
        <w:t xml:space="preserve">= .10). Thus, evidence to date has found women to be slightly more likely to engage in green behaviors than men in the household domain. These findings with respect to the relationship between gender and pro-environmental behaviors appear to be robust across cultures. </w:t>
      </w:r>
      <w:proofErr w:type="spellStart"/>
      <w:r>
        <w:t>Zelezny</w:t>
      </w:r>
      <w:proofErr w:type="spellEnd"/>
      <w:r>
        <w:t xml:space="preserve"> et al. (2000) surveyed 1,871 undergraduates from 14 North American, Latin American, and European countries and found that females reported greater participation in pro-environmental behaviors than males in 11 of 14 of these countries, with an overall correlation between gender and pro-environmental behavior of .09.</w:t>
      </w:r>
    </w:p>
    <w:p w:rsidR="00F63B4E" w:rsidRDefault="0006688D" w:rsidP="00F63B4E">
      <w:pPr>
        <w:spacing w:line="480" w:lineRule="auto"/>
        <w:ind w:firstLine="720"/>
      </w:pPr>
      <w:r>
        <w:t>The</w:t>
      </w:r>
      <w:r w:rsidR="00E376B3">
        <w:t>se meta-analyse</w:t>
      </w:r>
      <w:r>
        <w:t xml:space="preserve">s </w:t>
      </w:r>
      <w:r w:rsidR="00E376B3">
        <w:t>examining</w:t>
      </w:r>
      <w:r>
        <w:t xml:space="preserve"> gender differences in behavior </w:t>
      </w:r>
      <w:r w:rsidR="00E376B3">
        <w:t>were</w:t>
      </w:r>
      <w:r>
        <w:t xml:space="preserve"> based on the relatively small number of studies</w:t>
      </w:r>
      <w:r w:rsidR="00E376B3">
        <w:t xml:space="preserve"> and do</w:t>
      </w:r>
      <w:r>
        <w:t xml:space="preserve"> not examine gender differences by types of behavior. Since </w:t>
      </w:r>
      <w:r w:rsidR="00F84184">
        <w:t>the</w:t>
      </w:r>
      <w:r>
        <w:t xml:space="preserve"> </w:t>
      </w:r>
      <w:r w:rsidR="00F84184">
        <w:t xml:space="preserve">most recent </w:t>
      </w:r>
      <w:r>
        <w:t>publication over a decade ago, there have been more articles published</w:t>
      </w:r>
      <w:r w:rsidR="00E376B3">
        <w:t xml:space="preserve"> that could </w:t>
      </w:r>
      <w:r w:rsidR="00F84184">
        <w:t>be included in</w:t>
      </w:r>
      <w:r w:rsidR="00E376B3">
        <w:t xml:space="preserve"> a meta-analysis</w:t>
      </w:r>
      <w:r>
        <w:t>, as well as an empirical taxonomy of green behavior (</w:t>
      </w:r>
      <w:r w:rsidR="00E376B3">
        <w:t xml:space="preserve">Ones &amp; </w:t>
      </w:r>
      <w:proofErr w:type="spellStart"/>
      <w:r w:rsidR="00E376B3">
        <w:t>Dilchert</w:t>
      </w:r>
      <w:proofErr w:type="spellEnd"/>
      <w:r w:rsidR="00E376B3">
        <w:t>, 2009; 2012).</w:t>
      </w:r>
      <w:r w:rsidR="00F84184">
        <w:t xml:space="preserve"> Ones and </w:t>
      </w:r>
      <w:proofErr w:type="spellStart"/>
      <w:r w:rsidR="00F84184">
        <w:t>Dilchert</w:t>
      </w:r>
      <w:proofErr w:type="spellEnd"/>
      <w:r w:rsidR="00F84184">
        <w:t xml:space="preserve"> identified five </w:t>
      </w:r>
      <w:r w:rsidR="008871E1">
        <w:t>meta-</w:t>
      </w:r>
      <w:r w:rsidR="00F84184">
        <w:t xml:space="preserve">categories of </w:t>
      </w:r>
      <w:r w:rsidR="008871E1">
        <w:t xml:space="preserve">employee </w:t>
      </w:r>
      <w:r w:rsidR="00F84184">
        <w:t xml:space="preserve">green behavior which include (1) Working Sustainably, (2) Avoiding Harm, (3) Conserving, (4) Influencing </w:t>
      </w:r>
      <w:proofErr w:type="gramStart"/>
      <w:r w:rsidR="00F84184">
        <w:t>Oth</w:t>
      </w:r>
      <w:r w:rsidR="008871E1">
        <w:t>ers</w:t>
      </w:r>
      <w:proofErr w:type="gramEnd"/>
      <w:r w:rsidR="008871E1">
        <w:t>, and (5) Taking Initiative. Within the workplace</w:t>
      </w:r>
      <w:r w:rsidR="00F63B4E">
        <w:t xml:space="preserve"> working sustainably includes behaviors such as choosing responsible alternatives and creating sustainable products and processes. In non-workplace settings, this category translates to living s</w:t>
      </w:r>
      <w:r w:rsidR="008871E1">
        <w:t>ustainably</w:t>
      </w:r>
      <w:r w:rsidR="00F63B4E">
        <w:t xml:space="preserve">, with the most relevant behavior choosing responsible (i.e., eco-friendly) </w:t>
      </w:r>
      <w:r w:rsidR="00B63550">
        <w:t>alternative</w:t>
      </w:r>
      <w:r w:rsidR="00F63B4E">
        <w:t xml:space="preserve">s. </w:t>
      </w:r>
      <w:r w:rsidR="008871E1">
        <w:t xml:space="preserve">Avoiding Harm consists of behaviors related to preventing pollution, monitoring environmental impacts, and strengthening ecosystems. </w:t>
      </w:r>
      <w:r w:rsidR="00F84184">
        <w:t xml:space="preserve">The Conserving category includes avoiding wastefulness and </w:t>
      </w:r>
      <w:r w:rsidR="00F84184">
        <w:lastRenderedPageBreak/>
        <w:t xml:space="preserve">conserving resources (which includes sub-facets of </w:t>
      </w:r>
      <w:r w:rsidR="008871E1">
        <w:t>r</w:t>
      </w:r>
      <w:r w:rsidR="00F84184">
        <w:t xml:space="preserve">educing </w:t>
      </w:r>
      <w:r w:rsidR="008871E1">
        <w:t>use, reusing, r</w:t>
      </w:r>
      <w:r w:rsidR="00F84184">
        <w:t xml:space="preserve">epurposing, and </w:t>
      </w:r>
      <w:r w:rsidR="008871E1">
        <w:t>r</w:t>
      </w:r>
      <w:r w:rsidR="00F84184">
        <w:t>ecycling).</w:t>
      </w:r>
      <w:r w:rsidR="008871E1">
        <w:t xml:space="preserve"> Educating, encouraging, and supporting others with respect to the environment fall under the Influencing Others category. Lastly, Taking Initiative encompasses proactive, entrepreneurial behaviors, such as lobbying and activism for the environment. Since these behaviors are functionally and psychologically distinct, there may be differences in the extent to which men and women engage in each type of behavior.</w:t>
      </w:r>
      <w:r w:rsidR="00F63B4E">
        <w:t xml:space="preserve"> In addition, several researchers have made a distinction between “private” and “public” green behaviors in order to distinguish between inherently different categories of pro-environmental behaviors such as recycling at home (a private behavior) and protesting environmental issues with others (a public behavior). Other public behaviors include petition signing, donating to environmental causes, being a member of an environmental organization, and activist behaviors. Studies that distinguish between these types of behavior have found that women are more likely to participate in private green behaviors than men (Hunter, Hatch, &amp; Johnson, 2004; </w:t>
      </w:r>
      <w:proofErr w:type="spellStart"/>
      <w:r w:rsidR="00F63B4E">
        <w:t>McStay</w:t>
      </w:r>
      <w:proofErr w:type="spellEnd"/>
      <w:r w:rsidR="00F63B4E">
        <w:t xml:space="preserve"> &amp; Dunlap, 1983; Xiao &amp; Hong, 2010). </w:t>
      </w:r>
    </w:p>
    <w:p w:rsidR="00A67AB5" w:rsidRPr="00C3766E" w:rsidRDefault="00A67AB5" w:rsidP="00447FCD">
      <w:pPr>
        <w:spacing w:line="480" w:lineRule="auto"/>
        <w:rPr>
          <w:i/>
        </w:rPr>
      </w:pPr>
      <w:r w:rsidRPr="00C3766E">
        <w:rPr>
          <w:i/>
        </w:rPr>
        <w:t>Environmental Motives</w:t>
      </w:r>
    </w:p>
    <w:p w:rsidR="00FA0817" w:rsidRDefault="00A67AB5" w:rsidP="00447FCD">
      <w:pPr>
        <w:spacing w:line="480" w:lineRule="auto"/>
        <w:ind w:firstLine="720"/>
      </w:pPr>
      <w:r>
        <w:t>Environmental motives are the psychological processes that determine the direction, intensity, and persistence of pro-environmental behavior (</w:t>
      </w:r>
      <w:proofErr w:type="spellStart"/>
      <w:r>
        <w:t>Kanfer</w:t>
      </w:r>
      <w:proofErr w:type="spellEnd"/>
      <w:r>
        <w:t xml:space="preserve">, Chen, &amp; Pritchard, 2008). Motives that have </w:t>
      </w:r>
      <w:r w:rsidR="00952157">
        <w:t xml:space="preserve">been </w:t>
      </w:r>
      <w:r>
        <w:t xml:space="preserve">examined in the literature include social responsibility, or one’s sense of responsibility to help society at large. </w:t>
      </w:r>
      <w:proofErr w:type="spellStart"/>
      <w:r w:rsidR="00FA0817">
        <w:t>Beutel</w:t>
      </w:r>
      <w:proofErr w:type="spellEnd"/>
      <w:r w:rsidR="00FA0817">
        <w:t xml:space="preserve"> &amp; Marini </w:t>
      </w:r>
      <w:r w:rsidR="00FA0817">
        <w:rPr>
          <w:noProof/>
        </w:rPr>
        <w:t>(1995)</w:t>
      </w:r>
      <w:r w:rsidR="00FA0817">
        <w:t xml:space="preserve"> found that female adolescents were more likely to value compassion, which encompasses concern and responsibility for others’ well-being. </w:t>
      </w:r>
      <w:r>
        <w:t xml:space="preserve">Women were found to be more likely to consider future consequences than men, indicating a concern for future generations rather than the self (Lindsay &amp; </w:t>
      </w:r>
      <w:proofErr w:type="spellStart"/>
      <w:r w:rsidRPr="00250D8A">
        <w:t>Strathman</w:t>
      </w:r>
      <w:proofErr w:type="spellEnd"/>
      <w:r w:rsidR="00FA0817">
        <w:t xml:space="preserve">, 1997). As </w:t>
      </w:r>
      <w:r w:rsidR="00FA0817">
        <w:lastRenderedPageBreak/>
        <w:t xml:space="preserve">such, we expect that on average, women will be more likely to cite social responsibility as a motive of green behavior. </w:t>
      </w:r>
    </w:p>
    <w:p w:rsidR="00A67AB5" w:rsidRDefault="00A67AB5" w:rsidP="00447FCD">
      <w:pPr>
        <w:spacing w:line="480" w:lineRule="auto"/>
        <w:ind w:firstLine="720"/>
      </w:pPr>
      <w:r>
        <w:t>Another motivating facto</w:t>
      </w:r>
      <w:r w:rsidR="00952157">
        <w:t>r can be an individual’s</w:t>
      </w:r>
      <w:r>
        <w:t xml:space="preserve"> level of self-efficacy. Self-efficacy </w:t>
      </w:r>
      <w:r w:rsidR="00952157">
        <w:t>refers to</w:t>
      </w:r>
      <w:r w:rsidR="00841E27">
        <w:t xml:space="preserve"> </w:t>
      </w:r>
      <w:r w:rsidR="00952157">
        <w:t>the individual’s</w:t>
      </w:r>
      <w:r>
        <w:t xml:space="preserve"> beliefs in their ability to effectively perform green behaviors. Initial studies on environmental self-efficacy suggest that women feel more capable of performing green behaviors than men. For instance, one study found that female high school students were more likely to express environmental self-efficacy than males (</w:t>
      </w:r>
      <w:r>
        <w:rPr>
          <w:i/>
        </w:rPr>
        <w:t>d</w:t>
      </w:r>
      <w:r>
        <w:t xml:space="preserve"> = .26; </w:t>
      </w:r>
      <w:proofErr w:type="spellStart"/>
      <w:r>
        <w:t>Meinhold</w:t>
      </w:r>
      <w:proofErr w:type="spellEnd"/>
      <w:r>
        <w:t xml:space="preserve"> &amp; </w:t>
      </w:r>
      <w:proofErr w:type="spellStart"/>
      <w:r>
        <w:t>Malkus</w:t>
      </w:r>
      <w:proofErr w:type="spellEnd"/>
      <w:r>
        <w:t>, 2005). A related construct is knowledge-based efficacy, or the belief that one has the knowledge to effectively perform green behaviors. Men have been found to have higher levels of knowledge-based efficacy (</w:t>
      </w:r>
      <w:r w:rsidRPr="00C251B0">
        <w:rPr>
          <w:i/>
        </w:rPr>
        <w:t>d</w:t>
      </w:r>
      <w:r>
        <w:t xml:space="preserve"> = -.17; </w:t>
      </w:r>
      <w:proofErr w:type="spellStart"/>
      <w:r>
        <w:t>Guagnano</w:t>
      </w:r>
      <w:proofErr w:type="spellEnd"/>
      <w:r>
        <w:t xml:space="preserve"> &amp; </w:t>
      </w:r>
      <w:proofErr w:type="spellStart"/>
      <w:r>
        <w:t>Markee</w:t>
      </w:r>
      <w:proofErr w:type="spellEnd"/>
      <w:r>
        <w:t>, 1995). It is not surprising that men are more confident about their levels of environmental knowledge given that studies have found men display greater knowledge of environmental facts, information, and principles than women (</w:t>
      </w:r>
      <w:proofErr w:type="spellStart"/>
      <w:r>
        <w:t>Arcury</w:t>
      </w:r>
      <w:proofErr w:type="spellEnd"/>
      <w:r>
        <w:t xml:space="preserve">, </w:t>
      </w:r>
      <w:proofErr w:type="spellStart"/>
      <w:r>
        <w:t>Scollay</w:t>
      </w:r>
      <w:proofErr w:type="spellEnd"/>
      <w:r>
        <w:t xml:space="preserve">, &amp; Johnson, 1987; Barrow &amp; </w:t>
      </w:r>
      <w:proofErr w:type="spellStart"/>
      <w:r>
        <w:t>Morrisey</w:t>
      </w:r>
      <w:proofErr w:type="spellEnd"/>
      <w:r>
        <w:t xml:space="preserve">, 1989; </w:t>
      </w:r>
      <w:proofErr w:type="spellStart"/>
      <w:r>
        <w:t>Digby</w:t>
      </w:r>
      <w:proofErr w:type="spellEnd"/>
      <w:r>
        <w:t xml:space="preserve">, 2010; </w:t>
      </w:r>
      <w:proofErr w:type="spellStart"/>
      <w:r>
        <w:t>Schahn</w:t>
      </w:r>
      <w:proofErr w:type="spellEnd"/>
      <w:r>
        <w:t xml:space="preserve"> &amp; </w:t>
      </w:r>
      <w:proofErr w:type="spellStart"/>
      <w:r>
        <w:t>Holzer</w:t>
      </w:r>
      <w:proofErr w:type="spellEnd"/>
      <w:r>
        <w:t xml:space="preserve">, 1990). </w:t>
      </w:r>
    </w:p>
    <w:p w:rsidR="00841E27" w:rsidRDefault="0017001E" w:rsidP="00447FCD">
      <w:pPr>
        <w:spacing w:line="480" w:lineRule="auto"/>
        <w:ind w:firstLine="720"/>
      </w:pPr>
      <w:r>
        <w:t xml:space="preserve">Another factor influencing individuals’ decisions to engage in green behavior is </w:t>
      </w:r>
      <w:r w:rsidR="00841E27">
        <w:t xml:space="preserve">expectancy, or the perceived likelihood that performing certain behaviors will lead to desired </w:t>
      </w:r>
      <w:r>
        <w:t xml:space="preserve">environmental </w:t>
      </w:r>
      <w:r w:rsidR="00841E27">
        <w:t>outcomes. A stud</w:t>
      </w:r>
      <w:r>
        <w:t xml:space="preserve">y examined </w:t>
      </w:r>
      <w:r w:rsidR="00CE5646">
        <w:t xml:space="preserve">605 </w:t>
      </w:r>
      <w:r>
        <w:t>consumers’ judgments about their ability to affect environmental</w:t>
      </w:r>
      <w:r w:rsidR="00CE5646">
        <w:t xml:space="preserve"> and resource</w:t>
      </w:r>
      <w:r>
        <w:t xml:space="preserve"> problems through their purchasing behavior (Roberts, 1996). Women reported stronger perceived effectiveness of their purchasing </w:t>
      </w:r>
      <w:r w:rsidR="00CE5646">
        <w:t>behavior (</w:t>
      </w:r>
      <w:r w:rsidR="00CE5646" w:rsidRPr="00CE5646">
        <w:rPr>
          <w:i/>
        </w:rPr>
        <w:t>d</w:t>
      </w:r>
      <w:r w:rsidR="00CE5646">
        <w:t xml:space="preserve"> = .28)</w:t>
      </w:r>
      <w:r w:rsidR="004248DB">
        <w:t>, indicating that w</w:t>
      </w:r>
      <w:r w:rsidR="00CE5646">
        <w:t>omen may be more optimistic about the effects of their actions on the environment.</w:t>
      </w:r>
    </w:p>
    <w:p w:rsidR="00A67AB5" w:rsidRDefault="00A67AB5" w:rsidP="00447FCD">
      <w:pPr>
        <w:spacing w:line="480" w:lineRule="auto"/>
        <w:ind w:firstLine="720"/>
      </w:pPr>
      <w:r>
        <w:t xml:space="preserve">Lastly, individuals have been asked about the extent to which they are motivated by social norms, or the extent to which pressure from societal or group culture guides green </w:t>
      </w:r>
      <w:r>
        <w:lastRenderedPageBreak/>
        <w:t xml:space="preserve">behavior. Women have been found to score higher on the personality trait of compliance, a facet of Agreeableness (Costa, </w:t>
      </w:r>
      <w:proofErr w:type="spellStart"/>
      <w:r>
        <w:t>Terracciano</w:t>
      </w:r>
      <w:proofErr w:type="spellEnd"/>
      <w:r>
        <w:t>, &amp; McCrae, 2001). Since women are more likely to act in accordance with standards and social pressure, we would expect women to be more likely to cite social norms as influencing their green behavior.</w:t>
      </w:r>
    </w:p>
    <w:p w:rsidR="00A67AB5" w:rsidRPr="00271B13" w:rsidRDefault="00A67AB5" w:rsidP="00447FCD">
      <w:pPr>
        <w:spacing w:line="480" w:lineRule="auto"/>
        <w:jc w:val="center"/>
      </w:pPr>
      <w:r w:rsidRPr="00271B13">
        <w:t>METHODS</w:t>
      </w:r>
    </w:p>
    <w:p w:rsidR="00626F2E" w:rsidRPr="00626F2E" w:rsidRDefault="00626F2E" w:rsidP="00447FCD">
      <w:pPr>
        <w:spacing w:line="480" w:lineRule="auto"/>
        <w:rPr>
          <w:i/>
        </w:rPr>
      </w:pPr>
      <w:r w:rsidRPr="00626F2E">
        <w:rPr>
          <w:i/>
        </w:rPr>
        <w:t>Meta-Analytic Database</w:t>
      </w:r>
    </w:p>
    <w:p w:rsidR="00A67AB5" w:rsidRDefault="00A67AB5" w:rsidP="00447FCD">
      <w:pPr>
        <w:spacing w:line="480" w:lineRule="auto"/>
        <w:ind w:firstLine="720"/>
      </w:pPr>
      <w:r>
        <w:t>We performed a thorough search to locate all articles published between 1970 and 2011 which examine gender differences in relation to our environmental criteria: environmental values, attitudes towar</w:t>
      </w:r>
      <w:r w:rsidR="004248DB">
        <w:t xml:space="preserve">d specific environmental issues and </w:t>
      </w:r>
      <w:r>
        <w:t xml:space="preserve">behaviors, environmental commitment attitudes, and environmental motives. Studies were located by a systematic search of ten journals related to the environment, business/economics, and psychology, and included: the </w:t>
      </w:r>
      <w:r w:rsidRPr="007C7DC7">
        <w:rPr>
          <w:i/>
        </w:rPr>
        <w:t>Academy of Management Journal</w:t>
      </w:r>
      <w:r>
        <w:t xml:space="preserve">, </w:t>
      </w:r>
      <w:r w:rsidRPr="007C7DC7">
        <w:rPr>
          <w:i/>
        </w:rPr>
        <w:t>Environment and Behavior</w:t>
      </w:r>
      <w:r>
        <w:t xml:space="preserve">, the </w:t>
      </w:r>
      <w:r w:rsidRPr="007C7DC7">
        <w:rPr>
          <w:i/>
        </w:rPr>
        <w:t>Journal of Applied Social Psychology</w:t>
      </w:r>
      <w:r>
        <w:t xml:space="preserve">, the </w:t>
      </w:r>
      <w:r w:rsidRPr="007C7DC7">
        <w:rPr>
          <w:i/>
        </w:rPr>
        <w:t>Journal of Applied Social Psychology</w:t>
      </w:r>
      <w:r>
        <w:t xml:space="preserve">, the </w:t>
      </w:r>
      <w:r w:rsidRPr="007C7DC7">
        <w:rPr>
          <w:i/>
        </w:rPr>
        <w:t>Journal of Environmental Education</w:t>
      </w:r>
      <w:r>
        <w:t xml:space="preserve">, </w:t>
      </w:r>
      <w:r w:rsidRPr="007C7DC7">
        <w:rPr>
          <w:i/>
        </w:rPr>
        <w:t>Environment</w:t>
      </w:r>
      <w:r>
        <w:t xml:space="preserve">, </w:t>
      </w:r>
      <w:r w:rsidRPr="007C7DC7">
        <w:rPr>
          <w:i/>
        </w:rPr>
        <w:t>Population and Environment</w:t>
      </w:r>
      <w:r>
        <w:t xml:space="preserve">, the </w:t>
      </w:r>
      <w:r w:rsidRPr="007C7DC7">
        <w:rPr>
          <w:i/>
        </w:rPr>
        <w:t>Journal of Environmental Psychology</w:t>
      </w:r>
      <w:r>
        <w:t xml:space="preserve">, </w:t>
      </w:r>
      <w:r w:rsidRPr="007C7DC7">
        <w:rPr>
          <w:i/>
        </w:rPr>
        <w:t>Harvard Business Review</w:t>
      </w:r>
      <w:r>
        <w:t xml:space="preserve">, and the </w:t>
      </w:r>
      <w:r w:rsidRPr="007C7DC7">
        <w:rPr>
          <w:i/>
        </w:rPr>
        <w:t>Journal of International Management</w:t>
      </w:r>
      <w:r>
        <w:t xml:space="preserve">. </w:t>
      </w:r>
      <w:r w:rsidR="00A01689">
        <w:t>Google Scholar</w:t>
      </w:r>
      <w:r>
        <w:t xml:space="preserve"> and the </w:t>
      </w:r>
      <w:proofErr w:type="spellStart"/>
      <w:r>
        <w:t>PsycInfo</w:t>
      </w:r>
      <w:proofErr w:type="spellEnd"/>
      <w:r>
        <w:t xml:space="preserve"> database were also searched using combinations of the following keywords: environment, green, pro-environmental, sustainable, sustainability, sex, and gender. Reference sections of articles obtained via the first two search methods were also searched for relevant articles. </w:t>
      </w:r>
    </w:p>
    <w:p w:rsidR="00626F2E" w:rsidRDefault="00A67AB5" w:rsidP="00447FCD">
      <w:pPr>
        <w:spacing w:line="480" w:lineRule="auto"/>
        <w:ind w:firstLine="720"/>
      </w:pPr>
      <w:r>
        <w:t xml:space="preserve">One exclusion criterion was set prior to the literature search. Articles with samples of participants under the age of 14 were excluded given that 14 is the legal age of employment for a majority of the United States (U.S. Department of Labor, 2010). While the meta-analytic database comprised studies in non-workplace settings, one purpose of this meta-analysis is to be able to generalize findings to workplace settings and explore the implications these gender </w:t>
      </w:r>
      <w:r>
        <w:lastRenderedPageBreak/>
        <w:t xml:space="preserve">differences have for </w:t>
      </w:r>
      <w:r w:rsidR="004248DB">
        <w:t>the workplace</w:t>
      </w:r>
      <w:r>
        <w:t>.</w:t>
      </w:r>
      <w:r w:rsidR="004248DB">
        <w:t xml:space="preserve"> Thus, only samples with individuals who were legally eligible to work were included in the meta-analysis.</w:t>
      </w:r>
      <w:r w:rsidR="00626F2E">
        <w:t xml:space="preserve"> Given our exclusion and inclusion criteria, 46 studies that examined the relationship between gender and at least one of our environmental criteria were located and contained enough statistical information to compute a </w:t>
      </w:r>
      <w:r w:rsidR="00626F2E" w:rsidRPr="004248DB">
        <w:rPr>
          <w:i/>
        </w:rPr>
        <w:t>d</w:t>
      </w:r>
      <w:r w:rsidR="00626F2E">
        <w:t xml:space="preserve"> value between gender and the criterion of interest. </w:t>
      </w:r>
    </w:p>
    <w:p w:rsidR="00626F2E" w:rsidRPr="00626F2E" w:rsidRDefault="00626F2E" w:rsidP="00447FCD">
      <w:pPr>
        <w:spacing w:line="480" w:lineRule="auto"/>
        <w:rPr>
          <w:i/>
        </w:rPr>
      </w:pPr>
      <w:r w:rsidRPr="00626F2E">
        <w:rPr>
          <w:i/>
        </w:rPr>
        <w:t>Meta-Analytic Procedure</w:t>
      </w:r>
    </w:p>
    <w:p w:rsidR="00A67AB5" w:rsidRDefault="00626F2E" w:rsidP="00447FCD">
      <w:pPr>
        <w:spacing w:line="480" w:lineRule="auto"/>
        <w:ind w:firstLine="720"/>
      </w:pPr>
      <w:r>
        <w:t xml:space="preserve">Hunter and Schmidt’s (2004) </w:t>
      </w:r>
      <w:r w:rsidR="00E45853">
        <w:t>meta-analytic procedure was used to compute a</w:t>
      </w:r>
      <w:r w:rsidR="00A67AB5">
        <w:t>ve</w:t>
      </w:r>
      <w:r w:rsidR="00E45853">
        <w:t>rage effect sizes were for environmental variable</w:t>
      </w:r>
      <w:r w:rsidR="00A67AB5">
        <w:t xml:space="preserve">: environmental values, specific attitudes, commitment attitudes, and each of the five categories of </w:t>
      </w:r>
      <w:r w:rsidR="00734783">
        <w:t xml:space="preserve">green behavior as well as scales that included a combination of different types of green behavior (i.e., “general” behaviors), and each of five </w:t>
      </w:r>
      <w:r w:rsidR="00A67AB5">
        <w:t xml:space="preserve">environmental motives. Individual </w:t>
      </w:r>
      <w:r w:rsidR="00A67AB5" w:rsidRPr="004248DB">
        <w:rPr>
          <w:i/>
        </w:rPr>
        <w:t>d</w:t>
      </w:r>
      <w:r w:rsidR="004248DB">
        <w:t xml:space="preserve"> </w:t>
      </w:r>
      <w:r w:rsidR="00A67AB5">
        <w:t xml:space="preserve">values were corrected for dichotomization. The meta-analysis was corrected for attenuation due to sampling error and </w:t>
      </w:r>
      <w:r>
        <w:t xml:space="preserve">unreliability in the criterion. For each meta-analysis, a distribution of the reported reliability coefficients was constructed. Across studies, there were </w:t>
      </w:r>
      <w:r w:rsidR="00734783">
        <w:t>62</w:t>
      </w:r>
      <w:r>
        <w:t xml:space="preserve"> coefficient alphas that were reported. Table 1 lists the average reliabilities for each criterion measure and other details about the reliability distributions. </w:t>
      </w:r>
      <w:r w:rsidR="00E45853">
        <w:t>Measures of environmental values were the reliable, with an average coefficient alpha of .86 (</w:t>
      </w:r>
      <w:r w:rsidR="00E45853" w:rsidRPr="00E45853">
        <w:rPr>
          <w:i/>
        </w:rPr>
        <w:t>SD</w:t>
      </w:r>
      <w:r w:rsidR="00E45853">
        <w:t xml:space="preserve"> = .05) across 12 studies. The lowest and most variable reliabilities were observed for measures of environmental commitment attitudes, which averaged .65 (</w:t>
      </w:r>
      <w:r w:rsidR="00E45853" w:rsidRPr="00E45853">
        <w:rPr>
          <w:i/>
        </w:rPr>
        <w:t>SD</w:t>
      </w:r>
      <w:r w:rsidR="00E45853">
        <w:t xml:space="preserve"> = .28) across four studies.</w:t>
      </w:r>
    </w:p>
    <w:p w:rsidR="00A67AB5" w:rsidRPr="004F3444" w:rsidRDefault="00A67AB5" w:rsidP="00447FCD">
      <w:pPr>
        <w:spacing w:line="480" w:lineRule="auto"/>
        <w:jc w:val="center"/>
      </w:pPr>
      <w:r w:rsidRPr="004F3444">
        <w:t>RESULTS</w:t>
      </w:r>
    </w:p>
    <w:p w:rsidR="00A67AB5" w:rsidRDefault="00E45853" w:rsidP="00447FCD">
      <w:pPr>
        <w:spacing w:line="480" w:lineRule="auto"/>
        <w:ind w:firstLine="720"/>
      </w:pPr>
      <w:r>
        <w:t>Table 2</w:t>
      </w:r>
      <w:r w:rsidR="00A67AB5">
        <w:t xml:space="preserve"> presents the meta-analytic results. Overall, women were more likely to value the environment (</w:t>
      </w:r>
      <w:proofErr w:type="spellStart"/>
      <w:r w:rsidR="00A67AB5" w:rsidRPr="003D069D">
        <w:rPr>
          <w:i/>
        </w:rPr>
        <w:t>r</w:t>
      </w:r>
      <w:r w:rsidR="00A67AB5" w:rsidRPr="003D069D">
        <w:rPr>
          <w:i/>
          <w:vertAlign w:val="subscript"/>
        </w:rPr>
        <w:t>observed</w:t>
      </w:r>
      <w:proofErr w:type="spellEnd"/>
      <w:r w:rsidR="00A67AB5">
        <w:t xml:space="preserve"> = .19, </w:t>
      </w:r>
      <w:r w:rsidR="00A67AB5" w:rsidRPr="003D069D">
        <w:rPr>
          <w:i/>
        </w:rPr>
        <w:t>k</w:t>
      </w:r>
      <w:r w:rsidR="00A67AB5">
        <w:t xml:space="preserve"> = 18, </w:t>
      </w:r>
      <w:r w:rsidR="00A67AB5" w:rsidRPr="003D069D">
        <w:rPr>
          <w:i/>
        </w:rPr>
        <w:t>N</w:t>
      </w:r>
      <w:r w:rsidR="00A67AB5">
        <w:t xml:space="preserve"> = 15,011). After correcting for statistical artifacts (sampling error and criterion unreliability), the resulting corrected </w:t>
      </w:r>
      <w:r w:rsidR="00A67AB5" w:rsidRPr="003D069D">
        <w:rPr>
          <w:i/>
        </w:rPr>
        <w:t xml:space="preserve">d </w:t>
      </w:r>
      <w:r w:rsidR="00A67AB5">
        <w:t xml:space="preserve">value was .20. This effect </w:t>
      </w:r>
      <w:r w:rsidR="00A67AB5">
        <w:lastRenderedPageBreak/>
        <w:t>size indicates that women on average scored .20 standard deviation units higher in terms of their environmental values. The 90% credibility interval ranges from .05 to .36, indica</w:t>
      </w:r>
      <w:r>
        <w:t xml:space="preserve">ting that these findings </w:t>
      </w:r>
      <w:r w:rsidR="00A67AB5">
        <w:t>generalize across settings.</w:t>
      </w:r>
    </w:p>
    <w:p w:rsidR="00A67AB5" w:rsidRDefault="00A67AB5" w:rsidP="00447FCD">
      <w:pPr>
        <w:spacing w:line="480" w:lineRule="auto"/>
        <w:ind w:firstLine="720"/>
      </w:pPr>
      <w:r>
        <w:t>Specific environmental attitudes were also examined with respect to gender. Across 31 studies and 24,092 individuals, an observed average effect size of .09 was obtained (</w:t>
      </w:r>
      <w:proofErr w:type="spellStart"/>
      <w:r w:rsidRPr="007543C5">
        <w:rPr>
          <w:i/>
        </w:rPr>
        <w:t>d</w:t>
      </w:r>
      <w:r>
        <w:rPr>
          <w:i/>
          <w:vertAlign w:val="subscript"/>
        </w:rPr>
        <w:t>corrected</w:t>
      </w:r>
      <w:proofErr w:type="spellEnd"/>
      <w:r w:rsidRPr="007543C5">
        <w:rPr>
          <w:vertAlign w:val="subscript"/>
        </w:rPr>
        <w:t xml:space="preserve"> </w:t>
      </w:r>
      <w:r>
        <w:t xml:space="preserve">= .11). This indicates that women held slightly more pro-environmental attitudes. However, the standard deviation around the corrected </w:t>
      </w:r>
      <w:r w:rsidRPr="001D3421">
        <w:rPr>
          <w:i/>
        </w:rPr>
        <w:t>d</w:t>
      </w:r>
      <w:r>
        <w:t xml:space="preserve"> value was large (.23) and the amount of variance accounted for low (10.99%). As such the credibility interval was large, ranging from -.28 to .49, indicating that </w:t>
      </w:r>
      <w:r w:rsidR="00E45853">
        <w:t>the effect does</w:t>
      </w:r>
      <w:r>
        <w:t xml:space="preserve"> not generalize across settings.</w:t>
      </w:r>
    </w:p>
    <w:p w:rsidR="00A67AB5" w:rsidRDefault="00A67AB5" w:rsidP="00447FCD">
      <w:pPr>
        <w:spacing w:line="480" w:lineRule="auto"/>
        <w:ind w:firstLine="720"/>
      </w:pPr>
      <w:r>
        <w:t>The second component of attitudes was commitment. Women were found to be more committed to the environment than men (</w:t>
      </w:r>
      <w:proofErr w:type="spellStart"/>
      <w:r w:rsidRPr="001D3421">
        <w:rPr>
          <w:i/>
        </w:rPr>
        <w:t>d</w:t>
      </w:r>
      <w:r w:rsidRPr="001D3421">
        <w:rPr>
          <w:i/>
          <w:vertAlign w:val="subscript"/>
        </w:rPr>
        <w:t>obs</w:t>
      </w:r>
      <w:proofErr w:type="spellEnd"/>
      <w:r>
        <w:t xml:space="preserve"> = .22, </w:t>
      </w:r>
      <w:proofErr w:type="spellStart"/>
      <w:r w:rsidRPr="001D3421">
        <w:rPr>
          <w:i/>
        </w:rPr>
        <w:t>d</w:t>
      </w:r>
      <w:r w:rsidRPr="001D3421">
        <w:rPr>
          <w:i/>
          <w:vertAlign w:val="subscript"/>
        </w:rPr>
        <w:t>corrected</w:t>
      </w:r>
      <w:proofErr w:type="spellEnd"/>
      <w:r>
        <w:t xml:space="preserve"> = .28, </w:t>
      </w:r>
      <w:r w:rsidRPr="00476B0D">
        <w:rPr>
          <w:i/>
        </w:rPr>
        <w:t>k</w:t>
      </w:r>
      <w:r>
        <w:t xml:space="preserve"> = 7, </w:t>
      </w:r>
      <w:r w:rsidRPr="00476B0D">
        <w:rPr>
          <w:i/>
        </w:rPr>
        <w:t>N</w:t>
      </w:r>
      <w:r>
        <w:t xml:space="preserve"> = 3,540). The credibility interval ranges from -.04 to .60, so while the effect is close to generalizing, it may not generalize across all settings.</w:t>
      </w:r>
    </w:p>
    <w:p w:rsidR="00734783" w:rsidRDefault="00734783" w:rsidP="00447FCD">
      <w:pPr>
        <w:spacing w:line="480" w:lineRule="auto"/>
        <w:ind w:firstLine="720"/>
      </w:pPr>
      <w:r>
        <w:t xml:space="preserve">Women were </w:t>
      </w:r>
      <w:r w:rsidR="009F4E17">
        <w:t xml:space="preserve">somewhat </w:t>
      </w:r>
      <w:r>
        <w:t>more likely to engage in green behavior (</w:t>
      </w:r>
      <w:proofErr w:type="spellStart"/>
      <w:r w:rsidRPr="001D3421">
        <w:rPr>
          <w:i/>
        </w:rPr>
        <w:t>d</w:t>
      </w:r>
      <w:r w:rsidRPr="001D3421">
        <w:rPr>
          <w:i/>
          <w:vertAlign w:val="subscript"/>
        </w:rPr>
        <w:t>obs</w:t>
      </w:r>
      <w:proofErr w:type="spellEnd"/>
      <w:r>
        <w:t xml:space="preserve"> = .23, </w:t>
      </w:r>
      <w:proofErr w:type="spellStart"/>
      <w:r w:rsidRPr="001D3421">
        <w:rPr>
          <w:i/>
        </w:rPr>
        <w:t>d</w:t>
      </w:r>
      <w:r w:rsidRPr="001D3421">
        <w:rPr>
          <w:i/>
          <w:vertAlign w:val="subscript"/>
        </w:rPr>
        <w:t>corrected</w:t>
      </w:r>
      <w:proofErr w:type="spellEnd"/>
      <w:r>
        <w:t xml:space="preserve"> = .28, </w:t>
      </w:r>
      <w:r w:rsidRPr="00476B0D">
        <w:rPr>
          <w:i/>
        </w:rPr>
        <w:t>k</w:t>
      </w:r>
      <w:r>
        <w:t xml:space="preserve"> = 17, </w:t>
      </w:r>
      <w:r w:rsidRPr="00476B0D">
        <w:rPr>
          <w:i/>
        </w:rPr>
        <w:t>N</w:t>
      </w:r>
      <w:r>
        <w:t xml:space="preserve"> = 12,275).  Since the credibility interval includes zero (-.11 to .67), this finding does not generalize across settings. In terms of specific behaviors, women were </w:t>
      </w:r>
      <w:r w:rsidR="009F4E17">
        <w:t xml:space="preserve">also somewhat </w:t>
      </w:r>
      <w:r>
        <w:t xml:space="preserve">more likely than men to </w:t>
      </w:r>
      <w:r w:rsidR="009F4E17">
        <w:t>engage in behaviors related to Conserving (</w:t>
      </w:r>
      <w:proofErr w:type="spellStart"/>
      <w:r w:rsidR="009F4E17" w:rsidRPr="001D3421">
        <w:rPr>
          <w:i/>
        </w:rPr>
        <w:t>d</w:t>
      </w:r>
      <w:r w:rsidR="009F4E17" w:rsidRPr="001D3421">
        <w:rPr>
          <w:i/>
          <w:vertAlign w:val="subscript"/>
        </w:rPr>
        <w:t>obs</w:t>
      </w:r>
      <w:proofErr w:type="spellEnd"/>
      <w:r w:rsidR="009F4E17">
        <w:t xml:space="preserve"> = .26, </w:t>
      </w:r>
      <w:proofErr w:type="spellStart"/>
      <w:r w:rsidR="009F4E17" w:rsidRPr="001D3421">
        <w:rPr>
          <w:i/>
        </w:rPr>
        <w:t>d</w:t>
      </w:r>
      <w:r w:rsidR="009F4E17" w:rsidRPr="001D3421">
        <w:rPr>
          <w:i/>
          <w:vertAlign w:val="subscript"/>
        </w:rPr>
        <w:t>corrected</w:t>
      </w:r>
      <w:proofErr w:type="spellEnd"/>
      <w:r w:rsidR="009F4E17">
        <w:t xml:space="preserve"> = .29, </w:t>
      </w:r>
      <w:r w:rsidR="009F4E17" w:rsidRPr="00476B0D">
        <w:rPr>
          <w:i/>
        </w:rPr>
        <w:t>k</w:t>
      </w:r>
      <w:r w:rsidR="009F4E17">
        <w:t xml:space="preserve"> = 10, </w:t>
      </w:r>
      <w:r w:rsidR="009F4E17" w:rsidRPr="00476B0D">
        <w:rPr>
          <w:i/>
        </w:rPr>
        <w:t>N</w:t>
      </w:r>
      <w:r w:rsidR="009F4E17">
        <w:t xml:space="preserve"> = 5,442), Responsible Product Choices (</w:t>
      </w:r>
      <w:proofErr w:type="spellStart"/>
      <w:r w:rsidR="009F4E17" w:rsidRPr="001D3421">
        <w:rPr>
          <w:i/>
        </w:rPr>
        <w:t>d</w:t>
      </w:r>
      <w:r w:rsidR="009F4E17" w:rsidRPr="001D3421">
        <w:rPr>
          <w:i/>
          <w:vertAlign w:val="subscript"/>
        </w:rPr>
        <w:t>obs</w:t>
      </w:r>
      <w:proofErr w:type="spellEnd"/>
      <w:r w:rsidR="009F4E17">
        <w:t xml:space="preserve"> = .25, </w:t>
      </w:r>
      <w:proofErr w:type="spellStart"/>
      <w:r w:rsidR="009F4E17" w:rsidRPr="001D3421">
        <w:rPr>
          <w:i/>
        </w:rPr>
        <w:t>d</w:t>
      </w:r>
      <w:r w:rsidR="009F4E17" w:rsidRPr="001D3421">
        <w:rPr>
          <w:i/>
          <w:vertAlign w:val="subscript"/>
        </w:rPr>
        <w:t>corrected</w:t>
      </w:r>
      <w:proofErr w:type="spellEnd"/>
      <w:r w:rsidR="009F4E17">
        <w:t xml:space="preserve"> = .27, </w:t>
      </w:r>
      <w:r w:rsidR="009F4E17" w:rsidRPr="00476B0D">
        <w:rPr>
          <w:i/>
        </w:rPr>
        <w:t>k</w:t>
      </w:r>
      <w:r w:rsidR="009F4E17">
        <w:t xml:space="preserve"> = 8, </w:t>
      </w:r>
      <w:r w:rsidR="009F4E17" w:rsidRPr="00476B0D">
        <w:rPr>
          <w:i/>
        </w:rPr>
        <w:t>N</w:t>
      </w:r>
      <w:r w:rsidR="009F4E17">
        <w:t xml:space="preserve"> = 5,292), and Taking Initiative (</w:t>
      </w:r>
      <w:proofErr w:type="spellStart"/>
      <w:r w:rsidR="009F4E17" w:rsidRPr="001D3421">
        <w:rPr>
          <w:i/>
        </w:rPr>
        <w:t>d</w:t>
      </w:r>
      <w:r w:rsidR="009F4E17" w:rsidRPr="001D3421">
        <w:rPr>
          <w:i/>
          <w:vertAlign w:val="subscript"/>
        </w:rPr>
        <w:t>obs</w:t>
      </w:r>
      <w:proofErr w:type="spellEnd"/>
      <w:r w:rsidR="009F4E17">
        <w:t xml:space="preserve"> = .15, </w:t>
      </w:r>
      <w:proofErr w:type="spellStart"/>
      <w:r w:rsidR="009F4E17" w:rsidRPr="001D3421">
        <w:rPr>
          <w:i/>
        </w:rPr>
        <w:t>d</w:t>
      </w:r>
      <w:r w:rsidR="009F4E17" w:rsidRPr="001D3421">
        <w:rPr>
          <w:i/>
          <w:vertAlign w:val="subscript"/>
        </w:rPr>
        <w:t>corrected</w:t>
      </w:r>
      <w:proofErr w:type="spellEnd"/>
      <w:r w:rsidR="009F4E17">
        <w:t xml:space="preserve"> = .17, </w:t>
      </w:r>
      <w:r w:rsidR="009F4E17" w:rsidRPr="00476B0D">
        <w:rPr>
          <w:i/>
        </w:rPr>
        <w:t>k</w:t>
      </w:r>
      <w:r w:rsidR="009F4E17">
        <w:t xml:space="preserve"> = 14, </w:t>
      </w:r>
      <w:r w:rsidR="009F4E17" w:rsidRPr="00476B0D">
        <w:rPr>
          <w:i/>
        </w:rPr>
        <w:t>N</w:t>
      </w:r>
      <w:r w:rsidR="009F4E17">
        <w:t xml:space="preserve"> = 8,056), however these findings also did not generalize. Similarly, while men were more likely to engage in behaviors related to Influencing Others, these findings did not generalize across settings. Lastly, only one study was available that examined Avoiding Harm, with little difference between </w:t>
      </w:r>
      <w:proofErr w:type="gramStart"/>
      <w:r w:rsidR="009F4E17">
        <w:t>gender</w:t>
      </w:r>
      <w:proofErr w:type="gramEnd"/>
      <w:r w:rsidR="009F4E17">
        <w:t xml:space="preserve"> in these behaviors.</w:t>
      </w:r>
    </w:p>
    <w:p w:rsidR="00A67AB5" w:rsidRDefault="00A67AB5" w:rsidP="00447FCD">
      <w:pPr>
        <w:spacing w:line="480" w:lineRule="auto"/>
        <w:ind w:firstLine="720"/>
      </w:pPr>
      <w:r>
        <w:lastRenderedPageBreak/>
        <w:t>Lastly, studies examining gender differences and environmental motives were meta-analyzed. Women were more likely to cite social responsibility as a motive of pro-environmental behavior (</w:t>
      </w:r>
      <w:proofErr w:type="spellStart"/>
      <w:r w:rsidRPr="00476B0D">
        <w:rPr>
          <w:i/>
        </w:rPr>
        <w:t>d</w:t>
      </w:r>
      <w:r w:rsidRPr="00476B0D">
        <w:rPr>
          <w:i/>
          <w:vertAlign w:val="subscript"/>
        </w:rPr>
        <w:t>obs</w:t>
      </w:r>
      <w:proofErr w:type="spellEnd"/>
      <w:r>
        <w:t xml:space="preserve"> = .15, </w:t>
      </w:r>
      <w:proofErr w:type="spellStart"/>
      <w:r w:rsidRPr="00476B0D">
        <w:rPr>
          <w:i/>
        </w:rPr>
        <w:t>d</w:t>
      </w:r>
      <w:r w:rsidRPr="00476B0D">
        <w:rPr>
          <w:i/>
          <w:vertAlign w:val="subscript"/>
        </w:rPr>
        <w:t>corrected</w:t>
      </w:r>
      <w:proofErr w:type="spellEnd"/>
      <w:r>
        <w:t xml:space="preserve"> = .15, </w:t>
      </w:r>
      <w:r w:rsidRPr="00476B0D">
        <w:rPr>
          <w:i/>
        </w:rPr>
        <w:t>k</w:t>
      </w:r>
      <w:r>
        <w:t xml:space="preserve"> = 2, </w:t>
      </w:r>
      <w:r w:rsidRPr="00476B0D">
        <w:rPr>
          <w:i/>
        </w:rPr>
        <w:t xml:space="preserve">N </w:t>
      </w:r>
      <w:r>
        <w:t>= 977). Women were also more likely to cite social norms than men (</w:t>
      </w:r>
      <w:proofErr w:type="spellStart"/>
      <w:r w:rsidRPr="00476B0D">
        <w:rPr>
          <w:i/>
        </w:rPr>
        <w:t>d</w:t>
      </w:r>
      <w:r w:rsidRPr="00476B0D">
        <w:rPr>
          <w:i/>
          <w:vertAlign w:val="subscript"/>
        </w:rPr>
        <w:t>obs</w:t>
      </w:r>
      <w:proofErr w:type="spellEnd"/>
      <w:r>
        <w:t xml:space="preserve"> = .45, </w:t>
      </w:r>
      <w:proofErr w:type="spellStart"/>
      <w:r w:rsidRPr="00476B0D">
        <w:rPr>
          <w:i/>
        </w:rPr>
        <w:t>d</w:t>
      </w:r>
      <w:r w:rsidRPr="00476B0D">
        <w:rPr>
          <w:i/>
          <w:vertAlign w:val="subscript"/>
        </w:rPr>
        <w:t>corrected</w:t>
      </w:r>
      <w:proofErr w:type="spellEnd"/>
      <w:r>
        <w:t xml:space="preserve"> = .45, </w:t>
      </w:r>
      <w:r w:rsidRPr="00476B0D">
        <w:rPr>
          <w:i/>
        </w:rPr>
        <w:t>k</w:t>
      </w:r>
      <w:r>
        <w:t xml:space="preserve"> = 2, </w:t>
      </w:r>
      <w:r w:rsidRPr="00476B0D">
        <w:rPr>
          <w:i/>
        </w:rPr>
        <w:t xml:space="preserve">N </w:t>
      </w:r>
      <w:r>
        <w:t xml:space="preserve">= 504). Women </w:t>
      </w:r>
      <w:r w:rsidR="00D24DDF">
        <w:t xml:space="preserve">reported higher levels of </w:t>
      </w:r>
      <w:r>
        <w:t>self-efficacy (</w:t>
      </w:r>
      <w:proofErr w:type="spellStart"/>
      <w:r w:rsidRPr="00476B0D">
        <w:rPr>
          <w:i/>
        </w:rPr>
        <w:t>d</w:t>
      </w:r>
      <w:r w:rsidRPr="00476B0D">
        <w:rPr>
          <w:i/>
          <w:vertAlign w:val="subscript"/>
        </w:rPr>
        <w:t>obs</w:t>
      </w:r>
      <w:proofErr w:type="spellEnd"/>
      <w:r>
        <w:t xml:space="preserve"> = .26, </w:t>
      </w:r>
      <w:proofErr w:type="spellStart"/>
      <w:r w:rsidRPr="00476B0D">
        <w:rPr>
          <w:i/>
        </w:rPr>
        <w:t>d</w:t>
      </w:r>
      <w:r w:rsidRPr="00476B0D">
        <w:rPr>
          <w:i/>
          <w:vertAlign w:val="subscript"/>
        </w:rPr>
        <w:t>corrected</w:t>
      </w:r>
      <w:proofErr w:type="spellEnd"/>
      <w:r>
        <w:t xml:space="preserve"> = .29, </w:t>
      </w:r>
      <w:r w:rsidRPr="00476B0D">
        <w:rPr>
          <w:i/>
        </w:rPr>
        <w:t>k</w:t>
      </w:r>
      <w:r>
        <w:t xml:space="preserve"> = 4, </w:t>
      </w:r>
      <w:r w:rsidRPr="00476B0D">
        <w:rPr>
          <w:i/>
        </w:rPr>
        <w:t xml:space="preserve">N </w:t>
      </w:r>
      <w:r>
        <w:t>= 1,478), as well as expectancy (</w:t>
      </w:r>
      <w:proofErr w:type="spellStart"/>
      <w:r w:rsidRPr="00476B0D">
        <w:rPr>
          <w:i/>
        </w:rPr>
        <w:t>d</w:t>
      </w:r>
      <w:r w:rsidRPr="00476B0D">
        <w:rPr>
          <w:i/>
          <w:vertAlign w:val="subscript"/>
        </w:rPr>
        <w:t>obs</w:t>
      </w:r>
      <w:proofErr w:type="spellEnd"/>
      <w:r>
        <w:t xml:space="preserve"> = .25, </w:t>
      </w:r>
      <w:proofErr w:type="spellStart"/>
      <w:r w:rsidRPr="00476B0D">
        <w:rPr>
          <w:i/>
        </w:rPr>
        <w:t>d</w:t>
      </w:r>
      <w:r w:rsidRPr="00476B0D">
        <w:rPr>
          <w:i/>
          <w:vertAlign w:val="subscript"/>
        </w:rPr>
        <w:t>corrected</w:t>
      </w:r>
      <w:proofErr w:type="spellEnd"/>
      <w:r>
        <w:t xml:space="preserve"> = .27, </w:t>
      </w:r>
      <w:r w:rsidRPr="00476B0D">
        <w:rPr>
          <w:i/>
        </w:rPr>
        <w:t>k</w:t>
      </w:r>
      <w:r>
        <w:t xml:space="preserve"> = 3, </w:t>
      </w:r>
      <w:r w:rsidRPr="00476B0D">
        <w:rPr>
          <w:i/>
        </w:rPr>
        <w:t xml:space="preserve">N </w:t>
      </w:r>
      <w:r>
        <w:t>= 1,046). All of these effects were generalizable w</w:t>
      </w:r>
      <w:r w:rsidR="00A01689">
        <w:t>ith the exception of expectancy;</w:t>
      </w:r>
      <w:r>
        <w:t xml:space="preserve"> however</w:t>
      </w:r>
      <w:r w:rsidR="00A01689">
        <w:t>,</w:t>
      </w:r>
      <w:r>
        <w:t xml:space="preserve"> the small number of studies contributing to each meta-</w:t>
      </w:r>
      <w:r w:rsidR="00D24DDF">
        <w:t xml:space="preserve">analysis limits </w:t>
      </w:r>
      <w:r>
        <w:t>conclusions</w:t>
      </w:r>
      <w:r w:rsidR="00D24DDF">
        <w:t xml:space="preserve"> about generalizability</w:t>
      </w:r>
      <w:r>
        <w:t>. The only factor</w:t>
      </w:r>
      <w:r w:rsidR="00A01689">
        <w:t xml:space="preserve"> on which</w:t>
      </w:r>
      <w:r>
        <w:t xml:space="preserve"> men were more likely to score higher was knowledge-based efficacy, </w:t>
      </w:r>
      <w:r w:rsidR="00A01689">
        <w:t>although</w:t>
      </w:r>
      <w:r>
        <w:t xml:space="preserve"> this was based on only one study (</w:t>
      </w:r>
      <w:proofErr w:type="spellStart"/>
      <w:r w:rsidRPr="00476B0D">
        <w:rPr>
          <w:i/>
        </w:rPr>
        <w:t>d</w:t>
      </w:r>
      <w:r w:rsidRPr="00476B0D">
        <w:rPr>
          <w:i/>
          <w:vertAlign w:val="subscript"/>
        </w:rPr>
        <w:t>obs</w:t>
      </w:r>
      <w:proofErr w:type="spellEnd"/>
      <w:r>
        <w:t xml:space="preserve"> = -.17, </w:t>
      </w:r>
      <w:proofErr w:type="spellStart"/>
      <w:r w:rsidRPr="00476B0D">
        <w:rPr>
          <w:i/>
        </w:rPr>
        <w:t>d</w:t>
      </w:r>
      <w:r w:rsidRPr="00476B0D">
        <w:rPr>
          <w:i/>
          <w:vertAlign w:val="subscript"/>
        </w:rPr>
        <w:t>corrected</w:t>
      </w:r>
      <w:proofErr w:type="spellEnd"/>
      <w:r>
        <w:t xml:space="preserve"> = -.20). </w:t>
      </w:r>
      <w:r w:rsidR="00A01689">
        <w:t>While</w:t>
      </w:r>
      <w:r>
        <w:t xml:space="preserve"> the study had a relatively large sample </w:t>
      </w:r>
      <w:r w:rsidR="00A01689">
        <w:t>size (</w:t>
      </w:r>
      <w:r w:rsidR="00A01689">
        <w:rPr>
          <w:i/>
        </w:rPr>
        <w:t>N</w:t>
      </w:r>
      <w:r w:rsidR="00A01689">
        <w:t xml:space="preserve"> =</w:t>
      </w:r>
      <w:r>
        <w:t xml:space="preserve"> 2,922</w:t>
      </w:r>
      <w:r w:rsidR="00A01689">
        <w:t>)</w:t>
      </w:r>
      <w:r>
        <w:t>, more studies would be needed to examine the generalizability of the effect.</w:t>
      </w:r>
    </w:p>
    <w:p w:rsidR="00A67AB5" w:rsidRDefault="00A67AB5" w:rsidP="00447FCD">
      <w:pPr>
        <w:spacing w:line="480" w:lineRule="auto"/>
        <w:jc w:val="center"/>
      </w:pPr>
      <w:r>
        <w:t>DISCUSSION</w:t>
      </w:r>
    </w:p>
    <w:p w:rsidR="005105A2" w:rsidRPr="005105A2" w:rsidRDefault="005105A2" w:rsidP="00447FCD">
      <w:pPr>
        <w:spacing w:line="480" w:lineRule="auto"/>
        <w:rPr>
          <w:i/>
        </w:rPr>
      </w:pPr>
      <w:r w:rsidRPr="005105A2">
        <w:rPr>
          <w:i/>
        </w:rPr>
        <w:t>Gender Differences in Environmental Values and Attitudes</w:t>
      </w:r>
    </w:p>
    <w:p w:rsidR="003F3AE4" w:rsidRDefault="00A67AB5" w:rsidP="00447FCD">
      <w:pPr>
        <w:spacing w:line="480" w:lineRule="auto"/>
        <w:ind w:firstLine="720"/>
      </w:pPr>
      <w:r>
        <w:t>Women were more likely to value the environment, be committed to the environment, and were slightly more likely to hold pro-environmental attitudes toward specific environment issues and behaviors.</w:t>
      </w:r>
      <w:r w:rsidR="00D00070">
        <w:t xml:space="preserve"> </w:t>
      </w:r>
      <w:r w:rsidR="003F3AE4">
        <w:t xml:space="preserve">There seems to be </w:t>
      </w:r>
      <w:proofErr w:type="gramStart"/>
      <w:r w:rsidR="003F3AE4">
        <w:t>a disconnect</w:t>
      </w:r>
      <w:proofErr w:type="gramEnd"/>
      <w:r w:rsidR="003F3AE4">
        <w:t xml:space="preserve"> between women’s appreciation for </w:t>
      </w:r>
      <w:r w:rsidR="00D00070">
        <w:t xml:space="preserve">and commitment to </w:t>
      </w:r>
      <w:r w:rsidR="003F3AE4">
        <w:t xml:space="preserve">the natural environment and </w:t>
      </w:r>
      <w:r w:rsidR="00D00070">
        <w:t xml:space="preserve">their </w:t>
      </w:r>
      <w:r w:rsidR="003F3AE4">
        <w:t xml:space="preserve">participation in </w:t>
      </w:r>
      <w:r w:rsidR="00B16001">
        <w:t xml:space="preserve">STEM careers, although more studies are needed on men’s and women’s involvement </w:t>
      </w:r>
      <w:r w:rsidR="004711DD">
        <w:t xml:space="preserve">specifically in </w:t>
      </w:r>
      <w:r w:rsidR="00B16001">
        <w:t>environmental careers.</w:t>
      </w:r>
      <w:r w:rsidR="003F3AE4">
        <w:t xml:space="preserve"> There are several explanations for </w:t>
      </w:r>
      <w:r w:rsidR="00D00070">
        <w:t xml:space="preserve">the gender disparity in STEM occupations, with one potential contribution being gender </w:t>
      </w:r>
      <w:r w:rsidR="003F3AE4">
        <w:t>differences in interests</w:t>
      </w:r>
      <w:r w:rsidR="00D00070">
        <w:t xml:space="preserve"> (</w:t>
      </w:r>
      <w:proofErr w:type="spellStart"/>
      <w:r w:rsidR="00D00070">
        <w:t>Ceci</w:t>
      </w:r>
      <w:proofErr w:type="spellEnd"/>
      <w:r w:rsidR="00D00070">
        <w:t xml:space="preserve"> et al., 2009; Su, Rounds, &amp; Armstrong, 2009)</w:t>
      </w:r>
      <w:r w:rsidR="003F3AE4">
        <w:t xml:space="preserve">. A meta-analysis of interests found that </w:t>
      </w:r>
      <w:r w:rsidR="004711DD">
        <w:t xml:space="preserve">men </w:t>
      </w:r>
      <w:r w:rsidR="003F3AE4">
        <w:t xml:space="preserve">are more interested </w:t>
      </w:r>
      <w:r w:rsidR="00A01689">
        <w:t xml:space="preserve">in </w:t>
      </w:r>
      <w:r w:rsidR="003F3AE4">
        <w:t xml:space="preserve">realistic and conventional vocations and in science, engineering, and mathematics </w:t>
      </w:r>
      <w:r w:rsidR="004711DD">
        <w:t xml:space="preserve">careers </w:t>
      </w:r>
      <w:r w:rsidR="00D00070">
        <w:t>(Su</w:t>
      </w:r>
      <w:r w:rsidR="003F3AE4">
        <w:t xml:space="preserve"> </w:t>
      </w:r>
      <w:r w:rsidR="00D00070">
        <w:t xml:space="preserve">et al., </w:t>
      </w:r>
      <w:r w:rsidR="003F3AE4">
        <w:t>2009).</w:t>
      </w:r>
      <w:r w:rsidR="00E3442D">
        <w:t xml:space="preserve"> While women value the environment more than men, it does not appear t</w:t>
      </w:r>
      <w:r w:rsidR="00633149">
        <w:t>hat their</w:t>
      </w:r>
      <w:r w:rsidR="00E3442D">
        <w:t xml:space="preserve"> </w:t>
      </w:r>
      <w:proofErr w:type="gramStart"/>
      <w:r w:rsidR="00E3442D">
        <w:t xml:space="preserve">appreciation </w:t>
      </w:r>
      <w:r w:rsidR="00E3442D">
        <w:lastRenderedPageBreak/>
        <w:t xml:space="preserve">for the natural environment extends to a greater interest in working in </w:t>
      </w:r>
      <w:r w:rsidR="004711DD">
        <w:t>environmental or STEM</w:t>
      </w:r>
      <w:proofErr w:type="gramEnd"/>
      <w:r w:rsidR="004711DD">
        <w:t xml:space="preserve"> </w:t>
      </w:r>
      <w:r w:rsidR="00E3442D">
        <w:t>fields.</w:t>
      </w:r>
    </w:p>
    <w:p w:rsidR="00A67AB5" w:rsidRDefault="00A67AB5" w:rsidP="00447FCD">
      <w:pPr>
        <w:spacing w:line="480" w:lineRule="auto"/>
        <w:ind w:firstLine="720"/>
      </w:pPr>
      <w:r>
        <w:t>This meta-analysis found that women held slightly m</w:t>
      </w:r>
      <w:r w:rsidR="00026201">
        <w:t>ore pro-environmental attitudes. H</w:t>
      </w:r>
      <w:r>
        <w:t>owever</w:t>
      </w:r>
      <w:r w:rsidR="00026201">
        <w:t>,</w:t>
      </w:r>
      <w:r>
        <w:t xml:space="preserve"> this was the weakest relationship observed and it does not generalize across settings. It is likely that this effect did not generalize </w:t>
      </w:r>
      <w:r w:rsidR="00026201">
        <w:t>due to</w:t>
      </w:r>
      <w:r>
        <w:t xml:space="preserve"> the wide range of specific environmental issues and behaviors assessed. For instance, attitudinal measures ranged from questions about attitudes toward ecological education in schools to organic products to the importance of forest certification (</w:t>
      </w:r>
      <w:proofErr w:type="spellStart"/>
      <w:r w:rsidRPr="00F21443">
        <w:t>Eisl</w:t>
      </w:r>
      <w:r>
        <w:t>er</w:t>
      </w:r>
      <w:proofErr w:type="spellEnd"/>
      <w:r>
        <w:t xml:space="preserve"> et al., 2003; </w:t>
      </w:r>
      <w:proofErr w:type="spellStart"/>
      <w:r>
        <w:t>Gotschi</w:t>
      </w:r>
      <w:proofErr w:type="spellEnd"/>
      <w:r>
        <w:t xml:space="preserve">, Vogel, </w:t>
      </w:r>
      <w:proofErr w:type="spellStart"/>
      <w:r w:rsidRPr="00613A23">
        <w:t>Lindenthal</w:t>
      </w:r>
      <w:proofErr w:type="spellEnd"/>
      <w:r w:rsidRPr="00613A23">
        <w:t>,</w:t>
      </w:r>
      <w:r>
        <w:t xml:space="preserve"> &amp; </w:t>
      </w:r>
      <w:proofErr w:type="spellStart"/>
      <w:r>
        <w:t>Larcher</w:t>
      </w:r>
      <w:proofErr w:type="spellEnd"/>
      <w:r>
        <w:t xml:space="preserve"> 2010; </w:t>
      </w:r>
      <w:proofErr w:type="spellStart"/>
      <w:r>
        <w:t>Ozanne</w:t>
      </w:r>
      <w:proofErr w:type="spellEnd"/>
      <w:r>
        <w:t xml:space="preserve">, Humphrey, </w:t>
      </w:r>
      <w:r w:rsidRPr="004C150B">
        <w:t>&amp; Smith, 1999)</w:t>
      </w:r>
      <w:r>
        <w:t>. Larger gender differences were observed for commitment attitudes, with women more likely to be willing to commit money or effort to help the environment. Since these commitment attitudes are much narrower in scope, this may be why the effect size is larger for commitment attitudes</w:t>
      </w:r>
      <w:r w:rsidR="00C3766E">
        <w:t xml:space="preserve"> than </w:t>
      </w:r>
      <w:r w:rsidR="00026201">
        <w:t xml:space="preserve">for </w:t>
      </w:r>
      <w:r w:rsidR="00C3766E">
        <w:t>a</w:t>
      </w:r>
      <w:r w:rsidR="004711DD">
        <w:t xml:space="preserve">ttitudes toward specific issues and </w:t>
      </w:r>
      <w:r w:rsidR="00C3766E">
        <w:t>behaviors</w:t>
      </w:r>
      <w:r>
        <w:t xml:space="preserve">. </w:t>
      </w:r>
    </w:p>
    <w:p w:rsidR="00621D3A" w:rsidRPr="005105A2" w:rsidRDefault="00621D3A" w:rsidP="00621D3A">
      <w:pPr>
        <w:spacing w:line="480" w:lineRule="auto"/>
        <w:rPr>
          <w:i/>
        </w:rPr>
      </w:pPr>
      <w:r w:rsidRPr="005105A2">
        <w:rPr>
          <w:i/>
        </w:rPr>
        <w:t xml:space="preserve">Gender Differences in Environmental </w:t>
      </w:r>
      <w:r>
        <w:rPr>
          <w:i/>
        </w:rPr>
        <w:t>Behaviors</w:t>
      </w:r>
    </w:p>
    <w:p w:rsidR="00E3442D" w:rsidRDefault="009F4E17" w:rsidP="00447FCD">
      <w:pPr>
        <w:spacing w:line="480" w:lineRule="auto"/>
        <w:ind w:firstLine="720"/>
      </w:pPr>
      <w:r>
        <w:t>In non-workplace settings, women are somewhat more likely to engage in green behaviors in general, as well as specific behaviors related to conserving, making responsible product choices, and taking initiative. Men, on the other hand, were slightly more likely to engage in behaviors related to taking initiative.</w:t>
      </w:r>
      <w:r w:rsidR="00C678CD">
        <w:t xml:space="preserve"> On the whole, the gender differences between women and men are small,</w:t>
      </w:r>
      <w:r w:rsidR="0092449C">
        <w:t xml:space="preserve"> with women somewhat more likely to engage in </w:t>
      </w:r>
      <w:r w:rsidR="00C678CD">
        <w:t>behaviors that support environmental sustainability. Within workplace settings, however, i</w:t>
      </w:r>
      <w:r w:rsidR="00E3442D">
        <w:t xml:space="preserve">ndividuals may face an increased </w:t>
      </w:r>
      <w:r w:rsidR="003063EA">
        <w:t xml:space="preserve">number of </w:t>
      </w:r>
      <w:r w:rsidR="00F63452">
        <w:t>barriers to environmental behavior within the workplace, where</w:t>
      </w:r>
      <w:r w:rsidR="003063EA">
        <w:t xml:space="preserve"> individuals are expected to </w:t>
      </w:r>
      <w:r w:rsidR="00F63452">
        <w:t xml:space="preserve">work toward organizational goals and </w:t>
      </w:r>
      <w:r w:rsidR="00D24DDF">
        <w:t>objectives</w:t>
      </w:r>
      <w:r w:rsidR="003063EA">
        <w:t>, and follow organizational guidelines. For instance, w</w:t>
      </w:r>
      <w:r w:rsidR="00F63452">
        <w:t xml:space="preserve">omen are less likely to be in positions of power within the workplace </w:t>
      </w:r>
      <w:r w:rsidR="00AE58C5">
        <w:t xml:space="preserve">(Bowler, </w:t>
      </w:r>
      <w:r w:rsidR="00F63452">
        <w:t>1999</w:t>
      </w:r>
      <w:r w:rsidR="00AE58C5">
        <w:t>;</w:t>
      </w:r>
      <w:r w:rsidR="00AE58C5" w:rsidRPr="00AE58C5">
        <w:t xml:space="preserve"> </w:t>
      </w:r>
      <w:proofErr w:type="spellStart"/>
      <w:r w:rsidR="00AE58C5">
        <w:t>Wolfers</w:t>
      </w:r>
      <w:proofErr w:type="spellEnd"/>
      <w:r w:rsidR="00AE58C5">
        <w:t>, 2006</w:t>
      </w:r>
      <w:r w:rsidR="00F63452">
        <w:t>)</w:t>
      </w:r>
      <w:r w:rsidR="003063EA">
        <w:t xml:space="preserve">. </w:t>
      </w:r>
      <w:r w:rsidR="0092449C">
        <w:t>W</w:t>
      </w:r>
      <w:r w:rsidR="003063EA">
        <w:t>omen’s</w:t>
      </w:r>
      <w:r w:rsidR="0092449C">
        <w:t xml:space="preserve"> slightly</w:t>
      </w:r>
      <w:r w:rsidR="003063EA">
        <w:t xml:space="preserve"> higher levels of pro-</w:t>
      </w:r>
      <w:r w:rsidR="00C678CD">
        <w:lastRenderedPageBreak/>
        <w:t>environmental values and general behavior</w:t>
      </w:r>
      <w:r w:rsidR="003063EA">
        <w:t xml:space="preserve">s may have less of an impact at work given that they </w:t>
      </w:r>
      <w:r w:rsidR="00F63452">
        <w:t xml:space="preserve">are less likely to be involved in decisions about running the company, including initiating programs and policies and making major purchasing decisions that </w:t>
      </w:r>
      <w:r w:rsidR="003063EA">
        <w:t xml:space="preserve">incorporate </w:t>
      </w:r>
      <w:r w:rsidR="00F63452">
        <w:t>environmental sustainability.</w:t>
      </w:r>
      <w:r w:rsidR="00410A81">
        <w:t xml:space="preserve"> </w:t>
      </w:r>
      <w:r w:rsidR="00F63452">
        <w:t>Thus, workplaces may not benefit fully from women’s</w:t>
      </w:r>
      <w:r w:rsidR="00E3442D">
        <w:t xml:space="preserve"> </w:t>
      </w:r>
      <w:r w:rsidR="00C678CD">
        <w:t>involvement if they are</w:t>
      </w:r>
      <w:r w:rsidR="00E3442D">
        <w:t xml:space="preserve"> </w:t>
      </w:r>
      <w:r w:rsidR="00E750A9">
        <w:t>underrepresented in leadership position</w:t>
      </w:r>
      <w:r w:rsidR="004711DD">
        <w:t>s</w:t>
      </w:r>
      <w:r w:rsidR="00E750A9">
        <w:t xml:space="preserve"> and </w:t>
      </w:r>
      <w:r w:rsidR="004711DD">
        <w:t>environmental</w:t>
      </w:r>
      <w:r w:rsidR="00E750A9">
        <w:t xml:space="preserve"> careers. </w:t>
      </w:r>
    </w:p>
    <w:p w:rsidR="005105A2" w:rsidRPr="005105A2" w:rsidRDefault="005105A2" w:rsidP="00447FCD">
      <w:pPr>
        <w:spacing w:line="480" w:lineRule="auto"/>
        <w:rPr>
          <w:i/>
        </w:rPr>
      </w:pPr>
      <w:r w:rsidRPr="005105A2">
        <w:rPr>
          <w:i/>
        </w:rPr>
        <w:t>Gender Differences in Environmental Motives</w:t>
      </w:r>
    </w:p>
    <w:p w:rsidR="00427C62" w:rsidRDefault="00A67AB5" w:rsidP="00447FCD">
      <w:pPr>
        <w:spacing w:line="480" w:lineRule="auto"/>
        <w:ind w:firstLine="720"/>
      </w:pPr>
      <w:r>
        <w:t xml:space="preserve">In terms of environmental motives, women were more likely to be motivated to act on behalf of the environment by a sense of social responsibility, social norms, self-efficacy, and expectancy. These effect sizes were small to moderate, but were based on a small number of studies contributing to each meta-analysis. However, these initial findings are </w:t>
      </w:r>
      <w:r w:rsidR="00410A81">
        <w:t xml:space="preserve">still </w:t>
      </w:r>
      <w:r>
        <w:t xml:space="preserve">of interest in terms of implications for encouraging pro-environmental behavior at work. The largest gender difference in motives was for social norms, indicating that women are more likely to act on pressure from societal or group culture to engage in eco-friendly behavior than men. Establishing social norms for green behavior </w:t>
      </w:r>
      <w:r w:rsidR="00427C62">
        <w:t xml:space="preserve">or encouraging others to join their coworkers in green behaviors </w:t>
      </w:r>
      <w:r>
        <w:t>would be particularly helpful for influencing women’s</w:t>
      </w:r>
      <w:r w:rsidR="00427C62">
        <w:t xml:space="preserve"> green</w:t>
      </w:r>
      <w:r>
        <w:t xml:space="preserve"> behavior</w:t>
      </w:r>
      <w:r w:rsidR="00427C62">
        <w:t>. Women seem particularly attuned to social norms, and these norms may be especially effective in workplace settings where norms of coworkers are especially salient.</w:t>
      </w:r>
      <w:r>
        <w:t xml:space="preserve"> </w:t>
      </w:r>
      <w:r w:rsidR="00427C62">
        <w:t>Women were also more likely to endorse social responsibility as a motive for green behavior. When recruiting women for green jobs, the positive impact on future generations should be highlighted.</w:t>
      </w:r>
    </w:p>
    <w:p w:rsidR="005105A2" w:rsidRDefault="00A67AB5" w:rsidP="00447FCD">
      <w:pPr>
        <w:spacing w:line="480" w:lineRule="auto"/>
        <w:ind w:firstLine="720"/>
      </w:pPr>
      <w:r>
        <w:t xml:space="preserve">Women are also more likely to report feeling </w:t>
      </w:r>
      <w:r w:rsidR="00026201">
        <w:t>that</w:t>
      </w:r>
      <w:r>
        <w:t xml:space="preserve"> they were able to perform pro-environmental behaviors and have an impact on environmental outcomes. </w:t>
      </w:r>
      <w:r w:rsidR="00427C62">
        <w:t xml:space="preserve">Men may </w:t>
      </w:r>
      <w:r w:rsidR="00D33071">
        <w:t xml:space="preserve">benefit from </w:t>
      </w:r>
      <w:r w:rsidR="00427C62">
        <w:t xml:space="preserve">reassurance that they can effectively perform green behaviors and that these behaviors can make a difference. </w:t>
      </w:r>
      <w:r>
        <w:t>Men</w:t>
      </w:r>
      <w:r w:rsidR="00427C62">
        <w:t xml:space="preserve"> were more likely to report higher levels of </w:t>
      </w:r>
      <w:r>
        <w:t>knowledge-based efficacy,</w:t>
      </w:r>
      <w:r w:rsidR="00427C62">
        <w:t xml:space="preserve"> </w:t>
      </w:r>
      <w:r w:rsidR="00427C62">
        <w:lastRenderedPageBreak/>
        <w:t>indicating that they possessed sufficient</w:t>
      </w:r>
      <w:r>
        <w:t xml:space="preserve"> environmental knowledge</w:t>
      </w:r>
      <w:r w:rsidR="005105A2">
        <w:t xml:space="preserve"> of how to engage in green </w:t>
      </w:r>
      <w:proofErr w:type="gramStart"/>
      <w:r w:rsidR="005105A2">
        <w:t>behaviors</w:t>
      </w:r>
      <w:r w:rsidR="00D33071">
        <w:t>,</w:t>
      </w:r>
      <w:proofErr w:type="gramEnd"/>
      <w:r w:rsidR="00D33071">
        <w:t xml:space="preserve"> however this was based on only one study</w:t>
      </w:r>
      <w:r w:rsidR="005105A2">
        <w:t>.</w:t>
      </w:r>
      <w:r>
        <w:t xml:space="preserve"> </w:t>
      </w:r>
    </w:p>
    <w:p w:rsidR="005105A2" w:rsidRPr="005105A2" w:rsidRDefault="005105A2" w:rsidP="00447FCD">
      <w:pPr>
        <w:spacing w:line="480" w:lineRule="auto"/>
        <w:rPr>
          <w:i/>
        </w:rPr>
      </w:pPr>
      <w:r w:rsidRPr="005105A2">
        <w:rPr>
          <w:i/>
        </w:rPr>
        <w:t>Strengths and Limitations</w:t>
      </w:r>
    </w:p>
    <w:p w:rsidR="00A67AB5" w:rsidRDefault="00A67AB5" w:rsidP="00447FCD">
      <w:pPr>
        <w:spacing w:line="480" w:lineRule="auto"/>
      </w:pPr>
      <w:r>
        <w:tab/>
        <w:t>Each meta-analysis of gender-environmental motives was relatively small</w:t>
      </w:r>
      <w:r w:rsidR="00026201">
        <w:t>:</w:t>
      </w:r>
      <w:r>
        <w:t xml:space="preserve"> no meta-analysis exceeded a total of four studies. </w:t>
      </w:r>
      <w:r w:rsidR="00C678CD">
        <w:t xml:space="preserve">Some categories of green behavior were also underrepresented. </w:t>
      </w:r>
      <w:r>
        <w:t>Clearly more research is needed examining gender differences in environmental motives</w:t>
      </w:r>
      <w:r w:rsidR="00C678CD">
        <w:t>, as well as categories of green behavior such as Avoiding Harm and Influencing Others</w:t>
      </w:r>
      <w:r>
        <w:t xml:space="preserve">. Given the small number of studies contributing to each meta-analysis, initial conclusions about gender differences in motives are tentative. However, there are some interesting implications of the findings. For instance, the strongest gender difference in motives was in the social norms category. Given that women are responsive to social norms, they may be particularly responsive to social norms within the workplace where they are surrounded by coworkers. </w:t>
      </w:r>
    </w:p>
    <w:p w:rsidR="00F63452" w:rsidRDefault="00A67AB5" w:rsidP="00447FCD">
      <w:pPr>
        <w:spacing w:line="480" w:lineRule="auto"/>
        <w:ind w:firstLine="720"/>
      </w:pPr>
      <w:r>
        <w:t xml:space="preserve">A common concern with meta-analyses is that the meta-analytic database will not be representative given reporting bias (termed the file drawer problem; Rosenthal, 1979).  Many of the studies contributing to this meta-analysis examined several demographic variables in relation to sustainability criteria. These studies often reported on findings from all predictors, even if the size of these effects did not reach statistical significance. This </w:t>
      </w:r>
      <w:r w:rsidR="0009208F">
        <w:t>common way of reporting</w:t>
      </w:r>
      <w:r>
        <w:t xml:space="preserve"> in</w:t>
      </w:r>
      <w:r w:rsidR="0009208F">
        <w:t xml:space="preserve"> studies contributing to the meta-analysis</w:t>
      </w:r>
      <w:r>
        <w:t xml:space="preserve"> help</w:t>
      </w:r>
      <w:r w:rsidR="0009208F">
        <w:t>ed</w:t>
      </w:r>
      <w:r>
        <w:t xml:space="preserve"> ensure that non-significant findings were represented in the meta-analysis. Given these features of the contributing</w:t>
      </w:r>
      <w:r w:rsidR="0009208F">
        <w:t xml:space="preserve"> studies</w:t>
      </w:r>
      <w:r>
        <w:t xml:space="preserve">, meta-analytic estimates in this study should reflect accurate estimates of the true relationship between gender and environmental sustainability criteria.  </w:t>
      </w:r>
    </w:p>
    <w:p w:rsidR="005105A2" w:rsidRPr="005105A2" w:rsidRDefault="005105A2" w:rsidP="00447FCD">
      <w:pPr>
        <w:spacing w:line="480" w:lineRule="auto"/>
        <w:rPr>
          <w:i/>
        </w:rPr>
      </w:pPr>
      <w:r>
        <w:rPr>
          <w:i/>
        </w:rPr>
        <w:t>Conclusion</w:t>
      </w:r>
    </w:p>
    <w:p w:rsidR="00C3766E" w:rsidRDefault="005105A2" w:rsidP="00447FCD">
      <w:pPr>
        <w:spacing w:line="480" w:lineRule="auto"/>
        <w:ind w:firstLine="720"/>
      </w:pPr>
      <w:r>
        <w:lastRenderedPageBreak/>
        <w:t>W</w:t>
      </w:r>
      <w:r w:rsidR="00A67AB5">
        <w:t xml:space="preserve">hile women </w:t>
      </w:r>
      <w:r w:rsidR="007134C0">
        <w:t>are less likely to be employed in</w:t>
      </w:r>
      <w:r w:rsidR="00A67AB5">
        <w:t xml:space="preserve"> careers related to environmental science such as forestry and conservation science, this </w:t>
      </w:r>
      <w:r>
        <w:t xml:space="preserve">meta-analysis indicates that </w:t>
      </w:r>
      <w:r w:rsidR="00A67AB5">
        <w:t xml:space="preserve">women are </w:t>
      </w:r>
      <w:r w:rsidR="005D3F8C">
        <w:t>just as</w:t>
      </w:r>
      <w:r w:rsidR="00A67AB5">
        <w:t xml:space="preserve"> committed to the environment</w:t>
      </w:r>
      <w:r w:rsidR="005D3F8C">
        <w:t xml:space="preserve"> and likely to engage in green behaviors as men</w:t>
      </w:r>
      <w:r w:rsidR="00A67AB5">
        <w:t xml:space="preserve">. In fact, women tend to value the environment more than men. </w:t>
      </w:r>
      <w:r w:rsidR="005D3F8C">
        <w:t xml:space="preserve">They are even somewhat more likely to have pro-environmental attitudes and engage in green behaviors, although the differences do not generalize across settings. </w:t>
      </w:r>
      <w:r w:rsidR="00A67AB5">
        <w:t xml:space="preserve">When recruiting women for green jobs, it may be beneficial to emphasize the social responsibility aspect of positions, as well as provide information about </w:t>
      </w:r>
      <w:r w:rsidR="00E3442D">
        <w:t xml:space="preserve">females employed </w:t>
      </w:r>
      <w:r w:rsidR="00A67AB5">
        <w:t>in similar positions. As the green economy grows and organizations look to employees to work toward enviro</w:t>
      </w:r>
      <w:r w:rsidR="00026201">
        <w:t>nmental solutions, it is</w:t>
      </w:r>
      <w:r w:rsidR="00A67AB5">
        <w:t xml:space="preserve"> important</w:t>
      </w:r>
      <w:r w:rsidR="00026201">
        <w:t xml:space="preserve"> not only</w:t>
      </w:r>
      <w:r w:rsidR="00A67AB5">
        <w:t xml:space="preserve"> </w:t>
      </w:r>
      <w:proofErr w:type="gramStart"/>
      <w:r w:rsidR="0044739D">
        <w:t>that women</w:t>
      </w:r>
      <w:proofErr w:type="gramEnd"/>
      <w:r w:rsidR="00A67AB5">
        <w:t xml:space="preserve"> have opportunities to contribute, but that organizations take advantage of their enthusiasm and commitment</w:t>
      </w:r>
      <w:r w:rsidR="00C3766E">
        <w:t xml:space="preserve"> to the environment</w:t>
      </w:r>
      <w:r w:rsidR="00A67AB5">
        <w:t>.</w:t>
      </w:r>
      <w:r w:rsidR="00410A81">
        <w:t xml:space="preserve"> </w:t>
      </w:r>
      <w:r w:rsidR="00C3766E">
        <w:t>B</w:t>
      </w:r>
      <w:r w:rsidR="00410A81">
        <w:t xml:space="preserve">y being aware of these </w:t>
      </w:r>
      <w:r w:rsidR="00C3766E">
        <w:t xml:space="preserve">gender differences, researchers and practitioners can better understand how male and female employees may be best suited to contribute to environmental efforts within organizations, as well as how to train and support employees to minimize the organization’s environmental impact. </w:t>
      </w:r>
    </w:p>
    <w:p w:rsidR="00A67AB5" w:rsidRDefault="00A67AB5" w:rsidP="00A67AB5">
      <w:pPr>
        <w:spacing w:after="200"/>
      </w:pPr>
    </w:p>
    <w:p w:rsidR="00093B07" w:rsidRDefault="00093B07" w:rsidP="00A67AB5">
      <w:pPr>
        <w:spacing w:after="200"/>
      </w:pPr>
    </w:p>
    <w:p w:rsidR="00093B07" w:rsidRDefault="00093B07" w:rsidP="00A67AB5">
      <w:pPr>
        <w:spacing w:after="200"/>
      </w:pPr>
    </w:p>
    <w:p w:rsidR="00093B07" w:rsidRDefault="00093B07" w:rsidP="00A67AB5">
      <w:pPr>
        <w:spacing w:after="200"/>
      </w:pPr>
    </w:p>
    <w:p w:rsidR="0092449C" w:rsidRDefault="0092449C" w:rsidP="00A67AB5">
      <w:pPr>
        <w:spacing w:after="200"/>
      </w:pPr>
    </w:p>
    <w:p w:rsidR="0092449C" w:rsidRDefault="0092449C" w:rsidP="00A67AB5">
      <w:pPr>
        <w:spacing w:after="200"/>
      </w:pPr>
    </w:p>
    <w:p w:rsidR="0092449C" w:rsidRDefault="0092449C" w:rsidP="00A67AB5">
      <w:pPr>
        <w:spacing w:after="200"/>
      </w:pPr>
    </w:p>
    <w:p w:rsidR="0092449C" w:rsidRDefault="0092449C" w:rsidP="00A67AB5">
      <w:pPr>
        <w:spacing w:after="200"/>
      </w:pPr>
    </w:p>
    <w:p w:rsidR="0092449C" w:rsidRDefault="0092449C" w:rsidP="00A67AB5">
      <w:pPr>
        <w:spacing w:after="200"/>
      </w:pPr>
    </w:p>
    <w:p w:rsidR="0092449C" w:rsidRDefault="0092449C" w:rsidP="00A67AB5">
      <w:pPr>
        <w:spacing w:after="200"/>
      </w:pPr>
    </w:p>
    <w:p w:rsidR="0044739D" w:rsidRPr="0018253B" w:rsidRDefault="0044739D" w:rsidP="0044739D">
      <w:pPr>
        <w:spacing w:line="480" w:lineRule="auto"/>
        <w:jc w:val="center"/>
        <w:rPr>
          <w:b/>
        </w:rPr>
      </w:pPr>
      <w:r w:rsidRPr="0018253B">
        <w:rPr>
          <w:b/>
        </w:rPr>
        <w:lastRenderedPageBreak/>
        <w:t>References</w:t>
      </w:r>
    </w:p>
    <w:p w:rsidR="00C678CD" w:rsidRDefault="00C678CD" w:rsidP="0044739D">
      <w:pPr>
        <w:spacing w:line="480" w:lineRule="auto"/>
        <w:ind w:left="720" w:hanging="720"/>
      </w:pPr>
      <w:r>
        <w:t>*A full list of articles contributing to the meta-analysis is available upon request.</w:t>
      </w:r>
    </w:p>
    <w:p w:rsidR="0044739D" w:rsidRPr="00B51B12" w:rsidRDefault="0044739D" w:rsidP="0044739D">
      <w:pPr>
        <w:spacing w:line="480" w:lineRule="auto"/>
        <w:ind w:left="720" w:hanging="720"/>
      </w:pPr>
      <w:proofErr w:type="spellStart"/>
      <w:proofErr w:type="gramStart"/>
      <w:r w:rsidRPr="00B51B12">
        <w:t>Arcury</w:t>
      </w:r>
      <w:proofErr w:type="spellEnd"/>
      <w:r w:rsidRPr="00B51B12">
        <w:t xml:space="preserve">, T. A., </w:t>
      </w:r>
      <w:proofErr w:type="spellStart"/>
      <w:r w:rsidRPr="00B51B12">
        <w:t>Scollay</w:t>
      </w:r>
      <w:proofErr w:type="spellEnd"/>
      <w:r w:rsidRPr="00B51B12">
        <w:t>, S. J. &amp; Johnson, T. P. (1987).</w:t>
      </w:r>
      <w:proofErr w:type="gramEnd"/>
      <w:r w:rsidRPr="00B51B12">
        <w:t xml:space="preserve"> </w:t>
      </w:r>
      <w:proofErr w:type="gramStart"/>
      <w:r w:rsidR="00B51B12" w:rsidRPr="00B51B12">
        <w:t>“</w:t>
      </w:r>
      <w:r w:rsidRPr="00B51B12">
        <w:t>Sex differences in environmental concern and knowledge: The case of acid rain</w:t>
      </w:r>
      <w:r w:rsidR="00B51B12" w:rsidRPr="00B51B12">
        <w:t>”,</w:t>
      </w:r>
      <w:r w:rsidRPr="00B51B12">
        <w:t xml:space="preserve"> Sex Roles, 16(9/10), 463–472.</w:t>
      </w:r>
      <w:proofErr w:type="gramEnd"/>
    </w:p>
    <w:p w:rsidR="0044739D" w:rsidRPr="00B51B12" w:rsidRDefault="0044739D" w:rsidP="0044739D">
      <w:pPr>
        <w:spacing w:line="480" w:lineRule="auto"/>
        <w:ind w:left="720" w:hanging="720"/>
      </w:pPr>
      <w:proofErr w:type="gramStart"/>
      <w:r w:rsidRPr="00B51B12">
        <w:t xml:space="preserve">Bamberg, S., &amp; </w:t>
      </w:r>
      <w:proofErr w:type="spellStart"/>
      <w:r w:rsidRPr="00B51B12">
        <w:t>Möser</w:t>
      </w:r>
      <w:proofErr w:type="spellEnd"/>
      <w:r w:rsidRPr="00B51B12">
        <w:t>, G. (2007).</w:t>
      </w:r>
      <w:proofErr w:type="gramEnd"/>
      <w:r w:rsidRPr="00B51B12">
        <w:t xml:space="preserve"> </w:t>
      </w:r>
      <w:proofErr w:type="gramStart"/>
      <w:r w:rsidR="00B51B12" w:rsidRPr="00B51B12">
        <w:t>“</w:t>
      </w:r>
      <w:r w:rsidRPr="00B51B12">
        <w:t xml:space="preserve">Twenty years after Hines, Hungerford, and </w:t>
      </w:r>
      <w:proofErr w:type="spellStart"/>
      <w:r w:rsidRPr="00B51B12">
        <w:t>Tomera</w:t>
      </w:r>
      <w:proofErr w:type="spellEnd"/>
      <w:r w:rsidRPr="00B51B12">
        <w:t xml:space="preserve">: A new meta-analysis of psycho-social determinants of pro-environmental </w:t>
      </w:r>
      <w:r w:rsidR="00B51B12" w:rsidRPr="00B51B12">
        <w:t>behavior”,</w:t>
      </w:r>
      <w:r w:rsidRPr="00B51B12">
        <w:t xml:space="preserve"> Journal of Environmental Psychology, 27, 14–25.</w:t>
      </w:r>
      <w:proofErr w:type="gramEnd"/>
    </w:p>
    <w:p w:rsidR="0044739D" w:rsidRPr="00B51B12" w:rsidRDefault="0044739D" w:rsidP="0044739D">
      <w:pPr>
        <w:spacing w:line="480" w:lineRule="auto"/>
        <w:ind w:left="720" w:hanging="720"/>
      </w:pPr>
      <w:proofErr w:type="gramStart"/>
      <w:r w:rsidRPr="00B51B12">
        <w:t xml:space="preserve">Barrow, L. H., &amp; </w:t>
      </w:r>
      <w:proofErr w:type="spellStart"/>
      <w:r w:rsidRPr="00B51B12">
        <w:t>Morrisey</w:t>
      </w:r>
      <w:proofErr w:type="spellEnd"/>
      <w:r w:rsidRPr="00B51B12">
        <w:t>, J. T. (1989).</w:t>
      </w:r>
      <w:proofErr w:type="gramEnd"/>
      <w:r w:rsidRPr="00B51B12">
        <w:t xml:space="preserve"> </w:t>
      </w:r>
      <w:proofErr w:type="gramStart"/>
      <w:r w:rsidR="00B51B12" w:rsidRPr="00B51B12">
        <w:t>“</w:t>
      </w:r>
      <w:r w:rsidRPr="00B51B12">
        <w:t>Energy literacy of ninth-grade students: A comparison between Maine and New Brunswick</w:t>
      </w:r>
      <w:r w:rsidR="00B51B12" w:rsidRPr="00B51B12">
        <w:t>”</w:t>
      </w:r>
      <w:r w:rsidRPr="00B51B12">
        <w:t>, Journal of Environmental Education, 20(2), 22–25.</w:t>
      </w:r>
      <w:proofErr w:type="gramEnd"/>
    </w:p>
    <w:p w:rsidR="0044739D" w:rsidRPr="00B51B12" w:rsidRDefault="0044739D" w:rsidP="0044739D">
      <w:pPr>
        <w:spacing w:line="480" w:lineRule="auto"/>
        <w:ind w:left="720" w:hanging="720"/>
        <w:rPr>
          <w:noProof/>
        </w:rPr>
      </w:pPr>
      <w:r w:rsidRPr="00B51B12">
        <w:rPr>
          <w:noProof/>
        </w:rPr>
        <w:t xml:space="preserve">Beutel, A., &amp; Marini, M. (1995). </w:t>
      </w:r>
      <w:r w:rsidR="00B51B12" w:rsidRPr="00B51B12">
        <w:rPr>
          <w:noProof/>
        </w:rPr>
        <w:t>“</w:t>
      </w:r>
      <w:r w:rsidRPr="00B51B12">
        <w:rPr>
          <w:noProof/>
        </w:rPr>
        <w:t>Gender and values</w:t>
      </w:r>
      <w:r w:rsidR="00B51B12" w:rsidRPr="00B51B12">
        <w:rPr>
          <w:noProof/>
        </w:rPr>
        <w:t>”,</w:t>
      </w:r>
      <w:r w:rsidRPr="00B51B12">
        <w:rPr>
          <w:noProof/>
        </w:rPr>
        <w:t xml:space="preserve"> American Sociological Review, 60, 436–448. doi:10.2307/2096423</w:t>
      </w:r>
    </w:p>
    <w:p w:rsidR="0044739D" w:rsidRPr="00B51B12" w:rsidRDefault="0044739D" w:rsidP="0044739D">
      <w:pPr>
        <w:autoSpaceDE w:val="0"/>
        <w:autoSpaceDN w:val="0"/>
        <w:adjustRightInd w:val="0"/>
        <w:spacing w:line="480" w:lineRule="auto"/>
      </w:pPr>
      <w:r w:rsidRPr="00B51B12">
        <w:t xml:space="preserve">Blake, J. (1999). </w:t>
      </w:r>
      <w:r w:rsidR="00B51B12" w:rsidRPr="00B51B12">
        <w:t>“</w:t>
      </w:r>
      <w:r w:rsidRPr="00B51B12">
        <w:t>Overcoming the 'value-action gap' in environmental policy: Tensions between</w:t>
      </w:r>
    </w:p>
    <w:p w:rsidR="0044739D" w:rsidRPr="00B51B12" w:rsidRDefault="0044739D" w:rsidP="0044739D">
      <w:pPr>
        <w:autoSpaceDE w:val="0"/>
        <w:autoSpaceDN w:val="0"/>
        <w:adjustRightInd w:val="0"/>
        <w:spacing w:line="480" w:lineRule="auto"/>
        <w:ind w:firstLine="720"/>
      </w:pPr>
      <w:proofErr w:type="gramStart"/>
      <w:r w:rsidRPr="00B51B12">
        <w:t>national</w:t>
      </w:r>
      <w:proofErr w:type="gramEnd"/>
      <w:r w:rsidRPr="00B51B12">
        <w:t xml:space="preserve"> policy and local experience</w:t>
      </w:r>
      <w:r w:rsidR="00B51B12" w:rsidRPr="00B51B12">
        <w:t>”,</w:t>
      </w:r>
      <w:r w:rsidRPr="00B51B12">
        <w:t xml:space="preserve"> </w:t>
      </w:r>
      <w:r w:rsidRPr="00B51B12">
        <w:rPr>
          <w:bCs/>
          <w:iCs/>
        </w:rPr>
        <w:t>Local Environment</w:t>
      </w:r>
      <w:r w:rsidRPr="00B51B12">
        <w:t>, 4, 257–278.</w:t>
      </w:r>
    </w:p>
    <w:p w:rsidR="0044739D" w:rsidRPr="00B51B12" w:rsidRDefault="0044739D" w:rsidP="0044739D">
      <w:pPr>
        <w:spacing w:line="480" w:lineRule="auto"/>
        <w:ind w:left="720" w:hanging="720"/>
        <w:rPr>
          <w:noProof/>
        </w:rPr>
      </w:pPr>
      <w:r w:rsidRPr="00B51B12">
        <w:rPr>
          <w:noProof/>
        </w:rPr>
        <w:t xml:space="preserve">Bowler, M. (1999). </w:t>
      </w:r>
      <w:r w:rsidR="00B51B12" w:rsidRPr="00B51B12">
        <w:rPr>
          <w:noProof/>
        </w:rPr>
        <w:t>“</w:t>
      </w:r>
      <w:r w:rsidRPr="00B51B12">
        <w:rPr>
          <w:noProof/>
        </w:rPr>
        <w:t xml:space="preserve">Women's earnings: An overview. Monthly Labor Review, 122, 13–21. </w:t>
      </w:r>
    </w:p>
    <w:p w:rsidR="0044739D" w:rsidRPr="00B51B12" w:rsidRDefault="0044739D" w:rsidP="0044739D">
      <w:pPr>
        <w:autoSpaceDE w:val="0"/>
        <w:autoSpaceDN w:val="0"/>
        <w:adjustRightInd w:val="0"/>
        <w:spacing w:line="480" w:lineRule="auto"/>
      </w:pPr>
      <w:proofErr w:type="spellStart"/>
      <w:proofErr w:type="gramStart"/>
      <w:r w:rsidRPr="00B51B12">
        <w:t>Ceci</w:t>
      </w:r>
      <w:proofErr w:type="spellEnd"/>
      <w:r w:rsidRPr="00B51B12">
        <w:t>, S. J., Williams, W. M., &amp; Barnett, S. M. (2009).</w:t>
      </w:r>
      <w:proofErr w:type="gramEnd"/>
      <w:r w:rsidRPr="00B51B12">
        <w:t xml:space="preserve"> Women’s underrepresentation in science: </w:t>
      </w:r>
    </w:p>
    <w:p w:rsidR="0044739D" w:rsidRPr="00B51B12" w:rsidRDefault="0044739D" w:rsidP="0044739D">
      <w:pPr>
        <w:autoSpaceDE w:val="0"/>
        <w:autoSpaceDN w:val="0"/>
        <w:adjustRightInd w:val="0"/>
        <w:spacing w:line="480" w:lineRule="auto"/>
        <w:ind w:firstLine="720"/>
      </w:pPr>
      <w:proofErr w:type="gramStart"/>
      <w:r w:rsidRPr="00B51B12">
        <w:t>Sociocultural and biological considerations</w:t>
      </w:r>
      <w:r w:rsidR="00B51B12" w:rsidRPr="00B51B12">
        <w:t>”,</w:t>
      </w:r>
      <w:r w:rsidRPr="00B51B12">
        <w:t xml:space="preserve"> Psychological Bulletin, 135(2), 218–261.</w:t>
      </w:r>
      <w:proofErr w:type="gramEnd"/>
    </w:p>
    <w:p w:rsidR="0044739D" w:rsidRPr="00B51B12" w:rsidRDefault="0044739D" w:rsidP="0044739D">
      <w:pPr>
        <w:autoSpaceDE w:val="0"/>
        <w:autoSpaceDN w:val="0"/>
        <w:adjustRightInd w:val="0"/>
        <w:spacing w:line="480" w:lineRule="auto"/>
      </w:pPr>
      <w:proofErr w:type="gramStart"/>
      <w:r w:rsidRPr="00B51B12">
        <w:t xml:space="preserve">Costa, Jr., P. T., </w:t>
      </w:r>
      <w:proofErr w:type="spellStart"/>
      <w:r w:rsidRPr="00B51B12">
        <w:t>Terracciano</w:t>
      </w:r>
      <w:proofErr w:type="spellEnd"/>
      <w:r w:rsidRPr="00B51B12">
        <w:t>, A., &amp; McCrae, R. R. (2001).</w:t>
      </w:r>
      <w:proofErr w:type="gramEnd"/>
      <w:r w:rsidRPr="00B51B12">
        <w:t xml:space="preserve"> </w:t>
      </w:r>
      <w:r w:rsidR="00B51B12" w:rsidRPr="00B51B12">
        <w:t>“</w:t>
      </w:r>
      <w:r w:rsidRPr="00B51B12">
        <w:t xml:space="preserve">Gender differences in personality </w:t>
      </w:r>
    </w:p>
    <w:p w:rsidR="0044739D" w:rsidRPr="00B51B12" w:rsidRDefault="0044739D" w:rsidP="0044739D">
      <w:pPr>
        <w:autoSpaceDE w:val="0"/>
        <w:autoSpaceDN w:val="0"/>
        <w:adjustRightInd w:val="0"/>
        <w:spacing w:line="480" w:lineRule="auto"/>
        <w:ind w:left="720"/>
      </w:pPr>
      <w:proofErr w:type="gramStart"/>
      <w:r w:rsidRPr="00B51B12">
        <w:t>traits</w:t>
      </w:r>
      <w:proofErr w:type="gramEnd"/>
      <w:r w:rsidRPr="00B51B12">
        <w:t xml:space="preserve"> across cultures: Robust and surprising findings</w:t>
      </w:r>
      <w:r w:rsidR="00B51B12" w:rsidRPr="00B51B12">
        <w:t>”,</w:t>
      </w:r>
      <w:r w:rsidRPr="00B51B12">
        <w:t xml:space="preserve"> Journal of Personality and Social Psychology, 81(2), 322–331.</w:t>
      </w:r>
    </w:p>
    <w:p w:rsidR="0044739D" w:rsidRPr="00B51B12" w:rsidRDefault="0044739D" w:rsidP="00B51B12">
      <w:pPr>
        <w:autoSpaceDE w:val="0"/>
        <w:autoSpaceDN w:val="0"/>
        <w:adjustRightInd w:val="0"/>
        <w:spacing w:line="480" w:lineRule="auto"/>
        <w:ind w:left="720" w:hanging="720"/>
      </w:pPr>
      <w:r w:rsidRPr="00B51B12">
        <w:rPr>
          <w:lang w:val="de-DE"/>
        </w:rPr>
        <w:t>Davidson, D. J.,</w:t>
      </w:r>
      <w:r w:rsidR="00B51B12" w:rsidRPr="00B51B12">
        <w:rPr>
          <w:lang w:val="de-DE"/>
        </w:rPr>
        <w:t xml:space="preserve"> &amp; Freudenburg,W. R. (1996).</w:t>
      </w:r>
      <w:r w:rsidR="00B51B12" w:rsidRPr="00B51B12">
        <w:t xml:space="preserve"> “</w:t>
      </w:r>
      <w:r w:rsidRPr="00B51B12">
        <w:t>Gender and environment risk concerns: A review and analysis of available research</w:t>
      </w:r>
      <w:r w:rsidR="00B51B12" w:rsidRPr="00B51B12">
        <w:t>”,</w:t>
      </w:r>
      <w:r w:rsidRPr="00B51B12">
        <w:t xml:space="preserve"> Environmental and Behavior, 28, 302–339.</w:t>
      </w:r>
    </w:p>
    <w:p w:rsidR="0044739D" w:rsidRPr="00B51B12" w:rsidRDefault="0044739D" w:rsidP="00B51B12">
      <w:pPr>
        <w:autoSpaceDE w:val="0"/>
        <w:autoSpaceDN w:val="0"/>
        <w:adjustRightInd w:val="0"/>
        <w:spacing w:line="480" w:lineRule="auto"/>
        <w:ind w:left="720" w:hanging="720"/>
      </w:pPr>
      <w:proofErr w:type="spellStart"/>
      <w:proofErr w:type="gramStart"/>
      <w:r w:rsidRPr="00B51B12">
        <w:lastRenderedPageBreak/>
        <w:t>Diamantapoulos</w:t>
      </w:r>
      <w:proofErr w:type="spellEnd"/>
      <w:r w:rsidRPr="00B51B12">
        <w:t xml:space="preserve">, A., </w:t>
      </w:r>
      <w:proofErr w:type="spellStart"/>
      <w:r w:rsidRPr="00B51B12">
        <w:t>Schlegelmilch</w:t>
      </w:r>
      <w:proofErr w:type="spellEnd"/>
      <w:r w:rsidRPr="00B51B12">
        <w:t xml:space="preserve">, B. B., </w:t>
      </w:r>
      <w:proofErr w:type="spellStart"/>
      <w:r w:rsidRPr="00B51B12">
        <w:t>Sinkovics</w:t>
      </w:r>
      <w:proofErr w:type="spellEnd"/>
      <w:r w:rsidRPr="00B51B12">
        <w:t>, R. R., &amp; Bohlen, G. M. (2003).</w:t>
      </w:r>
      <w:proofErr w:type="gramEnd"/>
      <w:r w:rsidRPr="00B51B12">
        <w:t xml:space="preserve"> </w:t>
      </w:r>
      <w:r w:rsidR="00B51B12" w:rsidRPr="00B51B12">
        <w:t>“</w:t>
      </w:r>
      <w:r w:rsidRPr="00B51B12">
        <w:t xml:space="preserve">Can socio-demographics still play a role in profiling green consumers? </w:t>
      </w:r>
      <w:proofErr w:type="gramStart"/>
      <w:r w:rsidRPr="00B51B12">
        <w:t>A review of the evidence and an empirical investigation</w:t>
      </w:r>
      <w:r w:rsidR="00B51B12" w:rsidRPr="00B51B12">
        <w:t>”,</w:t>
      </w:r>
      <w:r w:rsidRPr="00B51B12">
        <w:t xml:space="preserve"> </w:t>
      </w:r>
      <w:r w:rsidRPr="00B51B12">
        <w:rPr>
          <w:iCs/>
        </w:rPr>
        <w:t>Journal of Business Research, 56(4)</w:t>
      </w:r>
      <w:r w:rsidRPr="00B51B12">
        <w:t>, 465–480.</w:t>
      </w:r>
      <w:proofErr w:type="gramEnd"/>
    </w:p>
    <w:p w:rsidR="0044739D" w:rsidRPr="00B51B12" w:rsidRDefault="0044739D" w:rsidP="0044739D">
      <w:pPr>
        <w:spacing w:line="480" w:lineRule="auto"/>
        <w:ind w:left="720" w:hanging="720"/>
      </w:pPr>
      <w:proofErr w:type="spellStart"/>
      <w:r w:rsidRPr="00B51B12">
        <w:t>Digby</w:t>
      </w:r>
      <w:proofErr w:type="spellEnd"/>
      <w:r w:rsidRPr="00B51B12">
        <w:t xml:space="preserve">, C. (2010). </w:t>
      </w:r>
      <w:r w:rsidR="00B51B12" w:rsidRPr="00B51B12">
        <w:t>“</w:t>
      </w:r>
      <w:r w:rsidRPr="00B51B12">
        <w:t>An examination of the impact of non-formal and informal learning on adult environmental knowledge, attitudes, and behaviors</w:t>
      </w:r>
      <w:r w:rsidR="00B51B12" w:rsidRPr="00B51B12">
        <w:t>”</w:t>
      </w:r>
      <w:r w:rsidRPr="00B51B12">
        <w:t xml:space="preserve"> (Doctoral dissertation, University of Minnesota) Retrieved from http://conservancy.umn.edu/bitstream/59211/1/Digby_umn_</w:t>
      </w:r>
    </w:p>
    <w:p w:rsidR="0044739D" w:rsidRPr="00B51B12" w:rsidRDefault="0044739D" w:rsidP="0044739D">
      <w:pPr>
        <w:spacing w:line="480" w:lineRule="auto"/>
        <w:ind w:left="720"/>
      </w:pPr>
      <w:r w:rsidRPr="00B51B12">
        <w:t xml:space="preserve">0130E_10949.pdf </w:t>
      </w:r>
    </w:p>
    <w:p w:rsidR="0044739D" w:rsidRPr="00B51B12" w:rsidRDefault="0044739D" w:rsidP="0044739D">
      <w:pPr>
        <w:autoSpaceDE w:val="0"/>
        <w:autoSpaceDN w:val="0"/>
        <w:adjustRightInd w:val="0"/>
        <w:spacing w:line="480" w:lineRule="auto"/>
        <w:ind w:left="720" w:hanging="720"/>
      </w:pPr>
      <w:r w:rsidRPr="00B51B12">
        <w:rPr>
          <w:lang w:val="de-DE"/>
        </w:rPr>
        <w:t xml:space="preserve">Dunlap, R. E., Van Liere, K. D., Mertig, A. G., &amp; Jones, R. E. (2000). </w:t>
      </w:r>
      <w:r w:rsidR="00B51B12" w:rsidRPr="00B51B12">
        <w:rPr>
          <w:lang w:val="de-DE"/>
        </w:rPr>
        <w:t>„</w:t>
      </w:r>
      <w:r w:rsidRPr="00B51B12">
        <w:t>Measuring endorsement of the New Ecological Paradigm: A revised NEP scale</w:t>
      </w:r>
      <w:r w:rsidR="00B51B12" w:rsidRPr="00B51B12">
        <w:t>”,</w:t>
      </w:r>
      <w:r w:rsidRPr="00B51B12">
        <w:t xml:space="preserve"> </w:t>
      </w:r>
      <w:r w:rsidRPr="00B51B12">
        <w:rPr>
          <w:iCs/>
        </w:rPr>
        <w:t>Journal of Social Issues</w:t>
      </w:r>
      <w:r w:rsidRPr="00B51B12">
        <w:t xml:space="preserve">, </w:t>
      </w:r>
      <w:r w:rsidRPr="00B51B12">
        <w:rPr>
          <w:iCs/>
        </w:rPr>
        <w:t>56</w:t>
      </w:r>
      <w:r w:rsidRPr="00B51B12">
        <w:t>, 425–442.</w:t>
      </w:r>
    </w:p>
    <w:p w:rsidR="0044739D" w:rsidRPr="00B51B12" w:rsidRDefault="0044739D" w:rsidP="0044739D">
      <w:pPr>
        <w:spacing w:line="480" w:lineRule="auto"/>
        <w:ind w:left="720" w:hanging="720"/>
      </w:pPr>
      <w:proofErr w:type="spellStart"/>
      <w:proofErr w:type="gramStart"/>
      <w:r w:rsidRPr="00B51B12">
        <w:t>Eisler</w:t>
      </w:r>
      <w:proofErr w:type="spellEnd"/>
      <w:r w:rsidRPr="00B51B12">
        <w:t xml:space="preserve">, A. D., </w:t>
      </w:r>
      <w:proofErr w:type="spellStart"/>
      <w:r w:rsidRPr="00B51B12">
        <w:t>Eisler</w:t>
      </w:r>
      <w:proofErr w:type="spellEnd"/>
      <w:r w:rsidRPr="00B51B12">
        <w:t>, H., &amp; Yoshida, M. (2003).</w:t>
      </w:r>
      <w:proofErr w:type="gramEnd"/>
      <w:r w:rsidRPr="00B51B12">
        <w:t xml:space="preserve"> </w:t>
      </w:r>
      <w:proofErr w:type="gramStart"/>
      <w:r w:rsidR="00B51B12" w:rsidRPr="00B51B12">
        <w:t>“</w:t>
      </w:r>
      <w:r w:rsidRPr="00B51B12">
        <w:t>Perception of human ecology: Cross-cultural and gender comparisons</w:t>
      </w:r>
      <w:r w:rsidR="00B51B12" w:rsidRPr="00B51B12">
        <w:t>”,</w:t>
      </w:r>
      <w:r w:rsidRPr="00B51B12">
        <w:t xml:space="preserve"> Journal of Environmental Psychology, 23(1), 89–101.</w:t>
      </w:r>
      <w:proofErr w:type="gramEnd"/>
    </w:p>
    <w:p w:rsidR="0044739D" w:rsidRPr="00B51B12" w:rsidRDefault="0044739D" w:rsidP="0044739D">
      <w:pPr>
        <w:autoSpaceDE w:val="0"/>
        <w:autoSpaceDN w:val="0"/>
        <w:adjustRightInd w:val="0"/>
        <w:spacing w:line="480" w:lineRule="auto"/>
      </w:pPr>
      <w:proofErr w:type="gramStart"/>
      <w:r w:rsidRPr="00B51B12">
        <w:t xml:space="preserve">Flynn, R., </w:t>
      </w:r>
      <w:proofErr w:type="spellStart"/>
      <w:r w:rsidRPr="00B51B12">
        <w:t>Bellaby</w:t>
      </w:r>
      <w:proofErr w:type="spellEnd"/>
      <w:r w:rsidRPr="00B51B12">
        <w:t>, P., &amp; Ricci, M. (2009).</w:t>
      </w:r>
      <w:proofErr w:type="gramEnd"/>
      <w:r w:rsidRPr="00B51B12">
        <w:t xml:space="preserve"> </w:t>
      </w:r>
      <w:r w:rsidR="00B51B12" w:rsidRPr="00B51B12">
        <w:t>“</w:t>
      </w:r>
      <w:r w:rsidRPr="00B51B12">
        <w:t>The 'value-action gap' in public attitudes towards</w:t>
      </w:r>
    </w:p>
    <w:p w:rsidR="0044739D" w:rsidRPr="00B51B12" w:rsidRDefault="0044739D" w:rsidP="0044739D">
      <w:pPr>
        <w:autoSpaceDE w:val="0"/>
        <w:autoSpaceDN w:val="0"/>
        <w:adjustRightInd w:val="0"/>
        <w:spacing w:line="480" w:lineRule="auto"/>
        <w:ind w:firstLine="720"/>
      </w:pPr>
      <w:proofErr w:type="gramStart"/>
      <w:r w:rsidRPr="00B51B12">
        <w:t>sustainable</w:t>
      </w:r>
      <w:proofErr w:type="gramEnd"/>
      <w:r w:rsidRPr="00B51B12">
        <w:t xml:space="preserve"> energy: The case of hydrogen energy</w:t>
      </w:r>
      <w:r w:rsidR="00B51B12" w:rsidRPr="00B51B12">
        <w:t>”,</w:t>
      </w:r>
      <w:r w:rsidRPr="00B51B12">
        <w:t xml:space="preserve"> </w:t>
      </w:r>
      <w:r w:rsidRPr="00B51B12">
        <w:rPr>
          <w:bCs/>
          <w:iCs/>
        </w:rPr>
        <w:t>The Sociological Review</w:t>
      </w:r>
      <w:r w:rsidRPr="00B51B12">
        <w:t>, 57, 159–</w:t>
      </w:r>
    </w:p>
    <w:p w:rsidR="0044739D" w:rsidRPr="00B51B12" w:rsidRDefault="0044739D" w:rsidP="0044739D">
      <w:pPr>
        <w:spacing w:line="480" w:lineRule="auto"/>
        <w:ind w:firstLine="720"/>
      </w:pPr>
      <w:r w:rsidRPr="00B51B12">
        <w:t>180.</w:t>
      </w:r>
    </w:p>
    <w:p w:rsidR="0044739D" w:rsidRPr="00B51B12" w:rsidRDefault="0044739D" w:rsidP="0044739D">
      <w:pPr>
        <w:spacing w:line="480" w:lineRule="auto"/>
        <w:ind w:left="720" w:hanging="720"/>
      </w:pPr>
      <w:proofErr w:type="spellStart"/>
      <w:proofErr w:type="gramStart"/>
      <w:r w:rsidRPr="00B51B12">
        <w:t>Guagnano</w:t>
      </w:r>
      <w:proofErr w:type="spellEnd"/>
      <w:r w:rsidRPr="00B51B12">
        <w:t xml:space="preserve">, G. A. &amp; </w:t>
      </w:r>
      <w:proofErr w:type="spellStart"/>
      <w:r w:rsidRPr="00B51B12">
        <w:t>Markee</w:t>
      </w:r>
      <w:proofErr w:type="spellEnd"/>
      <w:r w:rsidRPr="00B51B12">
        <w:t>, N. (1995).</w:t>
      </w:r>
      <w:proofErr w:type="gramEnd"/>
      <w:r w:rsidRPr="00B51B12">
        <w:t xml:space="preserve"> </w:t>
      </w:r>
      <w:proofErr w:type="gramStart"/>
      <w:r w:rsidR="00B51B12" w:rsidRPr="00B51B12">
        <w:t>“</w:t>
      </w:r>
      <w:r w:rsidRPr="00B51B12">
        <w:t xml:space="preserve">Regional differences in the </w:t>
      </w:r>
      <w:proofErr w:type="spellStart"/>
      <w:r w:rsidRPr="00B51B12">
        <w:t>sociodemographic</w:t>
      </w:r>
      <w:proofErr w:type="spellEnd"/>
      <w:r w:rsidRPr="00B51B12">
        <w:t xml:space="preserve"> determinants of environmental concern</w:t>
      </w:r>
      <w:r w:rsidR="00B51B12" w:rsidRPr="00B51B12">
        <w:t>”,</w:t>
      </w:r>
      <w:r w:rsidRPr="00B51B12">
        <w:t xml:space="preserve"> Population and Environment, 17(2), 135-149.</w:t>
      </w:r>
      <w:proofErr w:type="gramEnd"/>
    </w:p>
    <w:p w:rsidR="0044739D" w:rsidRPr="00B51B12" w:rsidRDefault="0044739D" w:rsidP="0044739D">
      <w:pPr>
        <w:spacing w:line="480" w:lineRule="auto"/>
        <w:ind w:left="720" w:hanging="720"/>
      </w:pPr>
      <w:proofErr w:type="gramStart"/>
      <w:r w:rsidRPr="00B51B12">
        <w:t>Global Insight.</w:t>
      </w:r>
      <w:proofErr w:type="gramEnd"/>
      <w:r w:rsidRPr="00B51B12">
        <w:t xml:space="preserve"> </w:t>
      </w:r>
      <w:proofErr w:type="gramStart"/>
      <w:r w:rsidRPr="00B51B12">
        <w:t>(2008, October).</w:t>
      </w:r>
      <w:proofErr w:type="gramEnd"/>
      <w:r w:rsidRPr="00B51B12">
        <w:t xml:space="preserve"> </w:t>
      </w:r>
      <w:r w:rsidR="00B51B12" w:rsidRPr="00B51B12">
        <w:t>“</w:t>
      </w:r>
      <w:r w:rsidRPr="00B51B12">
        <w:t>U.S. Metro Economies: Current and Potential Green Jobs in the U.S. Economy</w:t>
      </w:r>
      <w:r w:rsidR="00B51B12" w:rsidRPr="00B51B12">
        <w:t xml:space="preserve">”, </w:t>
      </w:r>
      <w:r w:rsidRPr="00B51B12">
        <w:t xml:space="preserve">Retrieved </w:t>
      </w:r>
      <w:r w:rsidR="007134C0" w:rsidRPr="00B51B12">
        <w:t>February 12</w:t>
      </w:r>
      <w:r w:rsidRPr="00B51B12">
        <w:t>, 2011, from http://usmayors.org/pressreleases/uploads/GreenJobsReport.pdf</w:t>
      </w:r>
    </w:p>
    <w:p w:rsidR="0044739D" w:rsidRPr="00B51B12" w:rsidRDefault="0044739D" w:rsidP="0044739D">
      <w:pPr>
        <w:spacing w:line="480" w:lineRule="auto"/>
        <w:ind w:left="720" w:hanging="720"/>
      </w:pPr>
      <w:proofErr w:type="spellStart"/>
      <w:proofErr w:type="gramStart"/>
      <w:r w:rsidRPr="00B51B12">
        <w:t>Gotschi</w:t>
      </w:r>
      <w:proofErr w:type="spellEnd"/>
      <w:r w:rsidRPr="00B51B12">
        <w:t xml:space="preserve">, E., Vogel, S., </w:t>
      </w:r>
      <w:proofErr w:type="spellStart"/>
      <w:r w:rsidRPr="00B51B12">
        <w:t>Lindenthal</w:t>
      </w:r>
      <w:proofErr w:type="spellEnd"/>
      <w:r w:rsidRPr="00B51B12">
        <w:t xml:space="preserve">, T., &amp; </w:t>
      </w:r>
      <w:proofErr w:type="spellStart"/>
      <w:r w:rsidRPr="00B51B12">
        <w:t>Larcher</w:t>
      </w:r>
      <w:proofErr w:type="spellEnd"/>
      <w:r w:rsidRPr="00B51B12">
        <w:t>, M. (2010).</w:t>
      </w:r>
      <w:proofErr w:type="gramEnd"/>
      <w:r w:rsidRPr="00B51B12">
        <w:t xml:space="preserve"> </w:t>
      </w:r>
      <w:r w:rsidR="00B51B12" w:rsidRPr="00B51B12">
        <w:t>“</w:t>
      </w:r>
      <w:r w:rsidRPr="00B51B12">
        <w:t>The role of knowledge, social norms, and attitudes toward organic products and shopping behavior: Survey results from high school students in Vienna</w:t>
      </w:r>
      <w:r w:rsidR="00B51B12" w:rsidRPr="00B51B12">
        <w:t>”,</w:t>
      </w:r>
      <w:r w:rsidRPr="00B51B12">
        <w:t xml:space="preserve"> Journal of Environmental Education, 41(2), 88-100.</w:t>
      </w:r>
    </w:p>
    <w:p w:rsidR="0044739D" w:rsidRPr="00B51B12" w:rsidRDefault="0044739D" w:rsidP="0044739D">
      <w:pPr>
        <w:autoSpaceDE w:val="0"/>
        <w:autoSpaceDN w:val="0"/>
        <w:adjustRightInd w:val="0"/>
        <w:spacing w:line="480" w:lineRule="auto"/>
      </w:pPr>
      <w:r w:rsidRPr="00B51B12">
        <w:lastRenderedPageBreak/>
        <w:t xml:space="preserve">Hines, J. M., Hungerford, H. R. &amp; </w:t>
      </w:r>
      <w:proofErr w:type="spellStart"/>
      <w:r w:rsidRPr="00B51B12">
        <w:t>Tomera</w:t>
      </w:r>
      <w:proofErr w:type="spellEnd"/>
      <w:r w:rsidRPr="00B51B12">
        <w:t xml:space="preserve">, A. N. (1986-87). </w:t>
      </w:r>
      <w:r w:rsidR="00B51B12" w:rsidRPr="00B51B12">
        <w:t>“</w:t>
      </w:r>
      <w:r w:rsidRPr="00B51B12">
        <w:t xml:space="preserve">Analysis and synthesis of research </w:t>
      </w:r>
    </w:p>
    <w:p w:rsidR="0044739D" w:rsidRPr="00B51B12" w:rsidRDefault="0044739D" w:rsidP="00B51B12">
      <w:pPr>
        <w:autoSpaceDE w:val="0"/>
        <w:autoSpaceDN w:val="0"/>
        <w:adjustRightInd w:val="0"/>
        <w:spacing w:line="480" w:lineRule="auto"/>
        <w:ind w:left="720"/>
      </w:pPr>
      <w:proofErr w:type="gramStart"/>
      <w:r w:rsidRPr="00B51B12">
        <w:t>on</w:t>
      </w:r>
      <w:proofErr w:type="gramEnd"/>
      <w:r w:rsidRPr="00B51B12">
        <w:t xml:space="preserve"> environmental behavior: A meta-analysis</w:t>
      </w:r>
      <w:r w:rsidR="00B51B12" w:rsidRPr="00B51B12">
        <w:t>”,</w:t>
      </w:r>
      <w:r w:rsidRPr="00B51B12">
        <w:t xml:space="preserve"> Journal of Environment Education, 18, 1–8.</w:t>
      </w:r>
    </w:p>
    <w:p w:rsidR="00B63550" w:rsidRPr="00B51B12" w:rsidRDefault="00B63550" w:rsidP="00B63550">
      <w:pPr>
        <w:spacing w:line="480" w:lineRule="auto"/>
      </w:pPr>
      <w:proofErr w:type="gramStart"/>
      <w:r w:rsidRPr="00B51B12">
        <w:t>Hunter, L. M., Hatch, A., &amp; Johnson, A. (2004).</w:t>
      </w:r>
      <w:proofErr w:type="gramEnd"/>
      <w:r w:rsidRPr="00B51B12">
        <w:t xml:space="preserve"> </w:t>
      </w:r>
      <w:r w:rsidR="00B51B12" w:rsidRPr="00B51B12">
        <w:t>“</w:t>
      </w:r>
      <w:r w:rsidRPr="00B51B12">
        <w:t xml:space="preserve">Cross-national gender variation in </w:t>
      </w:r>
    </w:p>
    <w:p w:rsidR="00B63550" w:rsidRPr="00B51B12" w:rsidRDefault="00B63550" w:rsidP="00B63550">
      <w:pPr>
        <w:spacing w:line="480" w:lineRule="auto"/>
        <w:ind w:firstLine="720"/>
      </w:pPr>
      <w:proofErr w:type="gramStart"/>
      <w:r w:rsidRPr="00B51B12">
        <w:t>environmental</w:t>
      </w:r>
      <w:proofErr w:type="gramEnd"/>
      <w:r w:rsidRPr="00B51B12">
        <w:t xml:space="preserve"> behaviors</w:t>
      </w:r>
      <w:r w:rsidR="00B51B12" w:rsidRPr="00B51B12">
        <w:t>”,</w:t>
      </w:r>
      <w:r w:rsidRPr="00B51B12">
        <w:t xml:space="preserve"> Social Science Quarterly, 85(3), 677–694.</w:t>
      </w:r>
    </w:p>
    <w:p w:rsidR="0044739D" w:rsidRPr="00B51B12" w:rsidRDefault="0044739D" w:rsidP="0044739D">
      <w:pPr>
        <w:pStyle w:val="BodyTextIndent"/>
        <w:ind w:left="720" w:hanging="720"/>
      </w:pPr>
      <w:proofErr w:type="gramStart"/>
      <w:r w:rsidRPr="00B51B12">
        <w:t>Hunter, J. E., &amp; Schmidt, F. L. (2004).</w:t>
      </w:r>
      <w:proofErr w:type="gramEnd"/>
      <w:r w:rsidRPr="00B51B12">
        <w:t xml:space="preserve"> Methods of meta-analysis: Correcting error and bias in research findings. Thousand Oaks, CA: Sage.</w:t>
      </w:r>
    </w:p>
    <w:p w:rsidR="0044739D" w:rsidRPr="00B51B12" w:rsidRDefault="0044739D" w:rsidP="0044739D">
      <w:pPr>
        <w:autoSpaceDE w:val="0"/>
        <w:autoSpaceDN w:val="0"/>
        <w:adjustRightInd w:val="0"/>
        <w:spacing w:line="480" w:lineRule="auto"/>
      </w:pPr>
      <w:r w:rsidRPr="00B51B12">
        <w:t xml:space="preserve">Johnson, K., &amp; Rogers, K. (2011, March 1). </w:t>
      </w:r>
      <w:r w:rsidR="00B51B12" w:rsidRPr="00B51B12">
        <w:t>“</w:t>
      </w:r>
      <w:r w:rsidRPr="00B51B12">
        <w:t>Wanted: Women leaders in going globally green</w:t>
      </w:r>
      <w:r w:rsidR="00B51B12" w:rsidRPr="00B51B12">
        <w:t>”,</w:t>
      </w:r>
      <w:r w:rsidRPr="00B51B12">
        <w:t xml:space="preserve"> </w:t>
      </w:r>
    </w:p>
    <w:p w:rsidR="0044739D" w:rsidRPr="00B51B12" w:rsidRDefault="0044739D" w:rsidP="0044739D">
      <w:pPr>
        <w:autoSpaceDE w:val="0"/>
        <w:autoSpaceDN w:val="0"/>
        <w:adjustRightInd w:val="0"/>
        <w:spacing w:line="480" w:lineRule="auto"/>
        <w:ind w:firstLine="720"/>
      </w:pPr>
      <w:proofErr w:type="gramStart"/>
      <w:r w:rsidRPr="00B51B12">
        <w:t>CNN.</w:t>
      </w:r>
      <w:proofErr w:type="gramEnd"/>
      <w:r w:rsidRPr="00B51B12">
        <w:t xml:space="preserve"> Retrieved from http://www.cnn.com/</w:t>
      </w:r>
    </w:p>
    <w:p w:rsidR="0044739D" w:rsidRPr="00B51B12" w:rsidRDefault="0044739D" w:rsidP="0044739D">
      <w:pPr>
        <w:spacing w:line="480" w:lineRule="auto"/>
      </w:pPr>
      <w:r w:rsidRPr="00B51B12">
        <w:rPr>
          <w:lang w:val="de-DE"/>
        </w:rPr>
        <w:t xml:space="preserve">Kanfer, R., Chen, G., Pritchard, R. D. (2008). </w:t>
      </w:r>
      <w:r w:rsidRPr="00B51B12">
        <w:rPr>
          <w:iCs/>
        </w:rPr>
        <w:t>Work Motivation: Past, Present, and Future</w:t>
      </w:r>
      <w:r w:rsidRPr="00B51B12">
        <w:t xml:space="preserve">. New </w:t>
      </w:r>
    </w:p>
    <w:p w:rsidR="0044739D" w:rsidRPr="00B51B12" w:rsidRDefault="0044739D" w:rsidP="0044739D">
      <w:pPr>
        <w:spacing w:line="480" w:lineRule="auto"/>
        <w:ind w:firstLine="720"/>
      </w:pPr>
      <w:r w:rsidRPr="00B51B12">
        <w:t>York: Taylor &amp; Francis.</w:t>
      </w:r>
    </w:p>
    <w:p w:rsidR="0044739D" w:rsidRPr="00B51B12" w:rsidRDefault="0044739D" w:rsidP="0044739D">
      <w:pPr>
        <w:spacing w:line="480" w:lineRule="auto"/>
        <w:ind w:left="720" w:hanging="720"/>
      </w:pPr>
      <w:proofErr w:type="spellStart"/>
      <w:proofErr w:type="gramStart"/>
      <w:r w:rsidRPr="00B51B12">
        <w:t>Kollmus</w:t>
      </w:r>
      <w:proofErr w:type="spellEnd"/>
      <w:r w:rsidRPr="00B51B12">
        <w:t xml:space="preserve">, A., &amp; </w:t>
      </w:r>
      <w:proofErr w:type="spellStart"/>
      <w:r w:rsidRPr="00B51B12">
        <w:t>Agyeman</w:t>
      </w:r>
      <w:proofErr w:type="spellEnd"/>
      <w:r w:rsidRPr="00B51B12">
        <w:t>, J. (2002).</w:t>
      </w:r>
      <w:proofErr w:type="gramEnd"/>
      <w:r w:rsidRPr="00B51B12">
        <w:t xml:space="preserve"> </w:t>
      </w:r>
      <w:r w:rsidR="00B51B12" w:rsidRPr="00B51B12">
        <w:t>“</w:t>
      </w:r>
      <w:r w:rsidRPr="00B51B12">
        <w:t>Mind the gap: Why do people act environmentally and what are the barriers to pro-environmental behavior?</w:t>
      </w:r>
      <w:proofErr w:type="gramStart"/>
      <w:r w:rsidR="00B51B12" w:rsidRPr="00B51B12">
        <w:t>”,</w:t>
      </w:r>
      <w:proofErr w:type="gramEnd"/>
      <w:r w:rsidRPr="00B51B12">
        <w:t xml:space="preserve"> Environmental Education Research, 8(3), 239–260.</w:t>
      </w:r>
    </w:p>
    <w:p w:rsidR="0044739D" w:rsidRPr="00B51B12" w:rsidRDefault="0044739D" w:rsidP="0044739D">
      <w:pPr>
        <w:spacing w:line="480" w:lineRule="auto"/>
      </w:pPr>
      <w:proofErr w:type="gramStart"/>
      <w:r w:rsidRPr="00B51B12">
        <w:t xml:space="preserve">Lindsay, J., &amp; </w:t>
      </w:r>
      <w:proofErr w:type="spellStart"/>
      <w:r w:rsidRPr="00B51B12">
        <w:t>Strathman</w:t>
      </w:r>
      <w:proofErr w:type="spellEnd"/>
      <w:r w:rsidRPr="00B51B12">
        <w:t>, A. (1997).</w:t>
      </w:r>
      <w:proofErr w:type="gramEnd"/>
      <w:r w:rsidRPr="00B51B12">
        <w:t xml:space="preserve"> </w:t>
      </w:r>
      <w:r w:rsidR="00B51B12" w:rsidRPr="00B51B12">
        <w:t>“</w:t>
      </w:r>
      <w:r w:rsidRPr="00B51B12">
        <w:t xml:space="preserve">Predictors of recycling behavior: An application of a </w:t>
      </w:r>
    </w:p>
    <w:p w:rsidR="0044739D" w:rsidRPr="00B51B12" w:rsidRDefault="00B51B12" w:rsidP="00B51B12">
      <w:pPr>
        <w:spacing w:line="480" w:lineRule="auto"/>
        <w:ind w:left="720"/>
      </w:pPr>
      <w:proofErr w:type="gramStart"/>
      <w:r w:rsidRPr="00B51B12">
        <w:t>modified</w:t>
      </w:r>
      <w:proofErr w:type="gramEnd"/>
      <w:r w:rsidRPr="00B51B12">
        <w:t xml:space="preserve"> health belief model”,</w:t>
      </w:r>
      <w:r w:rsidR="0044739D" w:rsidRPr="00B51B12">
        <w:t xml:space="preserve"> Journal of Applied Social Psychology, 27(20), 1799–1823.</w:t>
      </w:r>
    </w:p>
    <w:p w:rsidR="0044739D" w:rsidRPr="00B51B12" w:rsidRDefault="0044739D" w:rsidP="0044739D">
      <w:pPr>
        <w:spacing w:line="480" w:lineRule="auto"/>
        <w:ind w:left="720" w:hanging="720"/>
      </w:pPr>
      <w:proofErr w:type="gramStart"/>
      <w:r w:rsidRPr="00B51B12">
        <w:t>Mayer, F. S., &amp; Frantz, C. M. (2004).</w:t>
      </w:r>
      <w:proofErr w:type="gramEnd"/>
      <w:r w:rsidRPr="00B51B12">
        <w:t xml:space="preserve"> </w:t>
      </w:r>
      <w:proofErr w:type="gramStart"/>
      <w:r w:rsidR="00B51B12" w:rsidRPr="00B51B12">
        <w:t>“</w:t>
      </w:r>
      <w:r w:rsidRPr="00B51B12">
        <w:t>The connectedness to nature scale: A measure of individuals’ feeling in com</w:t>
      </w:r>
      <w:r w:rsidR="00B51B12" w:rsidRPr="00B51B12">
        <w:t>munity with nature”,</w:t>
      </w:r>
      <w:r w:rsidRPr="00B51B12">
        <w:t xml:space="preserve"> Journal of Environmental Psychology, 24(1), 503–515.</w:t>
      </w:r>
      <w:proofErr w:type="gramEnd"/>
      <w:r w:rsidRPr="00B51B12">
        <w:t xml:space="preserve"> </w:t>
      </w:r>
    </w:p>
    <w:p w:rsidR="00B63550" w:rsidRPr="00B51B12" w:rsidRDefault="00B63550" w:rsidP="00B63550">
      <w:pPr>
        <w:autoSpaceDE w:val="0"/>
        <w:autoSpaceDN w:val="0"/>
        <w:adjustRightInd w:val="0"/>
        <w:spacing w:line="480" w:lineRule="auto"/>
      </w:pPr>
      <w:proofErr w:type="spellStart"/>
      <w:proofErr w:type="gramStart"/>
      <w:r w:rsidRPr="00B51B12">
        <w:t>McStay</w:t>
      </w:r>
      <w:proofErr w:type="spellEnd"/>
      <w:r w:rsidRPr="00B51B12">
        <w:t>, J. R., &amp; Dunlap R. E. (1983).</w:t>
      </w:r>
      <w:proofErr w:type="gramEnd"/>
      <w:r w:rsidRPr="00B51B12">
        <w:t xml:space="preserve"> </w:t>
      </w:r>
      <w:r w:rsidR="00B51B12" w:rsidRPr="00B51B12">
        <w:t>“</w:t>
      </w:r>
      <w:r w:rsidRPr="00B51B12">
        <w:t xml:space="preserve">Male–female differences in concern for environmental </w:t>
      </w:r>
    </w:p>
    <w:p w:rsidR="00B63550" w:rsidRPr="00B51B12" w:rsidRDefault="00B51B12" w:rsidP="00B63550">
      <w:pPr>
        <w:autoSpaceDE w:val="0"/>
        <w:autoSpaceDN w:val="0"/>
        <w:adjustRightInd w:val="0"/>
        <w:spacing w:line="480" w:lineRule="auto"/>
        <w:ind w:firstLine="720"/>
      </w:pPr>
      <w:r w:rsidRPr="00B51B12">
        <w:t>Q</w:t>
      </w:r>
      <w:r w:rsidR="00B63550" w:rsidRPr="00B51B12">
        <w:t>uality</w:t>
      </w:r>
      <w:r w:rsidRPr="00B51B12">
        <w:t>”,</w:t>
      </w:r>
      <w:r w:rsidR="00B63550" w:rsidRPr="00B51B12">
        <w:t xml:space="preserve"> International Journal of Women’s Studies, 6(4), 291– 301.</w:t>
      </w:r>
    </w:p>
    <w:p w:rsidR="0044739D" w:rsidRPr="00B51B12" w:rsidRDefault="0044739D" w:rsidP="0044739D">
      <w:pPr>
        <w:spacing w:line="480" w:lineRule="auto"/>
        <w:ind w:left="720" w:hanging="720"/>
      </w:pPr>
      <w:proofErr w:type="spellStart"/>
      <w:proofErr w:type="gramStart"/>
      <w:r w:rsidRPr="00B51B12">
        <w:lastRenderedPageBreak/>
        <w:t>Meinhold</w:t>
      </w:r>
      <w:proofErr w:type="spellEnd"/>
      <w:r w:rsidRPr="00B51B12">
        <w:t xml:space="preserve">, J. L. &amp; </w:t>
      </w:r>
      <w:proofErr w:type="spellStart"/>
      <w:r w:rsidRPr="00B51B12">
        <w:t>Malkus</w:t>
      </w:r>
      <w:proofErr w:type="spellEnd"/>
      <w:r w:rsidRPr="00B51B12">
        <w:t>, A. J. (2005).</w:t>
      </w:r>
      <w:proofErr w:type="gramEnd"/>
      <w:r w:rsidRPr="00B51B12">
        <w:t xml:space="preserve"> </w:t>
      </w:r>
      <w:r w:rsidR="00B51B12" w:rsidRPr="00B51B12">
        <w:t>“</w:t>
      </w:r>
      <w:r w:rsidRPr="00B51B12">
        <w:t>Adolescent Environmental Behaviors: Can Knowledge, Attitudes, and Self-Efficacy Make a Difference?</w:t>
      </w:r>
      <w:proofErr w:type="gramStart"/>
      <w:r w:rsidR="00B51B12" w:rsidRPr="00B51B12">
        <w:t>”,</w:t>
      </w:r>
      <w:proofErr w:type="gramEnd"/>
      <w:r w:rsidRPr="00B51B12">
        <w:t xml:space="preserve"> Environment and Behavior, 37(4), 511–532.</w:t>
      </w:r>
    </w:p>
    <w:p w:rsidR="0044739D" w:rsidRPr="00B51B12" w:rsidRDefault="0044739D" w:rsidP="0044739D">
      <w:pPr>
        <w:spacing w:line="480" w:lineRule="auto"/>
        <w:ind w:left="720" w:hanging="720"/>
      </w:pPr>
      <w:proofErr w:type="spellStart"/>
      <w:r w:rsidRPr="00B51B12">
        <w:t>Mohai</w:t>
      </w:r>
      <w:proofErr w:type="spellEnd"/>
      <w:r w:rsidRPr="00B51B12">
        <w:t xml:space="preserve">, P. (1992). </w:t>
      </w:r>
      <w:proofErr w:type="gramStart"/>
      <w:r w:rsidR="00B51B12" w:rsidRPr="00B51B12">
        <w:t>“</w:t>
      </w:r>
      <w:r w:rsidRPr="00B51B12">
        <w:t>Men, women, and the environment: An examination of the gender gap in environmental concern and activism</w:t>
      </w:r>
      <w:r w:rsidR="00B51B12" w:rsidRPr="00B51B12">
        <w:t>”,</w:t>
      </w:r>
      <w:r w:rsidRPr="00B51B12">
        <w:t xml:space="preserve"> Society and Natural Resources, 5(1), 1–19.</w:t>
      </w:r>
      <w:proofErr w:type="gramEnd"/>
    </w:p>
    <w:p w:rsidR="0044739D" w:rsidRPr="00B51B12" w:rsidRDefault="0044739D" w:rsidP="00E376B3">
      <w:pPr>
        <w:spacing w:line="480" w:lineRule="auto"/>
        <w:ind w:left="720" w:hanging="720"/>
      </w:pPr>
      <w:proofErr w:type="gramStart"/>
      <w:r w:rsidRPr="00B51B12">
        <w:t>Ones, D. S.</w:t>
      </w:r>
      <w:r w:rsidR="00E376B3" w:rsidRPr="00B51B12">
        <w:t xml:space="preserve">, &amp; </w:t>
      </w:r>
      <w:proofErr w:type="spellStart"/>
      <w:r w:rsidR="00E376B3" w:rsidRPr="00B51B12">
        <w:t>Dilchert</w:t>
      </w:r>
      <w:proofErr w:type="spellEnd"/>
      <w:r w:rsidR="00E376B3" w:rsidRPr="00B51B12">
        <w:t>, S.</w:t>
      </w:r>
      <w:r w:rsidRPr="00B51B12">
        <w:t xml:space="preserve"> (2009, August).</w:t>
      </w:r>
      <w:proofErr w:type="gramEnd"/>
      <w:r w:rsidRPr="00B51B12">
        <w:t xml:space="preserve"> </w:t>
      </w:r>
      <w:r w:rsidR="00B51B12" w:rsidRPr="00B51B12">
        <w:t>“</w:t>
      </w:r>
      <w:r w:rsidRPr="00B51B12">
        <w:t xml:space="preserve">Green behaviors of workers: </w:t>
      </w:r>
      <w:proofErr w:type="gramStart"/>
      <w:r w:rsidRPr="00B51B12">
        <w:t>A taxonomy</w:t>
      </w:r>
      <w:proofErr w:type="gramEnd"/>
      <w:r w:rsidRPr="00B51B12">
        <w:t xml:space="preserve"> for </w:t>
      </w:r>
      <w:r w:rsidR="00E376B3" w:rsidRPr="00B51B12">
        <w:t xml:space="preserve">the </w:t>
      </w:r>
      <w:r w:rsidRPr="00B51B12">
        <w:t>green economy</w:t>
      </w:r>
      <w:r w:rsidR="00B51B12" w:rsidRPr="00B51B12">
        <w:t>”.</w:t>
      </w:r>
      <w:r w:rsidRPr="00B51B12">
        <w:t xml:space="preserve"> In S. </w:t>
      </w:r>
      <w:proofErr w:type="spellStart"/>
      <w:r w:rsidRPr="00B51B12">
        <w:t>Dilchert</w:t>
      </w:r>
      <w:proofErr w:type="spellEnd"/>
      <w:r w:rsidRPr="00B51B12">
        <w:t xml:space="preserve"> &amp; D. S. Ones (Chairs), </w:t>
      </w:r>
      <w:proofErr w:type="gramStart"/>
      <w:r w:rsidRPr="00B51B12">
        <w:t>Environmentally</w:t>
      </w:r>
      <w:proofErr w:type="gramEnd"/>
      <w:r w:rsidRPr="00B51B12">
        <w:t xml:space="preserve"> friendly worker behaviors. Symposium conducted at the meeting of Academy of Management, Chicago.</w:t>
      </w:r>
    </w:p>
    <w:p w:rsidR="00E376B3" w:rsidRPr="00B51B12" w:rsidRDefault="00E376B3" w:rsidP="00E376B3">
      <w:pPr>
        <w:spacing w:line="480" w:lineRule="auto"/>
        <w:ind w:left="720" w:hanging="720"/>
      </w:pPr>
      <w:r w:rsidRPr="00B51B12">
        <w:t xml:space="preserve">Ones, D. S., &amp; </w:t>
      </w:r>
      <w:proofErr w:type="spellStart"/>
      <w:r w:rsidRPr="00B51B12">
        <w:t>Dilchert</w:t>
      </w:r>
      <w:proofErr w:type="spellEnd"/>
      <w:r w:rsidRPr="00B51B12">
        <w:t xml:space="preserve">, S. (2012). </w:t>
      </w:r>
      <w:proofErr w:type="gramStart"/>
      <w:r w:rsidR="00B51B12" w:rsidRPr="00B51B12">
        <w:t>“</w:t>
      </w:r>
      <w:r w:rsidRPr="00B51B12">
        <w:t>Employee green behaviors</w:t>
      </w:r>
      <w:r w:rsidR="00B51B12" w:rsidRPr="00B51B12">
        <w:t>”</w:t>
      </w:r>
      <w:r w:rsidRPr="00B51B12">
        <w:t>.</w:t>
      </w:r>
      <w:proofErr w:type="gramEnd"/>
      <w:r w:rsidRPr="00B51B12">
        <w:t xml:space="preserve"> In S. E. Jackson, D. S. Ones, &amp; S. </w:t>
      </w:r>
      <w:proofErr w:type="spellStart"/>
      <w:r w:rsidRPr="00B51B12">
        <w:t>Dilchert</w:t>
      </w:r>
      <w:proofErr w:type="spellEnd"/>
      <w:r w:rsidRPr="00B51B12">
        <w:t xml:space="preserve"> (Eds.), Managing HR for environmental sustainability. San Francisco, CA: </w:t>
      </w:r>
      <w:proofErr w:type="spellStart"/>
      <w:r w:rsidRPr="00B51B12">
        <w:t>Jossey</w:t>
      </w:r>
      <w:proofErr w:type="spellEnd"/>
      <w:r w:rsidRPr="00B51B12">
        <w:t>-Bass/Wiley.</w:t>
      </w:r>
    </w:p>
    <w:p w:rsidR="0044739D" w:rsidRPr="00B51B12" w:rsidRDefault="0044739D" w:rsidP="0044739D">
      <w:pPr>
        <w:spacing w:line="480" w:lineRule="auto"/>
        <w:ind w:left="720" w:hanging="720"/>
      </w:pPr>
      <w:proofErr w:type="spellStart"/>
      <w:proofErr w:type="gramStart"/>
      <w:r w:rsidRPr="00B51B12">
        <w:t>Ozanne</w:t>
      </w:r>
      <w:proofErr w:type="spellEnd"/>
      <w:r w:rsidRPr="00B51B12">
        <w:t>, L. K., Humphrey, C. R., &amp; Smith, P. M. (1999).</w:t>
      </w:r>
      <w:proofErr w:type="gramEnd"/>
      <w:r w:rsidRPr="00B51B12">
        <w:t xml:space="preserve"> </w:t>
      </w:r>
      <w:proofErr w:type="gramStart"/>
      <w:r w:rsidR="00B51B12" w:rsidRPr="00B51B12">
        <w:t>“</w:t>
      </w:r>
      <w:r w:rsidRPr="00B51B12">
        <w:t>Gender, environmentalism, and interest in forest certification</w:t>
      </w:r>
      <w:r w:rsidR="00B51B12" w:rsidRPr="00B51B12">
        <w:t>”,</w:t>
      </w:r>
      <w:r w:rsidRPr="00B51B12">
        <w:t xml:space="preserve"> Society and Natural Resources, 12(1), 613-622.</w:t>
      </w:r>
      <w:proofErr w:type="gramEnd"/>
    </w:p>
    <w:p w:rsidR="0044739D" w:rsidRPr="00B51B12" w:rsidRDefault="0044739D" w:rsidP="0044739D">
      <w:pPr>
        <w:spacing w:line="480" w:lineRule="auto"/>
        <w:ind w:left="720" w:hanging="720"/>
      </w:pPr>
      <w:r w:rsidRPr="00B51B12">
        <w:t xml:space="preserve">Roberts, J. A. (1993). </w:t>
      </w:r>
      <w:proofErr w:type="gramStart"/>
      <w:r w:rsidR="00B51B12" w:rsidRPr="00B51B12">
        <w:t>“</w:t>
      </w:r>
      <w:r w:rsidRPr="00B51B12">
        <w:t xml:space="preserve">Sex differences in socially responsible consumers' </w:t>
      </w:r>
      <w:r w:rsidR="00B51B12" w:rsidRPr="00B51B12">
        <w:t>behavior”,</w:t>
      </w:r>
      <w:r w:rsidRPr="00B51B12">
        <w:t xml:space="preserve"> Psychological Reports, 73(1), 139-148.</w:t>
      </w:r>
      <w:proofErr w:type="gramEnd"/>
      <w:r w:rsidRPr="00B51B12">
        <w:t xml:space="preserve"> </w:t>
      </w:r>
    </w:p>
    <w:p w:rsidR="0044739D" w:rsidRPr="00B51B12" w:rsidRDefault="0044739D" w:rsidP="0044739D">
      <w:pPr>
        <w:spacing w:line="480" w:lineRule="auto"/>
        <w:ind w:left="720" w:hanging="720"/>
      </w:pPr>
      <w:proofErr w:type="gramStart"/>
      <w:r w:rsidRPr="00B51B12">
        <w:t xml:space="preserve">Robertson, K. F., </w:t>
      </w:r>
      <w:proofErr w:type="spellStart"/>
      <w:r w:rsidRPr="00B51B12">
        <w:t>Smeets</w:t>
      </w:r>
      <w:proofErr w:type="spellEnd"/>
      <w:r w:rsidRPr="00B51B12">
        <w:t xml:space="preserve">, S., </w:t>
      </w:r>
      <w:proofErr w:type="spellStart"/>
      <w:r w:rsidRPr="00B51B12">
        <w:t>Lubinski</w:t>
      </w:r>
      <w:proofErr w:type="spellEnd"/>
      <w:r w:rsidRPr="00B51B12">
        <w:t xml:space="preserve">, D., </w:t>
      </w:r>
      <w:proofErr w:type="spellStart"/>
      <w:r w:rsidRPr="00B51B12">
        <w:t>Benbow</w:t>
      </w:r>
      <w:proofErr w:type="spellEnd"/>
      <w:r w:rsidRPr="00B51B12">
        <w:t>, C. P.</w:t>
      </w:r>
      <w:proofErr w:type="gramEnd"/>
      <w:r w:rsidRPr="00B51B12">
        <w:t xml:space="preserve">  (2010).  </w:t>
      </w:r>
      <w:r w:rsidR="00B51B12" w:rsidRPr="00B51B12">
        <w:t>“</w:t>
      </w:r>
      <w:r w:rsidRPr="00B51B12">
        <w:t>Beyond the threshold hypothesis:  Even among the gifted and top math/science graduate students, cognitive abilities, vocational interests, and lifestyle preferences matter for career choice, performance, and persistence</w:t>
      </w:r>
      <w:r w:rsidR="00B51B12" w:rsidRPr="00B51B12">
        <w:t>”</w:t>
      </w:r>
      <w:r w:rsidRPr="00B51B12">
        <w:t xml:space="preserve"> Current Directions in Psychological Science, 19, 346–351.</w:t>
      </w:r>
    </w:p>
    <w:p w:rsidR="0044739D" w:rsidRPr="00B51B12" w:rsidRDefault="0044739D" w:rsidP="0044739D">
      <w:pPr>
        <w:autoSpaceDE w:val="0"/>
        <w:autoSpaceDN w:val="0"/>
        <w:adjustRightInd w:val="0"/>
        <w:spacing w:line="480" w:lineRule="auto"/>
      </w:pPr>
      <w:proofErr w:type="spellStart"/>
      <w:proofErr w:type="gramStart"/>
      <w:r w:rsidRPr="00B51B12">
        <w:t>Rokeach</w:t>
      </w:r>
      <w:proofErr w:type="spellEnd"/>
      <w:r w:rsidRPr="00B51B12">
        <w:t>, M. (1973).</w:t>
      </w:r>
      <w:proofErr w:type="gramEnd"/>
      <w:r w:rsidRPr="00B51B12">
        <w:t xml:space="preserve"> </w:t>
      </w:r>
      <w:proofErr w:type="gramStart"/>
      <w:r w:rsidRPr="00B51B12">
        <w:rPr>
          <w:iCs/>
        </w:rPr>
        <w:t>The Nature of Human Values</w:t>
      </w:r>
      <w:r w:rsidRPr="00B51B12">
        <w:t>.</w:t>
      </w:r>
      <w:proofErr w:type="gramEnd"/>
      <w:r w:rsidRPr="00B51B12">
        <w:t xml:space="preserve"> New York: Free Press.</w:t>
      </w:r>
    </w:p>
    <w:p w:rsidR="0044739D" w:rsidRPr="00B51B12" w:rsidRDefault="0044739D" w:rsidP="0044739D">
      <w:pPr>
        <w:spacing w:line="480" w:lineRule="auto"/>
        <w:ind w:left="720" w:hanging="720"/>
      </w:pPr>
      <w:r w:rsidRPr="00B51B12">
        <w:t xml:space="preserve">Rosenthal, R. (1979). </w:t>
      </w:r>
      <w:r w:rsidR="00B51B12" w:rsidRPr="00B51B12">
        <w:t>“</w:t>
      </w:r>
      <w:r w:rsidRPr="00B51B12">
        <w:t>The file drawer problem and tolerance for null results</w:t>
      </w:r>
      <w:r w:rsidR="00B51B12" w:rsidRPr="00B51B12">
        <w:t>”,</w:t>
      </w:r>
      <w:r w:rsidRPr="00B51B12">
        <w:t xml:space="preserve"> Psychological Bulletin, 86(3), 638–641.</w:t>
      </w:r>
    </w:p>
    <w:p w:rsidR="0044739D" w:rsidRPr="00B51B12" w:rsidRDefault="0044739D" w:rsidP="0044739D">
      <w:pPr>
        <w:spacing w:line="480" w:lineRule="auto"/>
        <w:ind w:left="720" w:hanging="720"/>
      </w:pPr>
      <w:proofErr w:type="spellStart"/>
      <w:proofErr w:type="gramStart"/>
      <w:r w:rsidRPr="00B51B12">
        <w:lastRenderedPageBreak/>
        <w:t>Schahn</w:t>
      </w:r>
      <w:proofErr w:type="spellEnd"/>
      <w:r w:rsidRPr="00B51B12">
        <w:t xml:space="preserve">, J., &amp; </w:t>
      </w:r>
      <w:proofErr w:type="spellStart"/>
      <w:r w:rsidRPr="00B51B12">
        <w:t>Holzer</w:t>
      </w:r>
      <w:proofErr w:type="spellEnd"/>
      <w:r w:rsidRPr="00B51B12">
        <w:t>, E. (1990).</w:t>
      </w:r>
      <w:proofErr w:type="gramEnd"/>
      <w:r w:rsidRPr="00B51B12">
        <w:t xml:space="preserve"> </w:t>
      </w:r>
      <w:proofErr w:type="gramStart"/>
      <w:r w:rsidR="00B51B12" w:rsidRPr="00B51B12">
        <w:t>“</w:t>
      </w:r>
      <w:r w:rsidRPr="00B51B12">
        <w:t>Studies of individual environmental concern</w:t>
      </w:r>
      <w:r w:rsidR="00B51B12" w:rsidRPr="00B51B12">
        <w:t>”,</w:t>
      </w:r>
      <w:r w:rsidRPr="00B51B12">
        <w:t xml:space="preserve"> Environment and Behavior, 22(6), 767–786.</w:t>
      </w:r>
      <w:proofErr w:type="gramEnd"/>
    </w:p>
    <w:p w:rsidR="0044739D" w:rsidRPr="00B51B12" w:rsidRDefault="0044739D" w:rsidP="0044739D">
      <w:pPr>
        <w:autoSpaceDE w:val="0"/>
        <w:autoSpaceDN w:val="0"/>
        <w:adjustRightInd w:val="0"/>
        <w:spacing w:line="480" w:lineRule="auto"/>
        <w:rPr>
          <w:iCs/>
        </w:rPr>
      </w:pPr>
      <w:proofErr w:type="gramStart"/>
      <w:r w:rsidRPr="00B51B12">
        <w:t xml:space="preserve">Schwartz, S. H., and </w:t>
      </w:r>
      <w:proofErr w:type="spellStart"/>
      <w:r w:rsidRPr="00B51B12">
        <w:t>Bilsky</w:t>
      </w:r>
      <w:proofErr w:type="spellEnd"/>
      <w:r w:rsidRPr="00B51B12">
        <w:t>, W. (1987).</w:t>
      </w:r>
      <w:proofErr w:type="gramEnd"/>
      <w:r w:rsidRPr="00B51B12">
        <w:t xml:space="preserve"> </w:t>
      </w:r>
      <w:r w:rsidR="00B51B12" w:rsidRPr="00B51B12">
        <w:t>“</w:t>
      </w:r>
      <w:r w:rsidRPr="00B51B12">
        <w:t>Toward a universal structure of human values</w:t>
      </w:r>
      <w:r w:rsidR="00B51B12" w:rsidRPr="00B51B12">
        <w:t>”,</w:t>
      </w:r>
      <w:r w:rsidRPr="00B51B12">
        <w:t xml:space="preserve"> </w:t>
      </w:r>
      <w:r w:rsidRPr="00B51B12">
        <w:rPr>
          <w:iCs/>
        </w:rPr>
        <w:t xml:space="preserve">Journal </w:t>
      </w:r>
    </w:p>
    <w:p w:rsidR="0044739D" w:rsidRPr="00B51B12" w:rsidRDefault="0044739D" w:rsidP="0044739D">
      <w:pPr>
        <w:autoSpaceDE w:val="0"/>
        <w:autoSpaceDN w:val="0"/>
        <w:adjustRightInd w:val="0"/>
        <w:spacing w:line="480" w:lineRule="auto"/>
        <w:ind w:firstLine="720"/>
      </w:pPr>
      <w:proofErr w:type="gramStart"/>
      <w:r w:rsidRPr="00B51B12">
        <w:rPr>
          <w:iCs/>
        </w:rPr>
        <w:t>of</w:t>
      </w:r>
      <w:proofErr w:type="gramEnd"/>
      <w:r w:rsidRPr="00B51B12">
        <w:rPr>
          <w:iCs/>
        </w:rPr>
        <w:t xml:space="preserve"> Personality and Social Psychology, </w:t>
      </w:r>
      <w:r w:rsidRPr="00B51B12">
        <w:t>53, 550–562.</w:t>
      </w:r>
    </w:p>
    <w:p w:rsidR="0044739D" w:rsidRPr="00B51B12" w:rsidRDefault="0044739D" w:rsidP="0044739D">
      <w:pPr>
        <w:spacing w:line="480" w:lineRule="auto"/>
      </w:pPr>
      <w:proofErr w:type="gramStart"/>
      <w:r w:rsidRPr="00B51B12">
        <w:t>Society for Human Resource Management, Wage and Hour Division.</w:t>
      </w:r>
      <w:proofErr w:type="gramEnd"/>
      <w:r w:rsidRPr="00B51B12">
        <w:t xml:space="preserve"> (2010, July 15). </w:t>
      </w:r>
      <w:r w:rsidR="00B51B12" w:rsidRPr="00B51B12">
        <w:t>“</w:t>
      </w:r>
      <w:r w:rsidRPr="00B51B12">
        <w:t xml:space="preserve">Green </w:t>
      </w:r>
    </w:p>
    <w:p w:rsidR="0044739D" w:rsidRPr="00B51B12" w:rsidRDefault="0044739D" w:rsidP="0044739D">
      <w:pPr>
        <w:spacing w:line="480" w:lineRule="auto"/>
        <w:ind w:left="720"/>
      </w:pPr>
      <w:proofErr w:type="gramStart"/>
      <w:r w:rsidRPr="00B51B12">
        <w:t>jobs</w:t>
      </w:r>
      <w:proofErr w:type="gramEnd"/>
      <w:r w:rsidRPr="00B51B12">
        <w:t xml:space="preserve"> - Are they here yet? SHRM Poll</w:t>
      </w:r>
      <w:r w:rsidR="00B51B12" w:rsidRPr="00B51B12">
        <w:t>”</w:t>
      </w:r>
      <w:r w:rsidRPr="00B51B12">
        <w:t xml:space="preserve"> (Child Labor Bulletin 101: WH-1330). Retrieved from http://www.shrm.org/Research/SurveyFindings/Articles/Pages /GreenJobsAreTheyHereYet.aspx</w:t>
      </w:r>
    </w:p>
    <w:p w:rsidR="0044739D" w:rsidRPr="00B51B12" w:rsidRDefault="0044739D" w:rsidP="0044739D">
      <w:pPr>
        <w:autoSpaceDE w:val="0"/>
        <w:autoSpaceDN w:val="0"/>
        <w:adjustRightInd w:val="0"/>
        <w:spacing w:line="480" w:lineRule="auto"/>
        <w:ind w:left="720" w:hanging="720"/>
      </w:pPr>
      <w:r w:rsidRPr="00B51B12">
        <w:rPr>
          <w:lang w:val="de-DE"/>
        </w:rPr>
        <w:t xml:space="preserve">Stern, P. C., Dietz, T., &amp; Guagnano, G. A. (1995). </w:t>
      </w:r>
      <w:proofErr w:type="gramStart"/>
      <w:r w:rsidR="00B51B12" w:rsidRPr="00B51B12">
        <w:t>“</w:t>
      </w:r>
      <w:r w:rsidRPr="00B51B12">
        <w:t>The new ecological paradigm in social-psychological context</w:t>
      </w:r>
      <w:r w:rsidR="00B51B12" w:rsidRPr="00B51B12">
        <w:t>”,</w:t>
      </w:r>
      <w:r w:rsidRPr="00B51B12">
        <w:t xml:space="preserve"> </w:t>
      </w:r>
      <w:r w:rsidRPr="00B51B12">
        <w:rPr>
          <w:iCs/>
        </w:rPr>
        <w:t>Environment and Behavior</w:t>
      </w:r>
      <w:r w:rsidRPr="00B51B12">
        <w:t xml:space="preserve">, </w:t>
      </w:r>
      <w:r w:rsidRPr="00B51B12">
        <w:rPr>
          <w:iCs/>
        </w:rPr>
        <w:t>27</w:t>
      </w:r>
      <w:r w:rsidRPr="00B51B12">
        <w:t>, 723–743.</w:t>
      </w:r>
      <w:proofErr w:type="gramEnd"/>
    </w:p>
    <w:p w:rsidR="0044739D" w:rsidRPr="00B51B12" w:rsidRDefault="0044739D" w:rsidP="0044739D">
      <w:pPr>
        <w:autoSpaceDE w:val="0"/>
        <w:autoSpaceDN w:val="0"/>
        <w:adjustRightInd w:val="0"/>
        <w:spacing w:line="480" w:lineRule="auto"/>
        <w:ind w:left="720" w:hanging="720"/>
      </w:pPr>
      <w:proofErr w:type="gramStart"/>
      <w:r w:rsidRPr="00B51B12">
        <w:t>Su, R., Rounds, J., &amp; Armstrong, P. I. (2009).</w:t>
      </w:r>
      <w:proofErr w:type="gramEnd"/>
      <w:r w:rsidRPr="00B51B12">
        <w:t xml:space="preserve"> </w:t>
      </w:r>
      <w:proofErr w:type="gramStart"/>
      <w:r w:rsidR="00B51B12" w:rsidRPr="00B51B12">
        <w:t>“</w:t>
      </w:r>
      <w:r w:rsidRPr="00B51B12">
        <w:t>Men and things, women and people: A meta-analysis of sex differences in interests</w:t>
      </w:r>
      <w:r w:rsidR="00B51B12" w:rsidRPr="00B51B12">
        <w:t>”,</w:t>
      </w:r>
      <w:r w:rsidRPr="00B51B12">
        <w:t xml:space="preserve"> Psychological Bulletin, 135(6), 859–884.</w:t>
      </w:r>
      <w:proofErr w:type="gramEnd"/>
    </w:p>
    <w:p w:rsidR="007134C0" w:rsidRPr="00B51B12" w:rsidRDefault="007134C0" w:rsidP="007134C0">
      <w:pPr>
        <w:pStyle w:val="References"/>
        <w:rPr>
          <w:noProof/>
        </w:rPr>
      </w:pPr>
      <w:bookmarkStart w:id="1" w:name="_ENREF_89"/>
      <w:r w:rsidRPr="00B51B12">
        <w:rPr>
          <w:noProof/>
        </w:rPr>
        <w:t xml:space="preserve">United Nations Environment Programme. (2008). </w:t>
      </w:r>
      <w:r w:rsidR="00B51B12" w:rsidRPr="00B51B12">
        <w:rPr>
          <w:noProof/>
        </w:rPr>
        <w:t>“</w:t>
      </w:r>
      <w:r w:rsidRPr="00B51B12">
        <w:rPr>
          <w:noProof/>
        </w:rPr>
        <w:t>Green jobs: Towards decent work in a sustainable, low carbon world</w:t>
      </w:r>
      <w:r w:rsidR="00B51B12" w:rsidRPr="00B51B12">
        <w:rPr>
          <w:noProof/>
        </w:rPr>
        <w:t>”</w:t>
      </w:r>
      <w:r w:rsidRPr="00B51B12">
        <w:rPr>
          <w:noProof/>
        </w:rPr>
        <w:t xml:space="preserve">. Retrieved February 12, 2013 from </w:t>
      </w:r>
      <w:bookmarkEnd w:id="1"/>
      <w:r w:rsidRPr="00B51B12">
        <w:rPr>
          <w:noProof/>
        </w:rPr>
        <w:t>http://www.ilo.org/empent/units/green-jobs-programme/about-the-programme/WCMS_158727/lang--en/index.htm</w:t>
      </w:r>
    </w:p>
    <w:p w:rsidR="0044739D" w:rsidRPr="00B51B12" w:rsidRDefault="0044739D" w:rsidP="0044739D">
      <w:pPr>
        <w:spacing w:line="480" w:lineRule="auto"/>
      </w:pPr>
      <w:proofErr w:type="gramStart"/>
      <w:r w:rsidRPr="00B51B12">
        <w:t>U.S. Department of Labor.</w:t>
      </w:r>
      <w:proofErr w:type="gramEnd"/>
      <w:r w:rsidRPr="00B51B12">
        <w:t xml:space="preserve"> </w:t>
      </w:r>
      <w:proofErr w:type="gramStart"/>
      <w:r w:rsidRPr="00B51B12">
        <w:t>(2010, July).</w:t>
      </w:r>
      <w:proofErr w:type="gramEnd"/>
      <w:r w:rsidRPr="00B51B12">
        <w:t xml:space="preserve"> </w:t>
      </w:r>
      <w:r w:rsidR="00B51B12" w:rsidRPr="00B51B12">
        <w:t>“</w:t>
      </w:r>
      <w:r w:rsidRPr="00B51B12">
        <w:t xml:space="preserve">Child labor provisions for nonagricultural occupations </w:t>
      </w:r>
    </w:p>
    <w:p w:rsidR="0044739D" w:rsidRPr="00B51B12" w:rsidRDefault="0044739D" w:rsidP="0044739D">
      <w:pPr>
        <w:spacing w:line="480" w:lineRule="auto"/>
        <w:ind w:firstLine="720"/>
      </w:pPr>
      <w:proofErr w:type="gramStart"/>
      <w:r w:rsidRPr="00B51B12">
        <w:t>under</w:t>
      </w:r>
      <w:proofErr w:type="gramEnd"/>
      <w:r w:rsidRPr="00B51B12">
        <w:t xml:space="preserve"> the fair labor standards act</w:t>
      </w:r>
      <w:r w:rsidR="00B51B12" w:rsidRPr="00B51B12">
        <w:t>”</w:t>
      </w:r>
      <w:r w:rsidRPr="00B51B12">
        <w:t>. Retrieved from http://www.dol.gov/whd/regs</w:t>
      </w:r>
    </w:p>
    <w:p w:rsidR="0044739D" w:rsidRPr="00B51B12" w:rsidRDefault="0044739D" w:rsidP="0044739D">
      <w:pPr>
        <w:spacing w:line="480" w:lineRule="auto"/>
        <w:ind w:firstLine="720"/>
      </w:pPr>
      <w:r w:rsidRPr="00B51B12">
        <w:t>/compliance/childlabor101.pdf</w:t>
      </w:r>
    </w:p>
    <w:p w:rsidR="0044739D" w:rsidRPr="00B51B12" w:rsidRDefault="0044739D" w:rsidP="0044739D">
      <w:pPr>
        <w:autoSpaceDE w:val="0"/>
        <w:autoSpaceDN w:val="0"/>
        <w:adjustRightInd w:val="0"/>
        <w:spacing w:line="480" w:lineRule="auto"/>
      </w:pPr>
      <w:proofErr w:type="gramStart"/>
      <w:r w:rsidRPr="00B51B12">
        <w:t xml:space="preserve">Van </w:t>
      </w:r>
      <w:proofErr w:type="spellStart"/>
      <w:r w:rsidRPr="00B51B12">
        <w:t>Liere</w:t>
      </w:r>
      <w:proofErr w:type="spellEnd"/>
      <w:r w:rsidRPr="00B51B12">
        <w:t>, K., &amp; Dunlap, R. (1980).</w:t>
      </w:r>
      <w:proofErr w:type="gramEnd"/>
      <w:r w:rsidRPr="00B51B12">
        <w:t xml:space="preserve"> </w:t>
      </w:r>
      <w:r w:rsidR="00B51B12" w:rsidRPr="00B51B12">
        <w:t>“</w:t>
      </w:r>
      <w:r w:rsidRPr="00B51B12">
        <w:t>The social bases of environmental concern: A review of</w:t>
      </w:r>
    </w:p>
    <w:p w:rsidR="0044739D" w:rsidRPr="00B51B12" w:rsidRDefault="0044739D" w:rsidP="0044739D">
      <w:pPr>
        <w:autoSpaceDE w:val="0"/>
        <w:autoSpaceDN w:val="0"/>
        <w:adjustRightInd w:val="0"/>
        <w:spacing w:line="480" w:lineRule="auto"/>
        <w:ind w:left="720"/>
      </w:pPr>
      <w:proofErr w:type="gramStart"/>
      <w:r w:rsidRPr="00B51B12">
        <w:t>hypotheses</w:t>
      </w:r>
      <w:proofErr w:type="gramEnd"/>
      <w:r w:rsidRPr="00B51B12">
        <w:t>, explanations, and empirical evidence</w:t>
      </w:r>
      <w:r w:rsidR="00B51B12" w:rsidRPr="00B51B12">
        <w:t>”,</w:t>
      </w:r>
      <w:r w:rsidRPr="00B51B12">
        <w:t xml:space="preserve"> Public Opinion Quarterly, 44, 181–197.</w:t>
      </w:r>
    </w:p>
    <w:p w:rsidR="0044739D" w:rsidRPr="00B51B12" w:rsidRDefault="0044739D" w:rsidP="0044739D">
      <w:pPr>
        <w:spacing w:line="480" w:lineRule="auto"/>
        <w:ind w:left="720" w:hanging="720"/>
        <w:rPr>
          <w:noProof/>
        </w:rPr>
      </w:pPr>
      <w:r w:rsidRPr="00B51B12">
        <w:rPr>
          <w:noProof/>
        </w:rPr>
        <w:lastRenderedPageBreak/>
        <w:t xml:space="preserve">Wolfers, J. (2006). </w:t>
      </w:r>
      <w:r w:rsidR="00B51B12" w:rsidRPr="00B51B12">
        <w:rPr>
          <w:noProof/>
        </w:rPr>
        <w:t>“</w:t>
      </w:r>
      <w:r w:rsidRPr="00B51B12">
        <w:rPr>
          <w:noProof/>
        </w:rPr>
        <w:t>Diagnosing discrimination: Stock returns and CEO gender</w:t>
      </w:r>
      <w:r w:rsidR="00B51B12" w:rsidRPr="00B51B12">
        <w:rPr>
          <w:noProof/>
        </w:rPr>
        <w:t>”,</w:t>
      </w:r>
      <w:r w:rsidRPr="00B51B12">
        <w:rPr>
          <w:noProof/>
        </w:rPr>
        <w:t xml:space="preserve"> Journal of the European Economic Association, 4, 531-541. doi:10.1162/jeea.2006.4.2-3.531</w:t>
      </w:r>
    </w:p>
    <w:p w:rsidR="00B63550" w:rsidRPr="00B51B12" w:rsidRDefault="00B63550" w:rsidP="00B63550">
      <w:pPr>
        <w:spacing w:line="480" w:lineRule="auto"/>
      </w:pPr>
      <w:proofErr w:type="gramStart"/>
      <w:r w:rsidRPr="00B51B12">
        <w:t>Xiao, C., &amp; Hong, D. (2010).</w:t>
      </w:r>
      <w:proofErr w:type="gramEnd"/>
      <w:r w:rsidRPr="00B51B12">
        <w:t xml:space="preserve"> </w:t>
      </w:r>
      <w:r w:rsidR="00B51B12" w:rsidRPr="00B51B12">
        <w:t>“</w:t>
      </w:r>
      <w:r w:rsidRPr="00B51B12">
        <w:t>Gender differences in environmental behaviors in China</w:t>
      </w:r>
      <w:r w:rsidR="00B51B12" w:rsidRPr="00B51B12">
        <w:t>”,</w:t>
      </w:r>
      <w:r w:rsidRPr="00B51B12">
        <w:t xml:space="preserve"> </w:t>
      </w:r>
    </w:p>
    <w:p w:rsidR="00B63550" w:rsidRPr="00B51B12" w:rsidRDefault="00B63550" w:rsidP="00B63550">
      <w:pPr>
        <w:spacing w:line="480" w:lineRule="auto"/>
        <w:ind w:firstLine="720"/>
      </w:pPr>
      <w:r w:rsidRPr="00B51B12">
        <w:t>Population &amp; Environment, 32(1), 88–104.</w:t>
      </w:r>
    </w:p>
    <w:p w:rsidR="0044739D" w:rsidRPr="00B51B12" w:rsidRDefault="0044739D" w:rsidP="0044739D">
      <w:pPr>
        <w:autoSpaceDE w:val="0"/>
        <w:autoSpaceDN w:val="0"/>
        <w:adjustRightInd w:val="0"/>
        <w:spacing w:line="480" w:lineRule="auto"/>
      </w:pPr>
      <w:proofErr w:type="spellStart"/>
      <w:proofErr w:type="gramStart"/>
      <w:r w:rsidRPr="00B51B12">
        <w:t>Zelezny</w:t>
      </w:r>
      <w:proofErr w:type="spellEnd"/>
      <w:r w:rsidRPr="00B51B12">
        <w:t>, L. C., Chua, P., &amp; Aldrich, C. (2000).</w:t>
      </w:r>
      <w:proofErr w:type="gramEnd"/>
      <w:r w:rsidRPr="00B51B12">
        <w:t xml:space="preserve"> </w:t>
      </w:r>
      <w:r w:rsidR="00B51B12" w:rsidRPr="00B51B12">
        <w:t>“</w:t>
      </w:r>
      <w:r w:rsidRPr="00B51B12">
        <w:t xml:space="preserve">Elaborating on gender differences in </w:t>
      </w:r>
    </w:p>
    <w:p w:rsidR="0044739D" w:rsidRPr="00B51B12" w:rsidRDefault="00B51B12" w:rsidP="0044739D">
      <w:pPr>
        <w:autoSpaceDE w:val="0"/>
        <w:autoSpaceDN w:val="0"/>
        <w:adjustRightInd w:val="0"/>
        <w:spacing w:line="480" w:lineRule="auto"/>
        <w:ind w:firstLine="720"/>
      </w:pPr>
      <w:r w:rsidRPr="00B51B12">
        <w:t>E</w:t>
      </w:r>
      <w:r w:rsidR="0044739D" w:rsidRPr="00B51B12">
        <w:t>nvironmentalism</w:t>
      </w:r>
      <w:r w:rsidRPr="00B51B12">
        <w:t>”,</w:t>
      </w:r>
      <w:r w:rsidR="0044739D" w:rsidRPr="00B51B12">
        <w:t xml:space="preserve"> Journal of Social Issues, 56(3), 443–457.</w:t>
      </w:r>
    </w:p>
    <w:p w:rsidR="0044739D" w:rsidRDefault="0044739D" w:rsidP="0044739D">
      <w:pPr>
        <w:spacing w:line="480" w:lineRule="auto"/>
      </w:pPr>
    </w:p>
    <w:p w:rsidR="0044739D" w:rsidRDefault="0044739D" w:rsidP="0044739D">
      <w:pPr>
        <w:spacing w:line="480" w:lineRule="auto"/>
      </w:pPr>
    </w:p>
    <w:p w:rsidR="00093B07" w:rsidRDefault="00093B07" w:rsidP="00A67AB5">
      <w:pPr>
        <w:spacing w:after="200"/>
      </w:pPr>
    </w:p>
    <w:p w:rsidR="00093B07" w:rsidRDefault="00093B07" w:rsidP="00A67AB5">
      <w:pPr>
        <w:spacing w:after="200"/>
      </w:pPr>
    </w:p>
    <w:p w:rsidR="0044739D" w:rsidRDefault="0044739D" w:rsidP="00A67AB5">
      <w:pPr>
        <w:spacing w:after="200"/>
      </w:pPr>
    </w:p>
    <w:p w:rsidR="0044739D" w:rsidRDefault="0044739D" w:rsidP="00A67AB5">
      <w:pPr>
        <w:spacing w:after="200"/>
      </w:pPr>
    </w:p>
    <w:p w:rsidR="0044739D" w:rsidRDefault="0044739D" w:rsidP="00A67AB5">
      <w:pPr>
        <w:spacing w:after="200"/>
      </w:pPr>
    </w:p>
    <w:p w:rsidR="0044739D" w:rsidRDefault="0044739D" w:rsidP="00A67AB5">
      <w:pPr>
        <w:spacing w:after="200"/>
      </w:pPr>
    </w:p>
    <w:p w:rsidR="00C678CD" w:rsidRDefault="00C678CD" w:rsidP="00A67AB5">
      <w:pPr>
        <w:spacing w:after="200"/>
      </w:pPr>
    </w:p>
    <w:p w:rsidR="00C678CD" w:rsidRDefault="00C678CD" w:rsidP="00A67AB5">
      <w:pPr>
        <w:spacing w:after="200"/>
      </w:pPr>
    </w:p>
    <w:p w:rsidR="00C678CD" w:rsidRDefault="00C678CD" w:rsidP="00A67AB5">
      <w:pPr>
        <w:spacing w:after="200"/>
      </w:pPr>
    </w:p>
    <w:p w:rsidR="00C678CD" w:rsidRDefault="00C678CD" w:rsidP="00A67AB5">
      <w:pPr>
        <w:spacing w:after="200"/>
      </w:pPr>
    </w:p>
    <w:p w:rsidR="00C678CD" w:rsidRDefault="00C678CD" w:rsidP="00A67AB5">
      <w:pPr>
        <w:spacing w:after="200"/>
      </w:pPr>
    </w:p>
    <w:p w:rsidR="00C678CD" w:rsidRDefault="00C678CD" w:rsidP="00A67AB5">
      <w:pPr>
        <w:spacing w:after="200"/>
      </w:pPr>
    </w:p>
    <w:p w:rsidR="00C678CD" w:rsidRDefault="00C678CD" w:rsidP="00A67AB5">
      <w:pPr>
        <w:spacing w:after="200"/>
      </w:pPr>
    </w:p>
    <w:p w:rsidR="00C678CD" w:rsidRDefault="00C678CD" w:rsidP="00A67AB5">
      <w:pPr>
        <w:spacing w:after="200"/>
      </w:pPr>
    </w:p>
    <w:p w:rsidR="00C678CD" w:rsidRDefault="00C678CD" w:rsidP="00A67AB5">
      <w:pPr>
        <w:spacing w:after="200"/>
      </w:pPr>
    </w:p>
    <w:p w:rsidR="00C678CD" w:rsidRDefault="00C678CD" w:rsidP="00A67AB5">
      <w:pPr>
        <w:spacing w:after="200"/>
      </w:pPr>
    </w:p>
    <w:p w:rsidR="00236D3F" w:rsidRPr="00677FB7" w:rsidRDefault="00677FB7" w:rsidP="00A67AB5">
      <w:pPr>
        <w:spacing w:after="200"/>
      </w:pPr>
      <w:r>
        <w:lastRenderedPageBreak/>
        <w:t>Table 1</w:t>
      </w:r>
      <w:r w:rsidR="00A67AB5" w:rsidRPr="00677FB7">
        <w:t xml:space="preserve">  </w:t>
      </w:r>
    </w:p>
    <w:p w:rsidR="00A67AB5" w:rsidRPr="00677FB7" w:rsidRDefault="00A67AB5" w:rsidP="00A67AB5">
      <w:pPr>
        <w:spacing w:after="200"/>
        <w:rPr>
          <w:i/>
        </w:rPr>
      </w:pPr>
      <w:r w:rsidRPr="00677FB7">
        <w:rPr>
          <w:i/>
        </w:rPr>
        <w:t>Descriptive Information on Reliability Distributions Used to Correct Correlations</w:t>
      </w:r>
    </w:p>
    <w:tbl>
      <w:tblPr>
        <w:tblW w:w="6498" w:type="dxa"/>
        <w:tblLayout w:type="fixed"/>
        <w:tblLook w:val="04A0" w:firstRow="1" w:lastRow="0" w:firstColumn="1" w:lastColumn="0" w:noHBand="0" w:noVBand="1"/>
      </w:tblPr>
      <w:tblGrid>
        <w:gridCol w:w="236"/>
        <w:gridCol w:w="1681"/>
        <w:gridCol w:w="801"/>
        <w:gridCol w:w="630"/>
        <w:gridCol w:w="630"/>
        <w:gridCol w:w="1260"/>
        <w:gridCol w:w="1260"/>
      </w:tblGrid>
      <w:tr w:rsidR="00A67AB5" w:rsidRPr="00D33BA5" w:rsidTr="00CE5646">
        <w:tc>
          <w:tcPr>
            <w:tcW w:w="1917" w:type="dxa"/>
            <w:gridSpan w:val="2"/>
            <w:tcBorders>
              <w:top w:val="single" w:sz="4" w:space="0" w:color="auto"/>
              <w:bottom w:val="single" w:sz="4" w:space="0" w:color="auto"/>
            </w:tcBorders>
            <w:vAlign w:val="bottom"/>
          </w:tcPr>
          <w:p w:rsidR="00A67AB5" w:rsidRPr="00D33BA5" w:rsidRDefault="00A67AB5" w:rsidP="00CE5646">
            <w:pPr>
              <w:rPr>
                <w:b/>
                <w:sz w:val="20"/>
                <w:szCs w:val="20"/>
              </w:rPr>
            </w:pPr>
            <w:r w:rsidRPr="00D33BA5">
              <w:rPr>
                <w:b/>
                <w:sz w:val="20"/>
                <w:szCs w:val="20"/>
              </w:rPr>
              <w:t>Sustainability Variable</w:t>
            </w:r>
          </w:p>
        </w:tc>
        <w:tc>
          <w:tcPr>
            <w:tcW w:w="801" w:type="dxa"/>
            <w:tcBorders>
              <w:top w:val="single" w:sz="4" w:space="0" w:color="auto"/>
              <w:bottom w:val="single" w:sz="4" w:space="0" w:color="auto"/>
            </w:tcBorders>
            <w:vAlign w:val="bottom"/>
          </w:tcPr>
          <w:p w:rsidR="00A67AB5" w:rsidRPr="00D33BA5" w:rsidRDefault="00A67AB5" w:rsidP="00CE5646">
            <w:pPr>
              <w:jc w:val="center"/>
              <w:rPr>
                <w:b/>
                <w:sz w:val="20"/>
                <w:szCs w:val="20"/>
              </w:rPr>
            </w:pPr>
            <w:r w:rsidRPr="00D33BA5">
              <w:rPr>
                <w:b/>
                <w:sz w:val="20"/>
                <w:szCs w:val="20"/>
              </w:rPr>
              <w:t>No. of values</w:t>
            </w:r>
          </w:p>
        </w:tc>
        <w:tc>
          <w:tcPr>
            <w:tcW w:w="630" w:type="dxa"/>
            <w:tcBorders>
              <w:top w:val="single" w:sz="4" w:space="0" w:color="auto"/>
              <w:bottom w:val="single" w:sz="4" w:space="0" w:color="auto"/>
            </w:tcBorders>
            <w:vAlign w:val="bottom"/>
          </w:tcPr>
          <w:p w:rsidR="00A67AB5" w:rsidRPr="00D33BA5" w:rsidRDefault="00A67AB5" w:rsidP="00CE5646">
            <w:pPr>
              <w:jc w:val="center"/>
              <w:rPr>
                <w:b/>
                <w:i/>
                <w:sz w:val="20"/>
                <w:szCs w:val="20"/>
              </w:rPr>
            </w:pPr>
            <w:r w:rsidRPr="00D33BA5">
              <w:rPr>
                <w:b/>
                <w:i/>
                <w:sz w:val="20"/>
                <w:szCs w:val="20"/>
              </w:rPr>
              <w:t>M</w:t>
            </w:r>
          </w:p>
        </w:tc>
        <w:tc>
          <w:tcPr>
            <w:tcW w:w="630" w:type="dxa"/>
            <w:tcBorders>
              <w:top w:val="single" w:sz="4" w:space="0" w:color="auto"/>
              <w:bottom w:val="single" w:sz="4" w:space="0" w:color="auto"/>
            </w:tcBorders>
            <w:vAlign w:val="bottom"/>
          </w:tcPr>
          <w:p w:rsidR="00A67AB5" w:rsidRPr="00D33BA5" w:rsidRDefault="00A67AB5" w:rsidP="00CE5646">
            <w:pPr>
              <w:jc w:val="center"/>
              <w:rPr>
                <w:b/>
                <w:i/>
                <w:sz w:val="20"/>
                <w:szCs w:val="20"/>
                <w:vertAlign w:val="subscript"/>
              </w:rPr>
            </w:pPr>
            <w:r w:rsidRPr="00D33BA5">
              <w:rPr>
                <w:b/>
                <w:i/>
                <w:sz w:val="20"/>
                <w:szCs w:val="20"/>
              </w:rPr>
              <w:t>SD</w:t>
            </w:r>
          </w:p>
        </w:tc>
        <w:tc>
          <w:tcPr>
            <w:tcW w:w="1260" w:type="dxa"/>
            <w:tcBorders>
              <w:top w:val="single" w:sz="4" w:space="0" w:color="auto"/>
              <w:bottom w:val="single" w:sz="4" w:space="0" w:color="auto"/>
            </w:tcBorders>
            <w:vAlign w:val="bottom"/>
          </w:tcPr>
          <w:p w:rsidR="00A67AB5" w:rsidRPr="00D33BA5" w:rsidRDefault="00A67AB5" w:rsidP="00CE5646">
            <w:pPr>
              <w:jc w:val="center"/>
              <w:rPr>
                <w:b/>
                <w:sz w:val="20"/>
                <w:szCs w:val="20"/>
              </w:rPr>
            </w:pPr>
            <w:r w:rsidRPr="00D33BA5">
              <w:rPr>
                <w:b/>
                <w:sz w:val="20"/>
                <w:szCs w:val="20"/>
              </w:rPr>
              <w:t>Mean of the square roots of reliabilities</w:t>
            </w:r>
          </w:p>
        </w:tc>
        <w:tc>
          <w:tcPr>
            <w:tcW w:w="1260" w:type="dxa"/>
            <w:tcBorders>
              <w:top w:val="single" w:sz="4" w:space="0" w:color="auto"/>
              <w:bottom w:val="single" w:sz="4" w:space="0" w:color="auto"/>
            </w:tcBorders>
            <w:vAlign w:val="bottom"/>
          </w:tcPr>
          <w:p w:rsidR="00A67AB5" w:rsidRPr="00D33BA5" w:rsidRDefault="00A67AB5" w:rsidP="00CE5646">
            <w:pPr>
              <w:jc w:val="center"/>
              <w:rPr>
                <w:b/>
                <w:sz w:val="20"/>
                <w:szCs w:val="20"/>
              </w:rPr>
            </w:pPr>
            <w:r w:rsidRPr="00D33BA5">
              <w:rPr>
                <w:b/>
                <w:sz w:val="20"/>
                <w:szCs w:val="20"/>
              </w:rPr>
              <w:t>Std. dev. of the square roots of reliabilities</w:t>
            </w:r>
          </w:p>
        </w:tc>
      </w:tr>
      <w:tr w:rsidR="00A67AB5" w:rsidRPr="00D33BA5" w:rsidTr="00CE5646">
        <w:tc>
          <w:tcPr>
            <w:tcW w:w="1917" w:type="dxa"/>
            <w:gridSpan w:val="2"/>
          </w:tcPr>
          <w:p w:rsidR="00A67AB5" w:rsidRPr="00D33BA5" w:rsidRDefault="00A67AB5" w:rsidP="00CE5646">
            <w:pPr>
              <w:rPr>
                <w:i/>
                <w:sz w:val="20"/>
                <w:szCs w:val="20"/>
              </w:rPr>
            </w:pPr>
            <w:r w:rsidRPr="00D33BA5">
              <w:rPr>
                <w:i/>
                <w:sz w:val="20"/>
                <w:szCs w:val="20"/>
              </w:rPr>
              <w:t>Attitudes</w:t>
            </w:r>
          </w:p>
        </w:tc>
        <w:tc>
          <w:tcPr>
            <w:tcW w:w="801" w:type="dxa"/>
            <w:vAlign w:val="bottom"/>
          </w:tcPr>
          <w:p w:rsidR="00A67AB5" w:rsidRPr="00D33BA5" w:rsidRDefault="00A67AB5" w:rsidP="00CE5646">
            <w:pPr>
              <w:jc w:val="center"/>
              <w:rPr>
                <w:sz w:val="20"/>
                <w:szCs w:val="20"/>
              </w:rPr>
            </w:pPr>
          </w:p>
        </w:tc>
        <w:tc>
          <w:tcPr>
            <w:tcW w:w="630" w:type="dxa"/>
            <w:vAlign w:val="bottom"/>
          </w:tcPr>
          <w:p w:rsidR="00A67AB5" w:rsidRPr="00D33BA5" w:rsidRDefault="00A67AB5" w:rsidP="00CE5646">
            <w:pPr>
              <w:tabs>
                <w:tab w:val="decimal" w:pos="129"/>
              </w:tabs>
              <w:jc w:val="center"/>
              <w:rPr>
                <w:sz w:val="20"/>
                <w:szCs w:val="20"/>
              </w:rPr>
            </w:pPr>
          </w:p>
        </w:tc>
        <w:tc>
          <w:tcPr>
            <w:tcW w:w="630" w:type="dxa"/>
            <w:vAlign w:val="bottom"/>
          </w:tcPr>
          <w:p w:rsidR="00A67AB5" w:rsidRPr="00D33BA5" w:rsidRDefault="00A67AB5" w:rsidP="00CE5646">
            <w:pPr>
              <w:tabs>
                <w:tab w:val="decimal" w:pos="185"/>
              </w:tabs>
              <w:jc w:val="center"/>
              <w:rPr>
                <w:sz w:val="20"/>
                <w:szCs w:val="20"/>
              </w:rPr>
            </w:pPr>
          </w:p>
        </w:tc>
        <w:tc>
          <w:tcPr>
            <w:tcW w:w="1260" w:type="dxa"/>
            <w:vAlign w:val="bottom"/>
          </w:tcPr>
          <w:p w:rsidR="00A67AB5" w:rsidRPr="00D33BA5" w:rsidRDefault="00A67AB5" w:rsidP="00CE5646">
            <w:pPr>
              <w:tabs>
                <w:tab w:val="decimal" w:pos="171"/>
              </w:tabs>
              <w:jc w:val="center"/>
              <w:rPr>
                <w:sz w:val="20"/>
                <w:szCs w:val="20"/>
              </w:rPr>
            </w:pPr>
          </w:p>
        </w:tc>
        <w:tc>
          <w:tcPr>
            <w:tcW w:w="1260" w:type="dxa"/>
            <w:vAlign w:val="bottom"/>
          </w:tcPr>
          <w:p w:rsidR="00A67AB5" w:rsidRPr="00D33BA5" w:rsidRDefault="00A67AB5" w:rsidP="00CE5646">
            <w:pPr>
              <w:tabs>
                <w:tab w:val="decimal" w:pos="189"/>
              </w:tabs>
              <w:jc w:val="center"/>
              <w:rPr>
                <w:sz w:val="20"/>
                <w:szCs w:val="20"/>
              </w:rPr>
            </w:pPr>
          </w:p>
        </w:tc>
      </w:tr>
      <w:tr w:rsidR="00A67AB5" w:rsidRPr="00D33BA5" w:rsidTr="00CE5646">
        <w:tc>
          <w:tcPr>
            <w:tcW w:w="236" w:type="dxa"/>
          </w:tcPr>
          <w:p w:rsidR="00A67AB5" w:rsidRPr="00D33BA5" w:rsidRDefault="00A67AB5" w:rsidP="00CE5646">
            <w:pPr>
              <w:rPr>
                <w:sz w:val="20"/>
                <w:szCs w:val="20"/>
              </w:rPr>
            </w:pPr>
          </w:p>
        </w:tc>
        <w:tc>
          <w:tcPr>
            <w:tcW w:w="1681" w:type="dxa"/>
          </w:tcPr>
          <w:p w:rsidR="00A67AB5" w:rsidRPr="00D33BA5" w:rsidRDefault="00A67AB5" w:rsidP="00CE5646">
            <w:pPr>
              <w:rPr>
                <w:sz w:val="20"/>
                <w:szCs w:val="20"/>
              </w:rPr>
            </w:pPr>
            <w:r w:rsidRPr="00D33BA5">
              <w:rPr>
                <w:sz w:val="20"/>
                <w:szCs w:val="20"/>
              </w:rPr>
              <w:t>Commitment</w:t>
            </w:r>
          </w:p>
        </w:tc>
        <w:tc>
          <w:tcPr>
            <w:tcW w:w="801" w:type="dxa"/>
            <w:vAlign w:val="bottom"/>
          </w:tcPr>
          <w:p w:rsidR="00A67AB5" w:rsidRPr="00D33BA5" w:rsidRDefault="00A67AB5" w:rsidP="00CE5646">
            <w:pPr>
              <w:jc w:val="center"/>
              <w:rPr>
                <w:sz w:val="20"/>
                <w:szCs w:val="20"/>
              </w:rPr>
            </w:pPr>
            <w:r>
              <w:rPr>
                <w:sz w:val="20"/>
                <w:szCs w:val="20"/>
              </w:rPr>
              <w:t>4</w:t>
            </w:r>
          </w:p>
        </w:tc>
        <w:tc>
          <w:tcPr>
            <w:tcW w:w="630" w:type="dxa"/>
            <w:vAlign w:val="bottom"/>
          </w:tcPr>
          <w:p w:rsidR="00A67AB5" w:rsidRPr="00D33BA5" w:rsidRDefault="00A67AB5" w:rsidP="00CE5646">
            <w:pPr>
              <w:tabs>
                <w:tab w:val="decimal" w:pos="129"/>
              </w:tabs>
              <w:jc w:val="center"/>
              <w:rPr>
                <w:color w:val="000000"/>
                <w:sz w:val="20"/>
                <w:szCs w:val="20"/>
              </w:rPr>
            </w:pPr>
            <w:r w:rsidRPr="00D33BA5">
              <w:rPr>
                <w:color w:val="000000"/>
                <w:sz w:val="20"/>
                <w:szCs w:val="20"/>
              </w:rPr>
              <w:t>.</w:t>
            </w:r>
            <w:r>
              <w:rPr>
                <w:color w:val="000000"/>
                <w:sz w:val="20"/>
                <w:szCs w:val="20"/>
              </w:rPr>
              <w:t>65</w:t>
            </w:r>
          </w:p>
        </w:tc>
        <w:tc>
          <w:tcPr>
            <w:tcW w:w="630" w:type="dxa"/>
            <w:vAlign w:val="bottom"/>
          </w:tcPr>
          <w:p w:rsidR="00A67AB5" w:rsidRPr="00D33BA5" w:rsidRDefault="00A67AB5" w:rsidP="00CE5646">
            <w:pPr>
              <w:tabs>
                <w:tab w:val="decimal" w:pos="185"/>
              </w:tabs>
              <w:jc w:val="center"/>
              <w:rPr>
                <w:color w:val="000000"/>
                <w:sz w:val="20"/>
                <w:szCs w:val="20"/>
              </w:rPr>
            </w:pPr>
            <w:r w:rsidRPr="00D33BA5">
              <w:rPr>
                <w:color w:val="000000"/>
                <w:sz w:val="20"/>
                <w:szCs w:val="20"/>
              </w:rPr>
              <w:t>.</w:t>
            </w:r>
            <w:r>
              <w:rPr>
                <w:color w:val="000000"/>
                <w:sz w:val="20"/>
                <w:szCs w:val="20"/>
              </w:rPr>
              <w:t>28</w:t>
            </w:r>
          </w:p>
        </w:tc>
        <w:tc>
          <w:tcPr>
            <w:tcW w:w="1260" w:type="dxa"/>
            <w:vAlign w:val="bottom"/>
          </w:tcPr>
          <w:p w:rsidR="00A67AB5" w:rsidRPr="00D33BA5" w:rsidRDefault="00A67AB5" w:rsidP="00CE5646">
            <w:pPr>
              <w:tabs>
                <w:tab w:val="decimal" w:pos="171"/>
              </w:tabs>
              <w:jc w:val="center"/>
              <w:rPr>
                <w:color w:val="000000"/>
                <w:sz w:val="20"/>
                <w:szCs w:val="20"/>
              </w:rPr>
            </w:pPr>
            <w:r w:rsidRPr="00D33BA5">
              <w:rPr>
                <w:color w:val="000000"/>
                <w:sz w:val="20"/>
                <w:szCs w:val="20"/>
              </w:rPr>
              <w:t>.</w:t>
            </w:r>
            <w:r>
              <w:rPr>
                <w:color w:val="000000"/>
                <w:sz w:val="20"/>
                <w:szCs w:val="20"/>
              </w:rPr>
              <w:t>79</w:t>
            </w:r>
          </w:p>
        </w:tc>
        <w:tc>
          <w:tcPr>
            <w:tcW w:w="1260" w:type="dxa"/>
            <w:vAlign w:val="bottom"/>
          </w:tcPr>
          <w:p w:rsidR="00A67AB5" w:rsidRPr="00D33BA5" w:rsidRDefault="00A67AB5" w:rsidP="00CE5646">
            <w:pPr>
              <w:tabs>
                <w:tab w:val="decimal" w:pos="189"/>
              </w:tabs>
              <w:jc w:val="center"/>
              <w:rPr>
                <w:color w:val="000000"/>
                <w:sz w:val="20"/>
                <w:szCs w:val="20"/>
              </w:rPr>
            </w:pPr>
            <w:r w:rsidRPr="00D33BA5">
              <w:rPr>
                <w:color w:val="000000"/>
                <w:sz w:val="20"/>
                <w:szCs w:val="20"/>
              </w:rPr>
              <w:t>.</w:t>
            </w:r>
            <w:r>
              <w:rPr>
                <w:color w:val="000000"/>
                <w:sz w:val="20"/>
                <w:szCs w:val="20"/>
              </w:rPr>
              <w:t>14</w:t>
            </w:r>
          </w:p>
        </w:tc>
      </w:tr>
      <w:tr w:rsidR="00A67AB5" w:rsidRPr="00D33BA5" w:rsidTr="00CE5646">
        <w:tc>
          <w:tcPr>
            <w:tcW w:w="236" w:type="dxa"/>
          </w:tcPr>
          <w:p w:rsidR="00A67AB5" w:rsidRPr="00D33BA5" w:rsidRDefault="00A67AB5" w:rsidP="00CE5646">
            <w:pPr>
              <w:rPr>
                <w:sz w:val="20"/>
                <w:szCs w:val="20"/>
              </w:rPr>
            </w:pPr>
          </w:p>
        </w:tc>
        <w:tc>
          <w:tcPr>
            <w:tcW w:w="1681" w:type="dxa"/>
          </w:tcPr>
          <w:p w:rsidR="00A67AB5" w:rsidRPr="00D33BA5" w:rsidRDefault="00A67AB5" w:rsidP="00CE5646">
            <w:pPr>
              <w:rPr>
                <w:sz w:val="20"/>
                <w:szCs w:val="20"/>
              </w:rPr>
            </w:pPr>
            <w:r w:rsidRPr="00D33BA5">
              <w:rPr>
                <w:sz w:val="20"/>
                <w:szCs w:val="20"/>
              </w:rPr>
              <w:t>Specific Issues/Behaviors</w:t>
            </w:r>
          </w:p>
        </w:tc>
        <w:tc>
          <w:tcPr>
            <w:tcW w:w="801" w:type="dxa"/>
            <w:vAlign w:val="bottom"/>
          </w:tcPr>
          <w:p w:rsidR="00A67AB5" w:rsidRPr="00D33BA5" w:rsidRDefault="00A67AB5" w:rsidP="00CE5646">
            <w:pPr>
              <w:jc w:val="center"/>
              <w:rPr>
                <w:color w:val="000000"/>
                <w:sz w:val="20"/>
                <w:szCs w:val="20"/>
              </w:rPr>
            </w:pPr>
            <w:r>
              <w:rPr>
                <w:color w:val="000000"/>
                <w:sz w:val="20"/>
                <w:szCs w:val="20"/>
              </w:rPr>
              <w:t>19</w:t>
            </w:r>
          </w:p>
        </w:tc>
        <w:tc>
          <w:tcPr>
            <w:tcW w:w="630" w:type="dxa"/>
            <w:vAlign w:val="bottom"/>
          </w:tcPr>
          <w:p w:rsidR="00A67AB5" w:rsidRPr="00D33BA5" w:rsidRDefault="00A67AB5" w:rsidP="00CE5646">
            <w:pPr>
              <w:tabs>
                <w:tab w:val="decimal" w:pos="129"/>
              </w:tabs>
              <w:jc w:val="center"/>
              <w:rPr>
                <w:color w:val="000000"/>
                <w:sz w:val="20"/>
                <w:szCs w:val="20"/>
              </w:rPr>
            </w:pPr>
            <w:r w:rsidRPr="00D33BA5">
              <w:rPr>
                <w:color w:val="000000"/>
                <w:sz w:val="20"/>
                <w:szCs w:val="20"/>
              </w:rPr>
              <w:t>.</w:t>
            </w:r>
            <w:r>
              <w:rPr>
                <w:color w:val="000000"/>
                <w:sz w:val="20"/>
                <w:szCs w:val="20"/>
              </w:rPr>
              <w:t>77</w:t>
            </w:r>
          </w:p>
        </w:tc>
        <w:tc>
          <w:tcPr>
            <w:tcW w:w="630" w:type="dxa"/>
            <w:vAlign w:val="bottom"/>
          </w:tcPr>
          <w:p w:rsidR="00A67AB5" w:rsidRPr="00D33BA5" w:rsidRDefault="00A67AB5" w:rsidP="00CE5646">
            <w:pPr>
              <w:tabs>
                <w:tab w:val="decimal" w:pos="185"/>
              </w:tabs>
              <w:jc w:val="center"/>
              <w:rPr>
                <w:color w:val="000000"/>
                <w:sz w:val="20"/>
                <w:szCs w:val="20"/>
              </w:rPr>
            </w:pPr>
            <w:r w:rsidRPr="00D33BA5">
              <w:rPr>
                <w:color w:val="000000"/>
                <w:sz w:val="20"/>
                <w:szCs w:val="20"/>
              </w:rPr>
              <w:t>.1</w:t>
            </w:r>
            <w:r>
              <w:rPr>
                <w:color w:val="000000"/>
                <w:sz w:val="20"/>
                <w:szCs w:val="20"/>
              </w:rPr>
              <w:t>0</w:t>
            </w:r>
          </w:p>
        </w:tc>
        <w:tc>
          <w:tcPr>
            <w:tcW w:w="1260" w:type="dxa"/>
            <w:vAlign w:val="bottom"/>
          </w:tcPr>
          <w:p w:rsidR="00A67AB5" w:rsidRPr="00D33BA5" w:rsidRDefault="00A67AB5" w:rsidP="00CE5646">
            <w:pPr>
              <w:tabs>
                <w:tab w:val="decimal" w:pos="171"/>
              </w:tabs>
              <w:jc w:val="center"/>
              <w:rPr>
                <w:color w:val="000000"/>
                <w:sz w:val="20"/>
                <w:szCs w:val="20"/>
              </w:rPr>
            </w:pPr>
            <w:r w:rsidRPr="00D33BA5">
              <w:rPr>
                <w:color w:val="000000"/>
                <w:sz w:val="20"/>
                <w:szCs w:val="20"/>
              </w:rPr>
              <w:t>.</w:t>
            </w:r>
            <w:r>
              <w:rPr>
                <w:color w:val="000000"/>
                <w:sz w:val="20"/>
                <w:szCs w:val="20"/>
              </w:rPr>
              <w:t>88</w:t>
            </w:r>
          </w:p>
        </w:tc>
        <w:tc>
          <w:tcPr>
            <w:tcW w:w="1260" w:type="dxa"/>
            <w:vAlign w:val="bottom"/>
          </w:tcPr>
          <w:p w:rsidR="00A67AB5" w:rsidRPr="00D33BA5" w:rsidRDefault="00A67AB5" w:rsidP="00CE5646">
            <w:pPr>
              <w:tabs>
                <w:tab w:val="decimal" w:pos="189"/>
              </w:tabs>
              <w:jc w:val="center"/>
              <w:rPr>
                <w:color w:val="000000"/>
                <w:sz w:val="20"/>
                <w:szCs w:val="20"/>
              </w:rPr>
            </w:pPr>
            <w:r w:rsidRPr="00D33BA5">
              <w:rPr>
                <w:color w:val="000000"/>
                <w:sz w:val="20"/>
                <w:szCs w:val="20"/>
              </w:rPr>
              <w:t>.0</w:t>
            </w:r>
            <w:r>
              <w:rPr>
                <w:color w:val="000000"/>
                <w:sz w:val="20"/>
                <w:szCs w:val="20"/>
              </w:rPr>
              <w:t>6</w:t>
            </w:r>
          </w:p>
        </w:tc>
      </w:tr>
      <w:tr w:rsidR="00A67AB5" w:rsidRPr="00D33BA5" w:rsidTr="00CE5646">
        <w:tc>
          <w:tcPr>
            <w:tcW w:w="1917" w:type="dxa"/>
            <w:gridSpan w:val="2"/>
          </w:tcPr>
          <w:p w:rsidR="00A67AB5" w:rsidRPr="00D33BA5" w:rsidRDefault="00A67AB5" w:rsidP="00CE5646">
            <w:pPr>
              <w:rPr>
                <w:i/>
                <w:sz w:val="20"/>
                <w:szCs w:val="20"/>
              </w:rPr>
            </w:pPr>
            <w:r w:rsidRPr="00D33BA5">
              <w:rPr>
                <w:i/>
                <w:sz w:val="20"/>
                <w:szCs w:val="20"/>
              </w:rPr>
              <w:t>Values</w:t>
            </w:r>
          </w:p>
        </w:tc>
        <w:tc>
          <w:tcPr>
            <w:tcW w:w="801" w:type="dxa"/>
            <w:vAlign w:val="bottom"/>
          </w:tcPr>
          <w:p w:rsidR="00A67AB5" w:rsidRPr="00D33BA5" w:rsidRDefault="00A67AB5" w:rsidP="00CE5646">
            <w:pPr>
              <w:jc w:val="center"/>
              <w:rPr>
                <w:color w:val="000000"/>
                <w:sz w:val="20"/>
                <w:szCs w:val="20"/>
              </w:rPr>
            </w:pPr>
            <w:r>
              <w:rPr>
                <w:color w:val="000000"/>
                <w:sz w:val="20"/>
                <w:szCs w:val="20"/>
              </w:rPr>
              <w:t>12</w:t>
            </w:r>
          </w:p>
        </w:tc>
        <w:tc>
          <w:tcPr>
            <w:tcW w:w="630" w:type="dxa"/>
            <w:vAlign w:val="bottom"/>
          </w:tcPr>
          <w:p w:rsidR="00A67AB5" w:rsidRPr="00D33BA5" w:rsidRDefault="00A67AB5" w:rsidP="00CE5646">
            <w:pPr>
              <w:tabs>
                <w:tab w:val="decimal" w:pos="129"/>
              </w:tabs>
              <w:jc w:val="center"/>
              <w:rPr>
                <w:color w:val="000000"/>
                <w:sz w:val="20"/>
                <w:szCs w:val="20"/>
              </w:rPr>
            </w:pPr>
            <w:r w:rsidRPr="00D33BA5">
              <w:rPr>
                <w:color w:val="000000"/>
                <w:sz w:val="20"/>
                <w:szCs w:val="20"/>
              </w:rPr>
              <w:t>.8</w:t>
            </w:r>
            <w:r>
              <w:rPr>
                <w:color w:val="000000"/>
                <w:sz w:val="20"/>
                <w:szCs w:val="20"/>
              </w:rPr>
              <w:t>6</w:t>
            </w:r>
          </w:p>
        </w:tc>
        <w:tc>
          <w:tcPr>
            <w:tcW w:w="630" w:type="dxa"/>
            <w:vAlign w:val="bottom"/>
          </w:tcPr>
          <w:p w:rsidR="00A67AB5" w:rsidRPr="00D33BA5" w:rsidRDefault="00A67AB5" w:rsidP="00CE5646">
            <w:pPr>
              <w:tabs>
                <w:tab w:val="decimal" w:pos="185"/>
              </w:tabs>
              <w:jc w:val="center"/>
              <w:rPr>
                <w:color w:val="000000"/>
                <w:sz w:val="20"/>
                <w:szCs w:val="20"/>
              </w:rPr>
            </w:pPr>
            <w:r w:rsidRPr="00D33BA5">
              <w:rPr>
                <w:color w:val="000000"/>
                <w:sz w:val="20"/>
                <w:szCs w:val="20"/>
              </w:rPr>
              <w:t>.05</w:t>
            </w:r>
          </w:p>
        </w:tc>
        <w:tc>
          <w:tcPr>
            <w:tcW w:w="1260" w:type="dxa"/>
            <w:vAlign w:val="bottom"/>
          </w:tcPr>
          <w:p w:rsidR="00A67AB5" w:rsidRPr="00D33BA5" w:rsidRDefault="00A67AB5" w:rsidP="00CE5646">
            <w:pPr>
              <w:tabs>
                <w:tab w:val="decimal" w:pos="171"/>
              </w:tabs>
              <w:jc w:val="center"/>
              <w:rPr>
                <w:color w:val="000000"/>
                <w:sz w:val="20"/>
                <w:szCs w:val="20"/>
              </w:rPr>
            </w:pPr>
            <w:r w:rsidRPr="00D33BA5">
              <w:rPr>
                <w:color w:val="000000"/>
                <w:sz w:val="20"/>
                <w:szCs w:val="20"/>
              </w:rPr>
              <w:t>.9</w:t>
            </w:r>
            <w:r>
              <w:rPr>
                <w:color w:val="000000"/>
                <w:sz w:val="20"/>
                <w:szCs w:val="20"/>
              </w:rPr>
              <w:t>3</w:t>
            </w:r>
          </w:p>
        </w:tc>
        <w:tc>
          <w:tcPr>
            <w:tcW w:w="1260" w:type="dxa"/>
            <w:vAlign w:val="bottom"/>
          </w:tcPr>
          <w:p w:rsidR="00A67AB5" w:rsidRPr="00D33BA5" w:rsidRDefault="00A67AB5" w:rsidP="00CE5646">
            <w:pPr>
              <w:tabs>
                <w:tab w:val="decimal" w:pos="189"/>
              </w:tabs>
              <w:jc w:val="center"/>
              <w:rPr>
                <w:color w:val="000000"/>
                <w:sz w:val="20"/>
                <w:szCs w:val="20"/>
              </w:rPr>
            </w:pPr>
            <w:r w:rsidRPr="00D33BA5">
              <w:rPr>
                <w:color w:val="000000"/>
                <w:sz w:val="20"/>
                <w:szCs w:val="20"/>
              </w:rPr>
              <w:t>.0</w:t>
            </w:r>
            <w:r>
              <w:rPr>
                <w:color w:val="000000"/>
                <w:sz w:val="20"/>
                <w:szCs w:val="20"/>
              </w:rPr>
              <w:t>3</w:t>
            </w:r>
          </w:p>
        </w:tc>
      </w:tr>
      <w:tr w:rsidR="0016150E" w:rsidRPr="00D33BA5" w:rsidTr="00CE5646">
        <w:tc>
          <w:tcPr>
            <w:tcW w:w="1917" w:type="dxa"/>
            <w:gridSpan w:val="2"/>
          </w:tcPr>
          <w:p w:rsidR="0016150E" w:rsidRPr="00D33BA5" w:rsidRDefault="0016150E" w:rsidP="000E1AE8">
            <w:pPr>
              <w:rPr>
                <w:i/>
                <w:sz w:val="20"/>
                <w:szCs w:val="20"/>
              </w:rPr>
            </w:pPr>
            <w:r>
              <w:rPr>
                <w:i/>
                <w:sz w:val="20"/>
                <w:szCs w:val="20"/>
              </w:rPr>
              <w:t>Behavior</w:t>
            </w:r>
          </w:p>
        </w:tc>
        <w:tc>
          <w:tcPr>
            <w:tcW w:w="801" w:type="dxa"/>
            <w:vAlign w:val="bottom"/>
          </w:tcPr>
          <w:p w:rsidR="0016150E" w:rsidRPr="00D33BA5" w:rsidRDefault="0016150E" w:rsidP="000E1AE8">
            <w:pPr>
              <w:jc w:val="center"/>
              <w:rPr>
                <w:sz w:val="20"/>
                <w:szCs w:val="20"/>
              </w:rPr>
            </w:pPr>
          </w:p>
        </w:tc>
        <w:tc>
          <w:tcPr>
            <w:tcW w:w="630" w:type="dxa"/>
            <w:vAlign w:val="bottom"/>
          </w:tcPr>
          <w:p w:rsidR="0016150E" w:rsidRPr="00D33BA5" w:rsidRDefault="0016150E" w:rsidP="000E1AE8">
            <w:pPr>
              <w:tabs>
                <w:tab w:val="decimal" w:pos="129"/>
              </w:tabs>
              <w:jc w:val="center"/>
              <w:rPr>
                <w:sz w:val="20"/>
                <w:szCs w:val="20"/>
              </w:rPr>
            </w:pPr>
          </w:p>
        </w:tc>
        <w:tc>
          <w:tcPr>
            <w:tcW w:w="630" w:type="dxa"/>
            <w:vAlign w:val="bottom"/>
          </w:tcPr>
          <w:p w:rsidR="0016150E" w:rsidRPr="00D33BA5" w:rsidRDefault="0016150E" w:rsidP="000E1AE8">
            <w:pPr>
              <w:tabs>
                <w:tab w:val="decimal" w:pos="185"/>
              </w:tabs>
              <w:jc w:val="center"/>
              <w:rPr>
                <w:sz w:val="20"/>
                <w:szCs w:val="20"/>
              </w:rPr>
            </w:pPr>
          </w:p>
        </w:tc>
        <w:tc>
          <w:tcPr>
            <w:tcW w:w="1260" w:type="dxa"/>
            <w:vAlign w:val="bottom"/>
          </w:tcPr>
          <w:p w:rsidR="0016150E" w:rsidRPr="00D33BA5" w:rsidRDefault="0016150E" w:rsidP="000E1AE8">
            <w:pPr>
              <w:tabs>
                <w:tab w:val="decimal" w:pos="171"/>
              </w:tabs>
              <w:jc w:val="center"/>
              <w:rPr>
                <w:sz w:val="20"/>
                <w:szCs w:val="20"/>
              </w:rPr>
            </w:pPr>
          </w:p>
        </w:tc>
        <w:tc>
          <w:tcPr>
            <w:tcW w:w="1260" w:type="dxa"/>
            <w:vAlign w:val="bottom"/>
          </w:tcPr>
          <w:p w:rsidR="0016150E" w:rsidRPr="00D33BA5" w:rsidRDefault="0016150E" w:rsidP="000E1AE8">
            <w:pPr>
              <w:tabs>
                <w:tab w:val="decimal" w:pos="189"/>
              </w:tabs>
              <w:jc w:val="center"/>
              <w:rPr>
                <w:sz w:val="20"/>
                <w:szCs w:val="20"/>
              </w:rPr>
            </w:pPr>
          </w:p>
        </w:tc>
      </w:tr>
      <w:tr w:rsidR="0016150E" w:rsidRPr="00D33BA5" w:rsidTr="000E1AE8">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Pr>
                <w:sz w:val="20"/>
                <w:szCs w:val="20"/>
              </w:rPr>
              <w:t>General</w:t>
            </w:r>
          </w:p>
        </w:tc>
        <w:tc>
          <w:tcPr>
            <w:tcW w:w="801" w:type="dxa"/>
            <w:vAlign w:val="bottom"/>
          </w:tcPr>
          <w:p w:rsidR="0016150E" w:rsidRPr="00D33BA5" w:rsidRDefault="0016150E" w:rsidP="000E1AE8">
            <w:pPr>
              <w:jc w:val="center"/>
              <w:rPr>
                <w:color w:val="000000"/>
                <w:sz w:val="20"/>
                <w:szCs w:val="20"/>
              </w:rPr>
            </w:pPr>
            <w:r>
              <w:rPr>
                <w:color w:val="000000"/>
                <w:sz w:val="20"/>
                <w:szCs w:val="20"/>
              </w:rPr>
              <w:t>13</w:t>
            </w:r>
          </w:p>
        </w:tc>
        <w:tc>
          <w:tcPr>
            <w:tcW w:w="630" w:type="dxa"/>
            <w:vAlign w:val="bottom"/>
          </w:tcPr>
          <w:p w:rsidR="0016150E" w:rsidRPr="00D33BA5" w:rsidRDefault="0016150E" w:rsidP="000E1AE8">
            <w:pPr>
              <w:tabs>
                <w:tab w:val="decimal" w:pos="129"/>
              </w:tabs>
              <w:jc w:val="center"/>
              <w:rPr>
                <w:color w:val="000000"/>
                <w:sz w:val="20"/>
                <w:szCs w:val="20"/>
              </w:rPr>
            </w:pPr>
            <w:r w:rsidRPr="00D33BA5">
              <w:rPr>
                <w:color w:val="000000"/>
                <w:sz w:val="20"/>
                <w:szCs w:val="20"/>
              </w:rPr>
              <w:t>.</w:t>
            </w:r>
            <w:r>
              <w:rPr>
                <w:color w:val="000000"/>
                <w:sz w:val="20"/>
                <w:szCs w:val="20"/>
              </w:rPr>
              <w:t>71</w:t>
            </w:r>
          </w:p>
        </w:tc>
        <w:tc>
          <w:tcPr>
            <w:tcW w:w="630"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r>
              <w:rPr>
                <w:color w:val="000000"/>
                <w:sz w:val="20"/>
                <w:szCs w:val="20"/>
              </w:rPr>
              <w:t>11</w:t>
            </w:r>
          </w:p>
        </w:tc>
        <w:tc>
          <w:tcPr>
            <w:tcW w:w="1260" w:type="dxa"/>
            <w:vAlign w:val="bottom"/>
          </w:tcPr>
          <w:p w:rsidR="0016150E" w:rsidRPr="00D33BA5" w:rsidRDefault="0016150E" w:rsidP="000E1AE8">
            <w:pPr>
              <w:tabs>
                <w:tab w:val="decimal" w:pos="171"/>
              </w:tabs>
              <w:jc w:val="center"/>
              <w:rPr>
                <w:color w:val="000000"/>
                <w:sz w:val="20"/>
                <w:szCs w:val="20"/>
              </w:rPr>
            </w:pPr>
            <w:r w:rsidRPr="00D33BA5">
              <w:rPr>
                <w:color w:val="000000"/>
                <w:sz w:val="20"/>
                <w:szCs w:val="20"/>
              </w:rPr>
              <w:t>.</w:t>
            </w:r>
            <w:r>
              <w:rPr>
                <w:color w:val="000000"/>
                <w:sz w:val="20"/>
                <w:szCs w:val="20"/>
              </w:rPr>
              <w:t>84</w:t>
            </w:r>
          </w:p>
        </w:tc>
        <w:tc>
          <w:tcPr>
            <w:tcW w:w="1260" w:type="dxa"/>
            <w:vAlign w:val="bottom"/>
          </w:tcPr>
          <w:p w:rsidR="0016150E" w:rsidRPr="00D33BA5" w:rsidRDefault="0016150E" w:rsidP="000E1AE8">
            <w:pPr>
              <w:tabs>
                <w:tab w:val="decimal" w:pos="189"/>
              </w:tabs>
              <w:jc w:val="center"/>
              <w:rPr>
                <w:color w:val="000000"/>
                <w:sz w:val="20"/>
                <w:szCs w:val="20"/>
              </w:rPr>
            </w:pPr>
            <w:r w:rsidRPr="00D33BA5">
              <w:rPr>
                <w:color w:val="000000"/>
                <w:sz w:val="20"/>
                <w:szCs w:val="20"/>
              </w:rPr>
              <w:t>.0</w:t>
            </w:r>
            <w:r>
              <w:rPr>
                <w:color w:val="000000"/>
                <w:sz w:val="20"/>
                <w:szCs w:val="20"/>
              </w:rPr>
              <w:t>6</w:t>
            </w:r>
          </w:p>
        </w:tc>
      </w:tr>
      <w:tr w:rsidR="0016150E" w:rsidRPr="00D33BA5" w:rsidTr="000E1AE8">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Pr>
                <w:sz w:val="20"/>
                <w:szCs w:val="20"/>
              </w:rPr>
              <w:t>Avoiding harm</w:t>
            </w:r>
          </w:p>
        </w:tc>
        <w:tc>
          <w:tcPr>
            <w:tcW w:w="801" w:type="dxa"/>
            <w:vAlign w:val="bottom"/>
          </w:tcPr>
          <w:p w:rsidR="0016150E" w:rsidRPr="00D33BA5" w:rsidRDefault="0016150E" w:rsidP="000E1AE8">
            <w:pPr>
              <w:jc w:val="center"/>
              <w:rPr>
                <w:color w:val="000000"/>
                <w:sz w:val="20"/>
                <w:szCs w:val="20"/>
              </w:rPr>
            </w:pPr>
            <w:r>
              <w:rPr>
                <w:color w:val="000000"/>
                <w:sz w:val="20"/>
                <w:szCs w:val="20"/>
              </w:rPr>
              <w:t>1</w:t>
            </w:r>
          </w:p>
        </w:tc>
        <w:tc>
          <w:tcPr>
            <w:tcW w:w="630" w:type="dxa"/>
            <w:vAlign w:val="bottom"/>
          </w:tcPr>
          <w:p w:rsidR="0016150E" w:rsidRPr="00D33BA5" w:rsidRDefault="0016150E" w:rsidP="000E1AE8">
            <w:pPr>
              <w:tabs>
                <w:tab w:val="decimal" w:pos="129"/>
              </w:tabs>
              <w:jc w:val="center"/>
              <w:rPr>
                <w:color w:val="000000"/>
                <w:sz w:val="20"/>
                <w:szCs w:val="20"/>
              </w:rPr>
            </w:pPr>
            <w:r>
              <w:rPr>
                <w:color w:val="000000"/>
                <w:sz w:val="20"/>
                <w:szCs w:val="20"/>
              </w:rPr>
              <w:t>.84</w:t>
            </w:r>
          </w:p>
        </w:tc>
        <w:tc>
          <w:tcPr>
            <w:tcW w:w="630" w:type="dxa"/>
            <w:vAlign w:val="bottom"/>
          </w:tcPr>
          <w:p w:rsidR="0016150E" w:rsidRPr="00D33BA5" w:rsidRDefault="0016150E" w:rsidP="000E1AE8">
            <w:pPr>
              <w:tabs>
                <w:tab w:val="decimal" w:pos="185"/>
              </w:tabs>
              <w:jc w:val="center"/>
              <w:rPr>
                <w:color w:val="000000"/>
                <w:sz w:val="20"/>
                <w:szCs w:val="20"/>
              </w:rPr>
            </w:pPr>
            <w:r>
              <w:rPr>
                <w:color w:val="000000"/>
                <w:sz w:val="20"/>
                <w:szCs w:val="20"/>
              </w:rPr>
              <w:t>.16</w:t>
            </w:r>
          </w:p>
        </w:tc>
        <w:tc>
          <w:tcPr>
            <w:tcW w:w="1260" w:type="dxa"/>
            <w:vAlign w:val="bottom"/>
          </w:tcPr>
          <w:p w:rsidR="0016150E" w:rsidRPr="00D33BA5" w:rsidRDefault="0016150E" w:rsidP="000E1AE8">
            <w:pPr>
              <w:tabs>
                <w:tab w:val="decimal" w:pos="171"/>
              </w:tabs>
              <w:jc w:val="center"/>
              <w:rPr>
                <w:color w:val="000000"/>
                <w:sz w:val="20"/>
                <w:szCs w:val="20"/>
              </w:rPr>
            </w:pPr>
            <w:r>
              <w:rPr>
                <w:color w:val="000000"/>
                <w:sz w:val="20"/>
                <w:szCs w:val="20"/>
              </w:rPr>
              <w:t>.91</w:t>
            </w:r>
          </w:p>
        </w:tc>
        <w:tc>
          <w:tcPr>
            <w:tcW w:w="1260" w:type="dxa"/>
            <w:vAlign w:val="bottom"/>
          </w:tcPr>
          <w:p w:rsidR="0016150E" w:rsidRPr="00D33BA5" w:rsidRDefault="0016150E" w:rsidP="000E1AE8">
            <w:pPr>
              <w:tabs>
                <w:tab w:val="decimal" w:pos="189"/>
              </w:tabs>
              <w:jc w:val="center"/>
              <w:rPr>
                <w:color w:val="000000"/>
                <w:sz w:val="20"/>
                <w:szCs w:val="20"/>
              </w:rPr>
            </w:pPr>
            <w:r>
              <w:rPr>
                <w:color w:val="000000"/>
                <w:sz w:val="20"/>
                <w:szCs w:val="20"/>
              </w:rPr>
              <w:t>.09</w:t>
            </w:r>
          </w:p>
        </w:tc>
      </w:tr>
      <w:tr w:rsidR="0016150E" w:rsidRPr="00D33BA5" w:rsidTr="000E1AE8">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Pr>
                <w:sz w:val="20"/>
                <w:szCs w:val="20"/>
              </w:rPr>
              <w:t>Conserving</w:t>
            </w:r>
          </w:p>
        </w:tc>
        <w:tc>
          <w:tcPr>
            <w:tcW w:w="801" w:type="dxa"/>
            <w:vAlign w:val="bottom"/>
          </w:tcPr>
          <w:p w:rsidR="0016150E" w:rsidRPr="00D33BA5" w:rsidRDefault="0016150E" w:rsidP="000E1AE8">
            <w:pPr>
              <w:jc w:val="center"/>
              <w:rPr>
                <w:color w:val="000000"/>
                <w:sz w:val="20"/>
                <w:szCs w:val="20"/>
              </w:rPr>
            </w:pPr>
            <w:r>
              <w:rPr>
                <w:color w:val="000000"/>
                <w:sz w:val="20"/>
                <w:szCs w:val="20"/>
              </w:rPr>
              <w:t>1</w:t>
            </w:r>
          </w:p>
        </w:tc>
        <w:tc>
          <w:tcPr>
            <w:tcW w:w="630" w:type="dxa"/>
            <w:vAlign w:val="bottom"/>
          </w:tcPr>
          <w:p w:rsidR="0016150E" w:rsidRPr="00D33BA5" w:rsidRDefault="0016150E" w:rsidP="000E1AE8">
            <w:pPr>
              <w:tabs>
                <w:tab w:val="decimal" w:pos="129"/>
              </w:tabs>
              <w:jc w:val="center"/>
              <w:rPr>
                <w:color w:val="000000"/>
                <w:sz w:val="20"/>
                <w:szCs w:val="20"/>
              </w:rPr>
            </w:pPr>
            <w:r>
              <w:rPr>
                <w:color w:val="000000"/>
                <w:sz w:val="20"/>
                <w:szCs w:val="20"/>
              </w:rPr>
              <w:t>.81</w:t>
            </w:r>
          </w:p>
        </w:tc>
        <w:tc>
          <w:tcPr>
            <w:tcW w:w="630"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p>
        </w:tc>
        <w:tc>
          <w:tcPr>
            <w:tcW w:w="1260" w:type="dxa"/>
            <w:vAlign w:val="bottom"/>
          </w:tcPr>
          <w:p w:rsidR="0016150E" w:rsidRPr="00D33BA5" w:rsidRDefault="0016150E" w:rsidP="000E1AE8">
            <w:pPr>
              <w:tabs>
                <w:tab w:val="decimal" w:pos="171"/>
              </w:tabs>
              <w:jc w:val="center"/>
              <w:rPr>
                <w:color w:val="000000"/>
                <w:sz w:val="20"/>
                <w:szCs w:val="20"/>
              </w:rPr>
            </w:pPr>
            <w:r>
              <w:rPr>
                <w:color w:val="000000"/>
                <w:sz w:val="20"/>
                <w:szCs w:val="20"/>
              </w:rPr>
              <w:t>.90</w:t>
            </w:r>
          </w:p>
        </w:tc>
        <w:tc>
          <w:tcPr>
            <w:tcW w:w="1260" w:type="dxa"/>
            <w:vAlign w:val="bottom"/>
          </w:tcPr>
          <w:p w:rsidR="0016150E" w:rsidRPr="00D33BA5" w:rsidRDefault="0016150E" w:rsidP="000E1AE8">
            <w:pPr>
              <w:tabs>
                <w:tab w:val="decimal" w:pos="189"/>
              </w:tabs>
              <w:jc w:val="center"/>
              <w:rPr>
                <w:color w:val="000000"/>
                <w:sz w:val="20"/>
                <w:szCs w:val="20"/>
              </w:rPr>
            </w:pPr>
            <w:r w:rsidRPr="00D33BA5">
              <w:rPr>
                <w:color w:val="000000"/>
                <w:sz w:val="20"/>
                <w:szCs w:val="20"/>
              </w:rPr>
              <w:t>--</w:t>
            </w:r>
          </w:p>
        </w:tc>
      </w:tr>
      <w:tr w:rsidR="0016150E" w:rsidRPr="00D33BA5" w:rsidTr="000E1AE8">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Pr>
                <w:sz w:val="20"/>
                <w:szCs w:val="20"/>
              </w:rPr>
              <w:t>Influencing others</w:t>
            </w:r>
          </w:p>
        </w:tc>
        <w:tc>
          <w:tcPr>
            <w:tcW w:w="801" w:type="dxa"/>
            <w:vAlign w:val="bottom"/>
          </w:tcPr>
          <w:p w:rsidR="0016150E" w:rsidRPr="00D33BA5" w:rsidRDefault="0016150E" w:rsidP="000E1AE8">
            <w:pPr>
              <w:jc w:val="center"/>
              <w:rPr>
                <w:color w:val="000000"/>
                <w:sz w:val="20"/>
                <w:szCs w:val="20"/>
              </w:rPr>
            </w:pPr>
            <w:r w:rsidRPr="00D33BA5">
              <w:rPr>
                <w:color w:val="000000"/>
                <w:sz w:val="20"/>
                <w:szCs w:val="20"/>
              </w:rPr>
              <w:t>--</w:t>
            </w:r>
          </w:p>
        </w:tc>
        <w:tc>
          <w:tcPr>
            <w:tcW w:w="630" w:type="dxa"/>
            <w:vAlign w:val="bottom"/>
          </w:tcPr>
          <w:p w:rsidR="0016150E" w:rsidRPr="00D33BA5" w:rsidRDefault="0016150E" w:rsidP="000E1AE8">
            <w:pPr>
              <w:tabs>
                <w:tab w:val="decimal" w:pos="129"/>
              </w:tabs>
              <w:jc w:val="center"/>
              <w:rPr>
                <w:color w:val="000000"/>
                <w:sz w:val="20"/>
                <w:szCs w:val="20"/>
              </w:rPr>
            </w:pPr>
            <w:r w:rsidRPr="00D33BA5">
              <w:rPr>
                <w:color w:val="000000"/>
                <w:sz w:val="20"/>
                <w:szCs w:val="20"/>
              </w:rPr>
              <w:t>--</w:t>
            </w:r>
          </w:p>
        </w:tc>
        <w:tc>
          <w:tcPr>
            <w:tcW w:w="630"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p>
        </w:tc>
        <w:tc>
          <w:tcPr>
            <w:tcW w:w="1260" w:type="dxa"/>
            <w:vAlign w:val="bottom"/>
          </w:tcPr>
          <w:p w:rsidR="0016150E" w:rsidRPr="00D33BA5" w:rsidRDefault="0016150E" w:rsidP="000E1AE8">
            <w:pPr>
              <w:tabs>
                <w:tab w:val="decimal" w:pos="171"/>
              </w:tabs>
              <w:jc w:val="center"/>
              <w:rPr>
                <w:color w:val="000000"/>
                <w:sz w:val="20"/>
                <w:szCs w:val="20"/>
              </w:rPr>
            </w:pPr>
            <w:r w:rsidRPr="00D33BA5">
              <w:rPr>
                <w:color w:val="000000"/>
                <w:sz w:val="20"/>
                <w:szCs w:val="20"/>
              </w:rPr>
              <w:t>--</w:t>
            </w:r>
          </w:p>
        </w:tc>
        <w:tc>
          <w:tcPr>
            <w:tcW w:w="1260" w:type="dxa"/>
            <w:vAlign w:val="bottom"/>
          </w:tcPr>
          <w:p w:rsidR="0016150E" w:rsidRPr="00D33BA5" w:rsidRDefault="0016150E" w:rsidP="000E1AE8">
            <w:pPr>
              <w:tabs>
                <w:tab w:val="decimal" w:pos="189"/>
              </w:tabs>
              <w:jc w:val="center"/>
              <w:rPr>
                <w:color w:val="000000"/>
                <w:sz w:val="20"/>
                <w:szCs w:val="20"/>
              </w:rPr>
            </w:pPr>
            <w:r w:rsidRPr="00D33BA5">
              <w:rPr>
                <w:color w:val="000000"/>
                <w:sz w:val="20"/>
                <w:szCs w:val="20"/>
              </w:rPr>
              <w:t>--</w:t>
            </w:r>
          </w:p>
        </w:tc>
      </w:tr>
      <w:tr w:rsidR="0016150E" w:rsidRPr="00D33BA5" w:rsidTr="000E1AE8">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Pr>
                <w:sz w:val="20"/>
                <w:szCs w:val="20"/>
              </w:rPr>
              <w:t>Responsible product choices</w:t>
            </w:r>
          </w:p>
        </w:tc>
        <w:tc>
          <w:tcPr>
            <w:tcW w:w="801" w:type="dxa"/>
            <w:vAlign w:val="bottom"/>
          </w:tcPr>
          <w:p w:rsidR="0016150E" w:rsidRPr="00D33BA5" w:rsidRDefault="0016150E" w:rsidP="000E1AE8">
            <w:pPr>
              <w:jc w:val="center"/>
              <w:rPr>
                <w:color w:val="000000"/>
                <w:sz w:val="20"/>
                <w:szCs w:val="20"/>
              </w:rPr>
            </w:pPr>
            <w:r>
              <w:rPr>
                <w:color w:val="000000"/>
                <w:sz w:val="20"/>
                <w:szCs w:val="20"/>
              </w:rPr>
              <w:t>2</w:t>
            </w:r>
          </w:p>
        </w:tc>
        <w:tc>
          <w:tcPr>
            <w:tcW w:w="630" w:type="dxa"/>
            <w:vAlign w:val="bottom"/>
          </w:tcPr>
          <w:p w:rsidR="0016150E" w:rsidRPr="00D33BA5" w:rsidRDefault="0016150E" w:rsidP="000E1AE8">
            <w:pPr>
              <w:tabs>
                <w:tab w:val="decimal" w:pos="129"/>
              </w:tabs>
              <w:jc w:val="center"/>
              <w:rPr>
                <w:color w:val="000000"/>
                <w:sz w:val="20"/>
                <w:szCs w:val="20"/>
              </w:rPr>
            </w:pPr>
            <w:r w:rsidRPr="00D33BA5">
              <w:rPr>
                <w:color w:val="000000"/>
                <w:sz w:val="20"/>
                <w:szCs w:val="20"/>
              </w:rPr>
              <w:t>.</w:t>
            </w:r>
            <w:r>
              <w:rPr>
                <w:color w:val="000000"/>
                <w:sz w:val="20"/>
                <w:szCs w:val="20"/>
              </w:rPr>
              <w:t>86</w:t>
            </w:r>
          </w:p>
        </w:tc>
        <w:tc>
          <w:tcPr>
            <w:tcW w:w="630"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r>
              <w:rPr>
                <w:color w:val="000000"/>
                <w:sz w:val="20"/>
                <w:szCs w:val="20"/>
              </w:rPr>
              <w:t>07</w:t>
            </w:r>
          </w:p>
        </w:tc>
        <w:tc>
          <w:tcPr>
            <w:tcW w:w="1260" w:type="dxa"/>
            <w:vAlign w:val="bottom"/>
          </w:tcPr>
          <w:p w:rsidR="0016150E" w:rsidRPr="00D33BA5" w:rsidRDefault="0016150E" w:rsidP="000E1AE8">
            <w:pPr>
              <w:tabs>
                <w:tab w:val="decimal" w:pos="171"/>
              </w:tabs>
              <w:jc w:val="center"/>
              <w:rPr>
                <w:color w:val="000000"/>
                <w:sz w:val="20"/>
                <w:szCs w:val="20"/>
              </w:rPr>
            </w:pPr>
            <w:r w:rsidRPr="00D33BA5">
              <w:rPr>
                <w:color w:val="000000"/>
                <w:sz w:val="20"/>
                <w:szCs w:val="20"/>
              </w:rPr>
              <w:t>.</w:t>
            </w:r>
            <w:r>
              <w:rPr>
                <w:color w:val="000000"/>
                <w:sz w:val="20"/>
                <w:szCs w:val="20"/>
              </w:rPr>
              <w:t>92</w:t>
            </w:r>
          </w:p>
        </w:tc>
        <w:tc>
          <w:tcPr>
            <w:tcW w:w="1260" w:type="dxa"/>
            <w:vAlign w:val="bottom"/>
          </w:tcPr>
          <w:p w:rsidR="0016150E" w:rsidRPr="00D33BA5" w:rsidRDefault="0016150E" w:rsidP="000E1AE8">
            <w:pPr>
              <w:tabs>
                <w:tab w:val="decimal" w:pos="189"/>
              </w:tabs>
              <w:jc w:val="center"/>
              <w:rPr>
                <w:color w:val="000000"/>
                <w:sz w:val="20"/>
                <w:szCs w:val="20"/>
              </w:rPr>
            </w:pPr>
            <w:r w:rsidRPr="00D33BA5">
              <w:rPr>
                <w:color w:val="000000"/>
                <w:sz w:val="20"/>
                <w:szCs w:val="20"/>
              </w:rPr>
              <w:t>.0</w:t>
            </w:r>
            <w:r>
              <w:rPr>
                <w:color w:val="000000"/>
                <w:sz w:val="20"/>
                <w:szCs w:val="20"/>
              </w:rPr>
              <w:t>4</w:t>
            </w:r>
          </w:p>
        </w:tc>
      </w:tr>
      <w:tr w:rsidR="0016150E" w:rsidRPr="00D33BA5" w:rsidTr="000E1AE8">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Pr>
                <w:sz w:val="20"/>
                <w:szCs w:val="20"/>
              </w:rPr>
              <w:t>Taking initiative</w:t>
            </w:r>
          </w:p>
        </w:tc>
        <w:tc>
          <w:tcPr>
            <w:tcW w:w="801" w:type="dxa"/>
            <w:vAlign w:val="bottom"/>
          </w:tcPr>
          <w:p w:rsidR="0016150E" w:rsidRPr="00D33BA5" w:rsidRDefault="0016150E" w:rsidP="000E1AE8">
            <w:pPr>
              <w:jc w:val="center"/>
              <w:rPr>
                <w:color w:val="000000"/>
                <w:sz w:val="20"/>
                <w:szCs w:val="20"/>
              </w:rPr>
            </w:pPr>
            <w:r>
              <w:rPr>
                <w:color w:val="000000"/>
                <w:sz w:val="20"/>
                <w:szCs w:val="20"/>
              </w:rPr>
              <w:t>4</w:t>
            </w:r>
          </w:p>
        </w:tc>
        <w:tc>
          <w:tcPr>
            <w:tcW w:w="630" w:type="dxa"/>
            <w:vAlign w:val="bottom"/>
          </w:tcPr>
          <w:p w:rsidR="0016150E" w:rsidRPr="00D33BA5" w:rsidRDefault="0016150E" w:rsidP="000E1AE8">
            <w:pPr>
              <w:tabs>
                <w:tab w:val="decimal" w:pos="129"/>
              </w:tabs>
              <w:jc w:val="center"/>
              <w:rPr>
                <w:color w:val="000000"/>
                <w:sz w:val="20"/>
                <w:szCs w:val="20"/>
              </w:rPr>
            </w:pPr>
            <w:r>
              <w:rPr>
                <w:color w:val="000000"/>
                <w:sz w:val="20"/>
                <w:szCs w:val="20"/>
              </w:rPr>
              <w:t>.77</w:t>
            </w:r>
          </w:p>
        </w:tc>
        <w:tc>
          <w:tcPr>
            <w:tcW w:w="630" w:type="dxa"/>
            <w:vAlign w:val="bottom"/>
          </w:tcPr>
          <w:p w:rsidR="0016150E" w:rsidRPr="00D33BA5" w:rsidRDefault="0016150E" w:rsidP="000E1AE8">
            <w:pPr>
              <w:tabs>
                <w:tab w:val="decimal" w:pos="185"/>
              </w:tabs>
              <w:jc w:val="center"/>
              <w:rPr>
                <w:color w:val="000000"/>
                <w:sz w:val="20"/>
                <w:szCs w:val="20"/>
              </w:rPr>
            </w:pPr>
            <w:r>
              <w:rPr>
                <w:color w:val="000000"/>
                <w:sz w:val="20"/>
                <w:szCs w:val="20"/>
              </w:rPr>
              <w:t>.04</w:t>
            </w:r>
          </w:p>
        </w:tc>
        <w:tc>
          <w:tcPr>
            <w:tcW w:w="1260" w:type="dxa"/>
            <w:vAlign w:val="bottom"/>
          </w:tcPr>
          <w:p w:rsidR="0016150E" w:rsidRPr="00D33BA5" w:rsidRDefault="0016150E" w:rsidP="000E1AE8">
            <w:pPr>
              <w:tabs>
                <w:tab w:val="decimal" w:pos="171"/>
              </w:tabs>
              <w:jc w:val="center"/>
              <w:rPr>
                <w:color w:val="000000"/>
                <w:sz w:val="20"/>
                <w:szCs w:val="20"/>
              </w:rPr>
            </w:pPr>
            <w:r>
              <w:rPr>
                <w:color w:val="000000"/>
                <w:sz w:val="20"/>
                <w:szCs w:val="20"/>
              </w:rPr>
              <w:t>.87</w:t>
            </w:r>
          </w:p>
        </w:tc>
        <w:tc>
          <w:tcPr>
            <w:tcW w:w="1260" w:type="dxa"/>
            <w:vAlign w:val="bottom"/>
          </w:tcPr>
          <w:p w:rsidR="0016150E" w:rsidRPr="00D33BA5" w:rsidRDefault="0016150E" w:rsidP="000E1AE8">
            <w:pPr>
              <w:tabs>
                <w:tab w:val="decimal" w:pos="189"/>
              </w:tabs>
              <w:jc w:val="center"/>
              <w:rPr>
                <w:color w:val="000000"/>
                <w:sz w:val="20"/>
                <w:szCs w:val="20"/>
              </w:rPr>
            </w:pPr>
            <w:r>
              <w:rPr>
                <w:color w:val="000000"/>
                <w:sz w:val="20"/>
                <w:szCs w:val="20"/>
              </w:rPr>
              <w:t>.02</w:t>
            </w:r>
          </w:p>
        </w:tc>
      </w:tr>
      <w:tr w:rsidR="0016150E" w:rsidRPr="00D33BA5" w:rsidTr="00CE5646">
        <w:tc>
          <w:tcPr>
            <w:tcW w:w="1917" w:type="dxa"/>
            <w:gridSpan w:val="2"/>
          </w:tcPr>
          <w:p w:rsidR="0016150E" w:rsidRPr="00D33BA5" w:rsidRDefault="0016150E" w:rsidP="000E1AE8">
            <w:pPr>
              <w:rPr>
                <w:i/>
                <w:sz w:val="20"/>
                <w:szCs w:val="20"/>
              </w:rPr>
            </w:pPr>
            <w:r w:rsidRPr="00D33BA5">
              <w:rPr>
                <w:i/>
                <w:sz w:val="20"/>
                <w:szCs w:val="20"/>
              </w:rPr>
              <w:t>Motivation</w:t>
            </w:r>
          </w:p>
        </w:tc>
        <w:tc>
          <w:tcPr>
            <w:tcW w:w="801" w:type="dxa"/>
            <w:vAlign w:val="bottom"/>
          </w:tcPr>
          <w:p w:rsidR="0016150E" w:rsidRPr="00D33BA5" w:rsidRDefault="0016150E" w:rsidP="000E1AE8">
            <w:pPr>
              <w:jc w:val="center"/>
              <w:rPr>
                <w:sz w:val="20"/>
                <w:szCs w:val="20"/>
              </w:rPr>
            </w:pPr>
          </w:p>
        </w:tc>
        <w:tc>
          <w:tcPr>
            <w:tcW w:w="630" w:type="dxa"/>
            <w:vAlign w:val="bottom"/>
          </w:tcPr>
          <w:p w:rsidR="0016150E" w:rsidRPr="00D33BA5" w:rsidRDefault="0016150E" w:rsidP="000E1AE8">
            <w:pPr>
              <w:tabs>
                <w:tab w:val="decimal" w:pos="129"/>
              </w:tabs>
              <w:jc w:val="center"/>
              <w:rPr>
                <w:sz w:val="20"/>
                <w:szCs w:val="20"/>
              </w:rPr>
            </w:pPr>
          </w:p>
        </w:tc>
        <w:tc>
          <w:tcPr>
            <w:tcW w:w="630" w:type="dxa"/>
            <w:vAlign w:val="bottom"/>
          </w:tcPr>
          <w:p w:rsidR="0016150E" w:rsidRPr="00D33BA5" w:rsidRDefault="0016150E" w:rsidP="000E1AE8">
            <w:pPr>
              <w:tabs>
                <w:tab w:val="decimal" w:pos="185"/>
              </w:tabs>
              <w:jc w:val="center"/>
              <w:rPr>
                <w:sz w:val="20"/>
                <w:szCs w:val="20"/>
              </w:rPr>
            </w:pPr>
          </w:p>
        </w:tc>
        <w:tc>
          <w:tcPr>
            <w:tcW w:w="1260" w:type="dxa"/>
            <w:vAlign w:val="bottom"/>
          </w:tcPr>
          <w:p w:rsidR="0016150E" w:rsidRPr="00D33BA5" w:rsidRDefault="0016150E" w:rsidP="000E1AE8">
            <w:pPr>
              <w:tabs>
                <w:tab w:val="decimal" w:pos="171"/>
              </w:tabs>
              <w:jc w:val="center"/>
              <w:rPr>
                <w:sz w:val="20"/>
                <w:szCs w:val="20"/>
              </w:rPr>
            </w:pPr>
          </w:p>
        </w:tc>
        <w:tc>
          <w:tcPr>
            <w:tcW w:w="1260" w:type="dxa"/>
            <w:vAlign w:val="bottom"/>
          </w:tcPr>
          <w:p w:rsidR="0016150E" w:rsidRPr="00D33BA5" w:rsidRDefault="0016150E" w:rsidP="000E1AE8">
            <w:pPr>
              <w:tabs>
                <w:tab w:val="decimal" w:pos="189"/>
              </w:tabs>
              <w:jc w:val="center"/>
              <w:rPr>
                <w:sz w:val="20"/>
                <w:szCs w:val="20"/>
              </w:rPr>
            </w:pPr>
          </w:p>
        </w:tc>
      </w:tr>
      <w:tr w:rsidR="0016150E" w:rsidRPr="00D33BA5" w:rsidTr="00CE5646">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Pr>
                <w:sz w:val="20"/>
                <w:szCs w:val="20"/>
              </w:rPr>
              <w:t>Social Responsibility</w:t>
            </w:r>
          </w:p>
        </w:tc>
        <w:tc>
          <w:tcPr>
            <w:tcW w:w="801" w:type="dxa"/>
            <w:vAlign w:val="bottom"/>
          </w:tcPr>
          <w:p w:rsidR="0016150E" w:rsidRPr="00D33BA5" w:rsidRDefault="0016150E" w:rsidP="000E1AE8">
            <w:pPr>
              <w:jc w:val="center"/>
              <w:rPr>
                <w:color w:val="000000"/>
                <w:sz w:val="20"/>
                <w:szCs w:val="20"/>
              </w:rPr>
            </w:pPr>
            <w:r w:rsidRPr="00D33BA5">
              <w:rPr>
                <w:color w:val="000000"/>
                <w:sz w:val="20"/>
                <w:szCs w:val="20"/>
              </w:rPr>
              <w:t>--</w:t>
            </w:r>
          </w:p>
        </w:tc>
        <w:tc>
          <w:tcPr>
            <w:tcW w:w="630" w:type="dxa"/>
            <w:vAlign w:val="bottom"/>
          </w:tcPr>
          <w:p w:rsidR="0016150E" w:rsidRPr="00D33BA5" w:rsidRDefault="0016150E" w:rsidP="000E1AE8">
            <w:pPr>
              <w:tabs>
                <w:tab w:val="decimal" w:pos="129"/>
              </w:tabs>
              <w:jc w:val="center"/>
              <w:rPr>
                <w:color w:val="000000"/>
                <w:sz w:val="20"/>
                <w:szCs w:val="20"/>
              </w:rPr>
            </w:pPr>
            <w:r w:rsidRPr="00D33BA5">
              <w:rPr>
                <w:color w:val="000000"/>
                <w:sz w:val="20"/>
                <w:szCs w:val="20"/>
              </w:rPr>
              <w:t>--</w:t>
            </w:r>
          </w:p>
        </w:tc>
        <w:tc>
          <w:tcPr>
            <w:tcW w:w="630"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p>
        </w:tc>
        <w:tc>
          <w:tcPr>
            <w:tcW w:w="1260" w:type="dxa"/>
            <w:vAlign w:val="bottom"/>
          </w:tcPr>
          <w:p w:rsidR="0016150E" w:rsidRPr="00D33BA5" w:rsidRDefault="0016150E" w:rsidP="000E1AE8">
            <w:pPr>
              <w:tabs>
                <w:tab w:val="decimal" w:pos="171"/>
              </w:tabs>
              <w:jc w:val="center"/>
              <w:rPr>
                <w:color w:val="000000"/>
                <w:sz w:val="20"/>
                <w:szCs w:val="20"/>
              </w:rPr>
            </w:pPr>
            <w:r w:rsidRPr="00D33BA5">
              <w:rPr>
                <w:color w:val="000000"/>
                <w:sz w:val="20"/>
                <w:szCs w:val="20"/>
              </w:rPr>
              <w:t>--</w:t>
            </w:r>
          </w:p>
        </w:tc>
        <w:tc>
          <w:tcPr>
            <w:tcW w:w="1260" w:type="dxa"/>
            <w:vAlign w:val="bottom"/>
          </w:tcPr>
          <w:p w:rsidR="0016150E" w:rsidRPr="00D33BA5" w:rsidRDefault="0016150E" w:rsidP="000E1AE8">
            <w:pPr>
              <w:tabs>
                <w:tab w:val="decimal" w:pos="189"/>
              </w:tabs>
              <w:jc w:val="center"/>
              <w:rPr>
                <w:color w:val="000000"/>
                <w:sz w:val="20"/>
                <w:szCs w:val="20"/>
              </w:rPr>
            </w:pPr>
            <w:r w:rsidRPr="00D33BA5">
              <w:rPr>
                <w:color w:val="000000"/>
                <w:sz w:val="20"/>
                <w:szCs w:val="20"/>
              </w:rPr>
              <w:t>--</w:t>
            </w:r>
          </w:p>
        </w:tc>
      </w:tr>
      <w:tr w:rsidR="0016150E" w:rsidRPr="00D33BA5" w:rsidTr="00CE5646">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Pr>
                <w:sz w:val="20"/>
                <w:szCs w:val="20"/>
              </w:rPr>
              <w:t>Self-e</w:t>
            </w:r>
            <w:r w:rsidRPr="00D33BA5">
              <w:rPr>
                <w:sz w:val="20"/>
                <w:szCs w:val="20"/>
              </w:rPr>
              <w:t>fficacy</w:t>
            </w:r>
          </w:p>
        </w:tc>
        <w:tc>
          <w:tcPr>
            <w:tcW w:w="801" w:type="dxa"/>
            <w:vAlign w:val="bottom"/>
          </w:tcPr>
          <w:p w:rsidR="0016150E" w:rsidRPr="00D33BA5" w:rsidRDefault="0016150E" w:rsidP="000E1AE8">
            <w:pPr>
              <w:jc w:val="center"/>
              <w:rPr>
                <w:color w:val="000000"/>
                <w:sz w:val="20"/>
                <w:szCs w:val="20"/>
              </w:rPr>
            </w:pPr>
            <w:r>
              <w:rPr>
                <w:color w:val="000000"/>
                <w:sz w:val="20"/>
                <w:szCs w:val="20"/>
              </w:rPr>
              <w:t>3</w:t>
            </w:r>
          </w:p>
        </w:tc>
        <w:tc>
          <w:tcPr>
            <w:tcW w:w="630" w:type="dxa"/>
            <w:vAlign w:val="bottom"/>
          </w:tcPr>
          <w:p w:rsidR="0016150E" w:rsidRPr="00D33BA5" w:rsidRDefault="0016150E" w:rsidP="000E1AE8">
            <w:pPr>
              <w:tabs>
                <w:tab w:val="decimal" w:pos="129"/>
              </w:tabs>
              <w:jc w:val="center"/>
              <w:rPr>
                <w:color w:val="000000"/>
                <w:sz w:val="20"/>
                <w:szCs w:val="20"/>
              </w:rPr>
            </w:pPr>
            <w:r w:rsidRPr="00D33BA5">
              <w:rPr>
                <w:color w:val="000000"/>
                <w:sz w:val="20"/>
                <w:szCs w:val="20"/>
              </w:rPr>
              <w:t>.</w:t>
            </w:r>
            <w:r>
              <w:rPr>
                <w:color w:val="000000"/>
                <w:sz w:val="20"/>
                <w:szCs w:val="20"/>
              </w:rPr>
              <w:t>78</w:t>
            </w:r>
          </w:p>
        </w:tc>
        <w:tc>
          <w:tcPr>
            <w:tcW w:w="630"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r>
              <w:rPr>
                <w:color w:val="000000"/>
                <w:sz w:val="20"/>
                <w:szCs w:val="20"/>
              </w:rPr>
              <w:t>03</w:t>
            </w:r>
          </w:p>
        </w:tc>
        <w:tc>
          <w:tcPr>
            <w:tcW w:w="1260" w:type="dxa"/>
            <w:vAlign w:val="bottom"/>
          </w:tcPr>
          <w:p w:rsidR="0016150E" w:rsidRPr="00D33BA5" w:rsidRDefault="0016150E" w:rsidP="000E1AE8">
            <w:pPr>
              <w:tabs>
                <w:tab w:val="decimal" w:pos="171"/>
              </w:tabs>
              <w:jc w:val="center"/>
              <w:rPr>
                <w:color w:val="000000"/>
                <w:sz w:val="20"/>
                <w:szCs w:val="20"/>
              </w:rPr>
            </w:pPr>
            <w:r w:rsidRPr="00D33BA5">
              <w:rPr>
                <w:color w:val="000000"/>
                <w:sz w:val="20"/>
                <w:szCs w:val="20"/>
              </w:rPr>
              <w:t>.</w:t>
            </w:r>
            <w:r>
              <w:rPr>
                <w:color w:val="000000"/>
                <w:sz w:val="20"/>
                <w:szCs w:val="20"/>
              </w:rPr>
              <w:t>88</w:t>
            </w:r>
          </w:p>
        </w:tc>
        <w:tc>
          <w:tcPr>
            <w:tcW w:w="1260" w:type="dxa"/>
            <w:vAlign w:val="bottom"/>
          </w:tcPr>
          <w:p w:rsidR="0016150E" w:rsidRPr="00D33BA5" w:rsidRDefault="0016150E" w:rsidP="000E1AE8">
            <w:pPr>
              <w:tabs>
                <w:tab w:val="decimal" w:pos="189"/>
              </w:tabs>
              <w:jc w:val="center"/>
              <w:rPr>
                <w:color w:val="000000"/>
                <w:sz w:val="20"/>
                <w:szCs w:val="20"/>
              </w:rPr>
            </w:pPr>
            <w:r w:rsidRPr="00D33BA5">
              <w:rPr>
                <w:color w:val="000000"/>
                <w:sz w:val="20"/>
                <w:szCs w:val="20"/>
              </w:rPr>
              <w:t>.0</w:t>
            </w:r>
            <w:r>
              <w:rPr>
                <w:color w:val="000000"/>
                <w:sz w:val="20"/>
                <w:szCs w:val="20"/>
              </w:rPr>
              <w:t>1</w:t>
            </w:r>
          </w:p>
        </w:tc>
      </w:tr>
      <w:tr w:rsidR="0016150E" w:rsidRPr="00D33BA5" w:rsidTr="00CE5646">
        <w:tc>
          <w:tcPr>
            <w:tcW w:w="236" w:type="dxa"/>
          </w:tcPr>
          <w:p w:rsidR="0016150E" w:rsidRPr="00D33BA5" w:rsidRDefault="0016150E" w:rsidP="000E1AE8">
            <w:pPr>
              <w:rPr>
                <w:sz w:val="20"/>
                <w:szCs w:val="20"/>
              </w:rPr>
            </w:pPr>
          </w:p>
        </w:tc>
        <w:tc>
          <w:tcPr>
            <w:tcW w:w="1681" w:type="dxa"/>
          </w:tcPr>
          <w:p w:rsidR="0016150E" w:rsidRPr="00D33BA5" w:rsidRDefault="0016150E" w:rsidP="000E1AE8">
            <w:pPr>
              <w:rPr>
                <w:sz w:val="20"/>
                <w:szCs w:val="20"/>
              </w:rPr>
            </w:pPr>
            <w:r w:rsidRPr="00D33BA5">
              <w:rPr>
                <w:sz w:val="20"/>
                <w:szCs w:val="20"/>
              </w:rPr>
              <w:t>Expectancy</w:t>
            </w:r>
          </w:p>
        </w:tc>
        <w:tc>
          <w:tcPr>
            <w:tcW w:w="801" w:type="dxa"/>
            <w:vAlign w:val="bottom"/>
          </w:tcPr>
          <w:p w:rsidR="0016150E" w:rsidRPr="00D33BA5" w:rsidRDefault="0016150E" w:rsidP="000E1AE8">
            <w:pPr>
              <w:jc w:val="center"/>
              <w:rPr>
                <w:color w:val="000000"/>
                <w:sz w:val="20"/>
                <w:szCs w:val="20"/>
              </w:rPr>
            </w:pPr>
            <w:r>
              <w:rPr>
                <w:color w:val="000000"/>
                <w:sz w:val="20"/>
                <w:szCs w:val="20"/>
              </w:rPr>
              <w:t>2</w:t>
            </w:r>
          </w:p>
        </w:tc>
        <w:tc>
          <w:tcPr>
            <w:tcW w:w="630" w:type="dxa"/>
            <w:vAlign w:val="bottom"/>
          </w:tcPr>
          <w:p w:rsidR="0016150E" w:rsidRPr="00D33BA5" w:rsidRDefault="0016150E" w:rsidP="000E1AE8">
            <w:pPr>
              <w:tabs>
                <w:tab w:val="decimal" w:pos="129"/>
              </w:tabs>
              <w:jc w:val="center"/>
              <w:rPr>
                <w:color w:val="000000"/>
                <w:sz w:val="20"/>
                <w:szCs w:val="20"/>
              </w:rPr>
            </w:pPr>
            <w:r>
              <w:rPr>
                <w:color w:val="000000"/>
                <w:sz w:val="20"/>
                <w:szCs w:val="20"/>
              </w:rPr>
              <w:t>.84</w:t>
            </w:r>
          </w:p>
        </w:tc>
        <w:tc>
          <w:tcPr>
            <w:tcW w:w="630" w:type="dxa"/>
            <w:vAlign w:val="bottom"/>
          </w:tcPr>
          <w:p w:rsidR="0016150E" w:rsidRPr="00D33BA5" w:rsidRDefault="0016150E" w:rsidP="000E1AE8">
            <w:pPr>
              <w:tabs>
                <w:tab w:val="decimal" w:pos="185"/>
              </w:tabs>
              <w:jc w:val="center"/>
              <w:rPr>
                <w:color w:val="000000"/>
                <w:sz w:val="20"/>
                <w:szCs w:val="20"/>
              </w:rPr>
            </w:pPr>
            <w:r>
              <w:rPr>
                <w:color w:val="000000"/>
                <w:sz w:val="20"/>
                <w:szCs w:val="20"/>
              </w:rPr>
              <w:t>.16</w:t>
            </w:r>
          </w:p>
        </w:tc>
        <w:tc>
          <w:tcPr>
            <w:tcW w:w="1260" w:type="dxa"/>
            <w:vAlign w:val="bottom"/>
          </w:tcPr>
          <w:p w:rsidR="0016150E" w:rsidRPr="00D33BA5" w:rsidRDefault="0016150E" w:rsidP="000E1AE8">
            <w:pPr>
              <w:tabs>
                <w:tab w:val="decimal" w:pos="171"/>
              </w:tabs>
              <w:jc w:val="center"/>
              <w:rPr>
                <w:color w:val="000000"/>
                <w:sz w:val="20"/>
                <w:szCs w:val="20"/>
              </w:rPr>
            </w:pPr>
            <w:r>
              <w:rPr>
                <w:color w:val="000000"/>
                <w:sz w:val="20"/>
                <w:szCs w:val="20"/>
              </w:rPr>
              <w:t>.91</w:t>
            </w:r>
          </w:p>
        </w:tc>
        <w:tc>
          <w:tcPr>
            <w:tcW w:w="1260" w:type="dxa"/>
            <w:vAlign w:val="bottom"/>
          </w:tcPr>
          <w:p w:rsidR="0016150E" w:rsidRPr="00D33BA5" w:rsidRDefault="0016150E" w:rsidP="000E1AE8">
            <w:pPr>
              <w:tabs>
                <w:tab w:val="decimal" w:pos="189"/>
              </w:tabs>
              <w:jc w:val="center"/>
              <w:rPr>
                <w:color w:val="000000"/>
                <w:sz w:val="20"/>
                <w:szCs w:val="20"/>
              </w:rPr>
            </w:pPr>
            <w:r>
              <w:rPr>
                <w:color w:val="000000"/>
                <w:sz w:val="20"/>
                <w:szCs w:val="20"/>
              </w:rPr>
              <w:t>.09</w:t>
            </w:r>
          </w:p>
        </w:tc>
      </w:tr>
      <w:tr w:rsidR="0016150E" w:rsidRPr="00D33BA5" w:rsidTr="00677FB7">
        <w:tc>
          <w:tcPr>
            <w:tcW w:w="236" w:type="dxa"/>
          </w:tcPr>
          <w:p w:rsidR="0016150E" w:rsidRPr="00D33BA5" w:rsidRDefault="0016150E" w:rsidP="00CE5646">
            <w:pPr>
              <w:rPr>
                <w:sz w:val="20"/>
                <w:szCs w:val="20"/>
              </w:rPr>
            </w:pPr>
          </w:p>
        </w:tc>
        <w:tc>
          <w:tcPr>
            <w:tcW w:w="1681" w:type="dxa"/>
          </w:tcPr>
          <w:p w:rsidR="0016150E" w:rsidRPr="00D33BA5" w:rsidRDefault="0016150E" w:rsidP="00CE5646">
            <w:pPr>
              <w:rPr>
                <w:sz w:val="20"/>
                <w:szCs w:val="20"/>
              </w:rPr>
            </w:pPr>
            <w:r>
              <w:rPr>
                <w:sz w:val="20"/>
                <w:szCs w:val="20"/>
              </w:rPr>
              <w:t>Lack of Knowledge</w:t>
            </w:r>
          </w:p>
        </w:tc>
        <w:tc>
          <w:tcPr>
            <w:tcW w:w="801" w:type="dxa"/>
            <w:vAlign w:val="bottom"/>
          </w:tcPr>
          <w:p w:rsidR="0016150E" w:rsidRPr="00D33BA5" w:rsidRDefault="0016150E" w:rsidP="00CE5646">
            <w:pPr>
              <w:jc w:val="center"/>
              <w:rPr>
                <w:color w:val="000000"/>
                <w:sz w:val="20"/>
                <w:szCs w:val="20"/>
              </w:rPr>
            </w:pPr>
            <w:r>
              <w:rPr>
                <w:color w:val="000000"/>
                <w:sz w:val="20"/>
                <w:szCs w:val="20"/>
              </w:rPr>
              <w:t>1</w:t>
            </w:r>
          </w:p>
        </w:tc>
        <w:tc>
          <w:tcPr>
            <w:tcW w:w="630" w:type="dxa"/>
            <w:vAlign w:val="bottom"/>
          </w:tcPr>
          <w:p w:rsidR="0016150E" w:rsidRPr="00D33BA5" w:rsidRDefault="0016150E" w:rsidP="00CE5646">
            <w:pPr>
              <w:tabs>
                <w:tab w:val="decimal" w:pos="129"/>
              </w:tabs>
              <w:jc w:val="center"/>
              <w:rPr>
                <w:color w:val="000000"/>
                <w:sz w:val="20"/>
                <w:szCs w:val="20"/>
              </w:rPr>
            </w:pPr>
            <w:r>
              <w:rPr>
                <w:color w:val="000000"/>
                <w:sz w:val="20"/>
                <w:szCs w:val="20"/>
              </w:rPr>
              <w:t>.77</w:t>
            </w:r>
          </w:p>
        </w:tc>
        <w:tc>
          <w:tcPr>
            <w:tcW w:w="630" w:type="dxa"/>
            <w:vAlign w:val="bottom"/>
          </w:tcPr>
          <w:p w:rsidR="0016150E" w:rsidRPr="00D33BA5" w:rsidRDefault="0016150E" w:rsidP="00CE5646">
            <w:pPr>
              <w:tabs>
                <w:tab w:val="decimal" w:pos="185"/>
              </w:tabs>
              <w:jc w:val="center"/>
              <w:rPr>
                <w:color w:val="000000"/>
                <w:sz w:val="20"/>
                <w:szCs w:val="20"/>
              </w:rPr>
            </w:pPr>
            <w:r w:rsidRPr="00D33BA5">
              <w:rPr>
                <w:color w:val="000000"/>
                <w:sz w:val="20"/>
                <w:szCs w:val="20"/>
              </w:rPr>
              <w:t>--</w:t>
            </w:r>
          </w:p>
        </w:tc>
        <w:tc>
          <w:tcPr>
            <w:tcW w:w="1260" w:type="dxa"/>
            <w:vAlign w:val="bottom"/>
          </w:tcPr>
          <w:p w:rsidR="0016150E" w:rsidRPr="00D33BA5" w:rsidRDefault="0016150E" w:rsidP="00CE5646">
            <w:pPr>
              <w:tabs>
                <w:tab w:val="decimal" w:pos="171"/>
              </w:tabs>
              <w:jc w:val="center"/>
              <w:rPr>
                <w:color w:val="000000"/>
                <w:sz w:val="20"/>
                <w:szCs w:val="20"/>
              </w:rPr>
            </w:pPr>
            <w:r>
              <w:rPr>
                <w:color w:val="000000"/>
                <w:sz w:val="20"/>
                <w:szCs w:val="20"/>
              </w:rPr>
              <w:t>.88</w:t>
            </w:r>
          </w:p>
        </w:tc>
        <w:tc>
          <w:tcPr>
            <w:tcW w:w="1260" w:type="dxa"/>
            <w:vAlign w:val="bottom"/>
          </w:tcPr>
          <w:p w:rsidR="0016150E" w:rsidRPr="00D33BA5" w:rsidRDefault="0016150E" w:rsidP="00CE5646">
            <w:pPr>
              <w:tabs>
                <w:tab w:val="decimal" w:pos="189"/>
              </w:tabs>
              <w:jc w:val="center"/>
              <w:rPr>
                <w:color w:val="000000"/>
                <w:sz w:val="20"/>
                <w:szCs w:val="20"/>
              </w:rPr>
            </w:pPr>
            <w:r w:rsidRPr="00D33BA5">
              <w:rPr>
                <w:color w:val="000000"/>
                <w:sz w:val="20"/>
                <w:szCs w:val="20"/>
              </w:rPr>
              <w:t>--</w:t>
            </w:r>
          </w:p>
        </w:tc>
      </w:tr>
      <w:tr w:rsidR="0016150E" w:rsidRPr="00D33BA5" w:rsidTr="00677FB7">
        <w:tc>
          <w:tcPr>
            <w:tcW w:w="236" w:type="dxa"/>
            <w:tcBorders>
              <w:bottom w:val="single" w:sz="4" w:space="0" w:color="auto"/>
            </w:tcBorders>
          </w:tcPr>
          <w:p w:rsidR="0016150E" w:rsidRPr="00D33BA5" w:rsidRDefault="0016150E" w:rsidP="00CE5646">
            <w:pPr>
              <w:rPr>
                <w:sz w:val="20"/>
                <w:szCs w:val="20"/>
              </w:rPr>
            </w:pPr>
          </w:p>
        </w:tc>
        <w:tc>
          <w:tcPr>
            <w:tcW w:w="1681" w:type="dxa"/>
            <w:tcBorders>
              <w:bottom w:val="single" w:sz="4" w:space="0" w:color="auto"/>
            </w:tcBorders>
          </w:tcPr>
          <w:p w:rsidR="0016150E" w:rsidRPr="00D33BA5" w:rsidRDefault="0016150E" w:rsidP="00CE5646">
            <w:pPr>
              <w:rPr>
                <w:sz w:val="20"/>
                <w:szCs w:val="20"/>
              </w:rPr>
            </w:pPr>
            <w:r>
              <w:rPr>
                <w:sz w:val="20"/>
                <w:szCs w:val="20"/>
              </w:rPr>
              <w:t>Social n</w:t>
            </w:r>
            <w:r w:rsidRPr="00D33BA5">
              <w:rPr>
                <w:sz w:val="20"/>
                <w:szCs w:val="20"/>
              </w:rPr>
              <w:t>orms</w:t>
            </w:r>
          </w:p>
        </w:tc>
        <w:tc>
          <w:tcPr>
            <w:tcW w:w="801" w:type="dxa"/>
            <w:tcBorders>
              <w:bottom w:val="single" w:sz="4" w:space="0" w:color="auto"/>
            </w:tcBorders>
            <w:vAlign w:val="bottom"/>
          </w:tcPr>
          <w:p w:rsidR="0016150E" w:rsidRPr="00D33BA5" w:rsidRDefault="0016150E" w:rsidP="00CE5646">
            <w:pPr>
              <w:jc w:val="center"/>
              <w:rPr>
                <w:color w:val="000000"/>
                <w:sz w:val="20"/>
                <w:szCs w:val="20"/>
              </w:rPr>
            </w:pPr>
            <w:r w:rsidRPr="00D33BA5">
              <w:rPr>
                <w:color w:val="000000"/>
                <w:sz w:val="20"/>
                <w:szCs w:val="20"/>
              </w:rPr>
              <w:t>--</w:t>
            </w:r>
          </w:p>
        </w:tc>
        <w:tc>
          <w:tcPr>
            <w:tcW w:w="630" w:type="dxa"/>
            <w:tcBorders>
              <w:bottom w:val="single" w:sz="4" w:space="0" w:color="auto"/>
            </w:tcBorders>
            <w:vAlign w:val="bottom"/>
          </w:tcPr>
          <w:p w:rsidR="0016150E" w:rsidRPr="00D33BA5" w:rsidRDefault="0016150E" w:rsidP="00CE5646">
            <w:pPr>
              <w:tabs>
                <w:tab w:val="decimal" w:pos="129"/>
              </w:tabs>
              <w:jc w:val="center"/>
              <w:rPr>
                <w:color w:val="000000"/>
                <w:sz w:val="20"/>
                <w:szCs w:val="20"/>
              </w:rPr>
            </w:pPr>
            <w:r w:rsidRPr="00D33BA5">
              <w:rPr>
                <w:color w:val="000000"/>
                <w:sz w:val="20"/>
                <w:szCs w:val="20"/>
              </w:rPr>
              <w:t>--</w:t>
            </w:r>
          </w:p>
        </w:tc>
        <w:tc>
          <w:tcPr>
            <w:tcW w:w="630" w:type="dxa"/>
            <w:tcBorders>
              <w:bottom w:val="single" w:sz="4" w:space="0" w:color="auto"/>
            </w:tcBorders>
            <w:vAlign w:val="bottom"/>
          </w:tcPr>
          <w:p w:rsidR="0016150E" w:rsidRPr="00D33BA5" w:rsidRDefault="0016150E" w:rsidP="00CE5646">
            <w:pPr>
              <w:tabs>
                <w:tab w:val="decimal" w:pos="185"/>
              </w:tabs>
              <w:jc w:val="center"/>
              <w:rPr>
                <w:color w:val="000000"/>
                <w:sz w:val="20"/>
                <w:szCs w:val="20"/>
              </w:rPr>
            </w:pPr>
            <w:r w:rsidRPr="00D33BA5">
              <w:rPr>
                <w:color w:val="000000"/>
                <w:sz w:val="20"/>
                <w:szCs w:val="20"/>
              </w:rPr>
              <w:t>--</w:t>
            </w:r>
          </w:p>
        </w:tc>
        <w:tc>
          <w:tcPr>
            <w:tcW w:w="1260" w:type="dxa"/>
            <w:tcBorders>
              <w:bottom w:val="single" w:sz="4" w:space="0" w:color="auto"/>
            </w:tcBorders>
            <w:vAlign w:val="bottom"/>
          </w:tcPr>
          <w:p w:rsidR="0016150E" w:rsidRPr="00D33BA5" w:rsidRDefault="0016150E" w:rsidP="00CE5646">
            <w:pPr>
              <w:tabs>
                <w:tab w:val="decimal" w:pos="171"/>
              </w:tabs>
              <w:jc w:val="center"/>
              <w:rPr>
                <w:color w:val="000000"/>
                <w:sz w:val="20"/>
                <w:szCs w:val="20"/>
              </w:rPr>
            </w:pPr>
            <w:r w:rsidRPr="00D33BA5">
              <w:rPr>
                <w:color w:val="000000"/>
                <w:sz w:val="20"/>
                <w:szCs w:val="20"/>
              </w:rPr>
              <w:t>--</w:t>
            </w:r>
          </w:p>
        </w:tc>
        <w:tc>
          <w:tcPr>
            <w:tcW w:w="1260" w:type="dxa"/>
            <w:tcBorders>
              <w:bottom w:val="single" w:sz="4" w:space="0" w:color="auto"/>
            </w:tcBorders>
            <w:vAlign w:val="bottom"/>
          </w:tcPr>
          <w:p w:rsidR="0016150E" w:rsidRPr="00D33BA5" w:rsidRDefault="0016150E" w:rsidP="00CE5646">
            <w:pPr>
              <w:tabs>
                <w:tab w:val="decimal" w:pos="189"/>
              </w:tabs>
              <w:jc w:val="center"/>
              <w:rPr>
                <w:color w:val="000000"/>
                <w:sz w:val="20"/>
                <w:szCs w:val="20"/>
              </w:rPr>
            </w:pPr>
            <w:r w:rsidRPr="00D33BA5">
              <w:rPr>
                <w:color w:val="000000"/>
                <w:sz w:val="20"/>
                <w:szCs w:val="20"/>
              </w:rPr>
              <w:t>--</w:t>
            </w:r>
          </w:p>
        </w:tc>
      </w:tr>
    </w:tbl>
    <w:p w:rsidR="00677FB7" w:rsidRPr="00677FB7" w:rsidRDefault="00A67AB5" w:rsidP="00A67AB5">
      <w:pPr>
        <w:spacing w:after="200"/>
      </w:pPr>
      <w:r>
        <w:rPr>
          <w:i/>
        </w:rPr>
        <w:br w:type="page"/>
      </w:r>
      <w:r w:rsidRPr="00677FB7">
        <w:lastRenderedPageBreak/>
        <w:t>Ta</w:t>
      </w:r>
      <w:r w:rsidR="00677FB7" w:rsidRPr="00677FB7">
        <w:t>ble 2</w:t>
      </w:r>
      <w:r w:rsidRPr="00677FB7">
        <w:t xml:space="preserve">  </w:t>
      </w:r>
    </w:p>
    <w:p w:rsidR="00A67AB5" w:rsidRPr="00677FB7" w:rsidRDefault="00A67AB5" w:rsidP="00A67AB5">
      <w:pPr>
        <w:spacing w:after="200"/>
        <w:rPr>
          <w:i/>
        </w:rPr>
      </w:pPr>
      <w:r w:rsidRPr="00677FB7">
        <w:rPr>
          <w:i/>
        </w:rPr>
        <w:t>Overall Meta-Analyses for Sustainability Variables</w:t>
      </w:r>
    </w:p>
    <w:tbl>
      <w:tblPr>
        <w:tblW w:w="10143" w:type="dxa"/>
        <w:tblLook w:val="04A0" w:firstRow="1" w:lastRow="0" w:firstColumn="1" w:lastColumn="0" w:noHBand="0" w:noVBand="1"/>
      </w:tblPr>
      <w:tblGrid>
        <w:gridCol w:w="222"/>
        <w:gridCol w:w="1572"/>
        <w:gridCol w:w="716"/>
        <w:gridCol w:w="416"/>
        <w:gridCol w:w="705"/>
        <w:gridCol w:w="653"/>
        <w:gridCol w:w="636"/>
        <w:gridCol w:w="815"/>
        <w:gridCol w:w="970"/>
        <w:gridCol w:w="950"/>
        <w:gridCol w:w="950"/>
        <w:gridCol w:w="644"/>
        <w:gridCol w:w="283"/>
        <w:gridCol w:w="611"/>
      </w:tblGrid>
      <w:tr w:rsidR="00A67AB5" w:rsidRPr="00D33BA5" w:rsidTr="00CE5646">
        <w:tc>
          <w:tcPr>
            <w:tcW w:w="1794" w:type="dxa"/>
            <w:gridSpan w:val="2"/>
            <w:tcBorders>
              <w:top w:val="single" w:sz="4" w:space="0" w:color="auto"/>
              <w:bottom w:val="single" w:sz="4" w:space="0" w:color="auto"/>
            </w:tcBorders>
            <w:vAlign w:val="bottom"/>
          </w:tcPr>
          <w:p w:rsidR="00A67AB5" w:rsidRPr="00D33BA5" w:rsidRDefault="00A67AB5" w:rsidP="00CE5646">
            <w:pPr>
              <w:rPr>
                <w:b/>
                <w:sz w:val="20"/>
                <w:szCs w:val="20"/>
              </w:rPr>
            </w:pPr>
            <w:r w:rsidRPr="00D33BA5">
              <w:rPr>
                <w:b/>
                <w:sz w:val="20"/>
                <w:szCs w:val="20"/>
              </w:rPr>
              <w:t>Sustainability Variable</w:t>
            </w:r>
          </w:p>
        </w:tc>
        <w:tc>
          <w:tcPr>
            <w:tcW w:w="716" w:type="dxa"/>
            <w:tcBorders>
              <w:top w:val="single" w:sz="4" w:space="0" w:color="auto"/>
              <w:bottom w:val="single" w:sz="4" w:space="0" w:color="auto"/>
            </w:tcBorders>
            <w:vAlign w:val="bottom"/>
          </w:tcPr>
          <w:p w:rsidR="00A67AB5" w:rsidRPr="00D33BA5" w:rsidRDefault="00A67AB5" w:rsidP="00CE5646">
            <w:pPr>
              <w:jc w:val="center"/>
              <w:rPr>
                <w:b/>
                <w:i/>
                <w:sz w:val="20"/>
                <w:szCs w:val="20"/>
              </w:rPr>
            </w:pPr>
            <w:r w:rsidRPr="00D33BA5">
              <w:rPr>
                <w:b/>
                <w:i/>
                <w:sz w:val="20"/>
                <w:szCs w:val="20"/>
              </w:rPr>
              <w:t>N</w:t>
            </w:r>
          </w:p>
        </w:tc>
        <w:tc>
          <w:tcPr>
            <w:tcW w:w="416" w:type="dxa"/>
            <w:tcBorders>
              <w:top w:val="single" w:sz="4" w:space="0" w:color="auto"/>
              <w:bottom w:val="single" w:sz="4" w:space="0" w:color="auto"/>
            </w:tcBorders>
            <w:vAlign w:val="bottom"/>
          </w:tcPr>
          <w:p w:rsidR="00A67AB5" w:rsidRPr="00D33BA5" w:rsidRDefault="00A67AB5" w:rsidP="00CE5646">
            <w:pPr>
              <w:jc w:val="center"/>
              <w:rPr>
                <w:b/>
                <w:i/>
                <w:sz w:val="20"/>
                <w:szCs w:val="20"/>
              </w:rPr>
            </w:pPr>
            <w:r w:rsidRPr="00D33BA5">
              <w:rPr>
                <w:b/>
                <w:i/>
                <w:sz w:val="20"/>
                <w:szCs w:val="20"/>
              </w:rPr>
              <w:t>K</w:t>
            </w:r>
          </w:p>
        </w:tc>
        <w:tc>
          <w:tcPr>
            <w:tcW w:w="705" w:type="dxa"/>
            <w:tcBorders>
              <w:top w:val="single" w:sz="4" w:space="0" w:color="auto"/>
              <w:bottom w:val="single" w:sz="4" w:space="0" w:color="auto"/>
            </w:tcBorders>
            <w:vAlign w:val="bottom"/>
          </w:tcPr>
          <w:p w:rsidR="00A67AB5" w:rsidRDefault="00A67AB5" w:rsidP="00CE5646">
            <w:pPr>
              <w:jc w:val="center"/>
              <w:rPr>
                <w:b/>
                <w:sz w:val="20"/>
                <w:szCs w:val="20"/>
              </w:rPr>
            </w:pPr>
            <w:r>
              <w:rPr>
                <w:b/>
                <w:sz w:val="20"/>
                <w:szCs w:val="20"/>
              </w:rPr>
              <w:t>M</w:t>
            </w:r>
            <w:r w:rsidRPr="00D33BA5">
              <w:rPr>
                <w:b/>
                <w:sz w:val="20"/>
                <w:szCs w:val="20"/>
              </w:rPr>
              <w:t xml:space="preserve">ean </w:t>
            </w:r>
          </w:p>
          <w:p w:rsidR="00A67AB5" w:rsidRPr="00D33BA5" w:rsidRDefault="00A67AB5" w:rsidP="00CE5646">
            <w:pPr>
              <w:jc w:val="center"/>
              <w:rPr>
                <w:b/>
                <w:i/>
                <w:sz w:val="20"/>
                <w:szCs w:val="20"/>
              </w:rPr>
            </w:pPr>
            <w:r>
              <w:rPr>
                <w:b/>
                <w:i/>
                <w:sz w:val="20"/>
                <w:szCs w:val="20"/>
              </w:rPr>
              <w:t>d</w:t>
            </w:r>
            <w:r w:rsidRPr="00284C21">
              <w:rPr>
                <w:b/>
                <w:i/>
                <w:sz w:val="20"/>
                <w:szCs w:val="20"/>
                <w:vertAlign w:val="subscript"/>
              </w:rPr>
              <w:t>obs</w:t>
            </w:r>
          </w:p>
        </w:tc>
        <w:tc>
          <w:tcPr>
            <w:tcW w:w="653" w:type="dxa"/>
            <w:tcBorders>
              <w:top w:val="single" w:sz="4" w:space="0" w:color="auto"/>
              <w:bottom w:val="single" w:sz="4" w:space="0" w:color="auto"/>
            </w:tcBorders>
            <w:vAlign w:val="bottom"/>
          </w:tcPr>
          <w:p w:rsidR="00A67AB5" w:rsidRPr="00D33BA5" w:rsidRDefault="00A67AB5" w:rsidP="00CE5646">
            <w:pPr>
              <w:jc w:val="center"/>
              <w:rPr>
                <w:b/>
                <w:i/>
                <w:sz w:val="20"/>
                <w:szCs w:val="20"/>
                <w:vertAlign w:val="subscript"/>
              </w:rPr>
            </w:pPr>
            <w:proofErr w:type="spellStart"/>
            <w:r w:rsidRPr="00D33BA5">
              <w:rPr>
                <w:b/>
                <w:i/>
                <w:sz w:val="20"/>
                <w:szCs w:val="20"/>
              </w:rPr>
              <w:t>SD</w:t>
            </w:r>
            <w:r>
              <w:rPr>
                <w:b/>
                <w:i/>
                <w:sz w:val="20"/>
                <w:szCs w:val="20"/>
                <w:vertAlign w:val="subscript"/>
              </w:rPr>
              <w:t>obs</w:t>
            </w:r>
            <w:proofErr w:type="spellEnd"/>
          </w:p>
        </w:tc>
        <w:tc>
          <w:tcPr>
            <w:tcW w:w="636" w:type="dxa"/>
            <w:tcBorders>
              <w:top w:val="single" w:sz="4" w:space="0" w:color="auto"/>
              <w:bottom w:val="single" w:sz="4" w:space="0" w:color="auto"/>
            </w:tcBorders>
            <w:vAlign w:val="bottom"/>
          </w:tcPr>
          <w:p w:rsidR="00A67AB5" w:rsidRPr="00D33BA5" w:rsidRDefault="00A67AB5" w:rsidP="00CE5646">
            <w:pPr>
              <w:jc w:val="center"/>
              <w:rPr>
                <w:b/>
                <w:i/>
                <w:sz w:val="20"/>
                <w:szCs w:val="20"/>
                <w:vertAlign w:val="subscript"/>
              </w:rPr>
            </w:pPr>
            <w:proofErr w:type="spellStart"/>
            <w:r w:rsidRPr="00D33BA5">
              <w:rPr>
                <w:b/>
                <w:i/>
                <w:sz w:val="20"/>
                <w:szCs w:val="20"/>
              </w:rPr>
              <w:t>SD</w:t>
            </w:r>
            <w:r w:rsidRPr="00D33BA5">
              <w:rPr>
                <w:b/>
                <w:i/>
                <w:sz w:val="20"/>
                <w:szCs w:val="20"/>
                <w:vertAlign w:val="subscript"/>
              </w:rPr>
              <w:t>res</w:t>
            </w:r>
            <w:proofErr w:type="spellEnd"/>
          </w:p>
        </w:tc>
        <w:tc>
          <w:tcPr>
            <w:tcW w:w="815" w:type="dxa"/>
            <w:tcBorders>
              <w:top w:val="single" w:sz="4" w:space="0" w:color="auto"/>
              <w:bottom w:val="single" w:sz="4" w:space="0" w:color="auto"/>
            </w:tcBorders>
            <w:vAlign w:val="bottom"/>
          </w:tcPr>
          <w:p w:rsidR="00A67AB5" w:rsidRDefault="00A67AB5" w:rsidP="00CE5646">
            <w:pPr>
              <w:jc w:val="center"/>
              <w:rPr>
                <w:b/>
                <w:sz w:val="20"/>
                <w:szCs w:val="20"/>
              </w:rPr>
            </w:pPr>
            <w:r>
              <w:rPr>
                <w:b/>
                <w:sz w:val="20"/>
                <w:szCs w:val="20"/>
              </w:rPr>
              <w:t>Mean</w:t>
            </w:r>
          </w:p>
          <w:p w:rsidR="00A67AB5" w:rsidRPr="00284C21" w:rsidRDefault="00A67AB5" w:rsidP="00CE5646">
            <w:pPr>
              <w:jc w:val="center"/>
              <w:rPr>
                <w:b/>
                <w:i/>
                <w:sz w:val="20"/>
                <w:szCs w:val="20"/>
              </w:rPr>
            </w:pPr>
            <w:proofErr w:type="spellStart"/>
            <w:r w:rsidRPr="00284C21">
              <w:rPr>
                <w:b/>
                <w:i/>
                <w:sz w:val="20"/>
                <w:szCs w:val="20"/>
              </w:rPr>
              <w:t>d</w:t>
            </w:r>
            <w:r w:rsidRPr="00284C21">
              <w:rPr>
                <w:b/>
                <w:i/>
                <w:sz w:val="20"/>
                <w:szCs w:val="20"/>
                <w:vertAlign w:val="subscript"/>
              </w:rPr>
              <w:t>corrected</w:t>
            </w:r>
            <w:proofErr w:type="spellEnd"/>
          </w:p>
        </w:tc>
        <w:tc>
          <w:tcPr>
            <w:tcW w:w="970" w:type="dxa"/>
            <w:tcBorders>
              <w:top w:val="single" w:sz="4" w:space="0" w:color="auto"/>
              <w:bottom w:val="single" w:sz="4" w:space="0" w:color="auto"/>
            </w:tcBorders>
            <w:vAlign w:val="bottom"/>
          </w:tcPr>
          <w:p w:rsidR="00A67AB5" w:rsidRPr="00D33BA5" w:rsidRDefault="00A67AB5" w:rsidP="00CE5646">
            <w:pPr>
              <w:jc w:val="center"/>
              <w:rPr>
                <w:b/>
                <w:i/>
                <w:sz w:val="20"/>
                <w:szCs w:val="20"/>
                <w:vertAlign w:val="subscript"/>
              </w:rPr>
            </w:pPr>
            <w:proofErr w:type="spellStart"/>
            <w:r w:rsidRPr="00D33BA5">
              <w:rPr>
                <w:b/>
                <w:i/>
                <w:sz w:val="20"/>
                <w:szCs w:val="20"/>
              </w:rPr>
              <w:t>SD</w:t>
            </w:r>
            <w:r>
              <w:rPr>
                <w:b/>
                <w:i/>
                <w:sz w:val="20"/>
                <w:szCs w:val="20"/>
                <w:vertAlign w:val="subscript"/>
              </w:rPr>
              <w:t>corrected</w:t>
            </w:r>
            <w:proofErr w:type="spellEnd"/>
          </w:p>
        </w:tc>
        <w:tc>
          <w:tcPr>
            <w:tcW w:w="950" w:type="dxa"/>
            <w:tcBorders>
              <w:top w:val="single" w:sz="4" w:space="0" w:color="auto"/>
              <w:bottom w:val="single" w:sz="4" w:space="0" w:color="auto"/>
            </w:tcBorders>
            <w:vAlign w:val="bottom"/>
          </w:tcPr>
          <w:p w:rsidR="00A67AB5" w:rsidRPr="00D33BA5" w:rsidRDefault="00A67AB5" w:rsidP="00CE5646">
            <w:pPr>
              <w:jc w:val="center"/>
              <w:rPr>
                <w:b/>
                <w:sz w:val="20"/>
                <w:szCs w:val="20"/>
              </w:rPr>
            </w:pPr>
            <w:r w:rsidRPr="00D33BA5">
              <w:rPr>
                <w:b/>
                <w:sz w:val="20"/>
                <w:szCs w:val="20"/>
              </w:rPr>
              <w:t>% variance SE</w:t>
            </w:r>
          </w:p>
        </w:tc>
        <w:tc>
          <w:tcPr>
            <w:tcW w:w="950" w:type="dxa"/>
            <w:tcBorders>
              <w:top w:val="single" w:sz="4" w:space="0" w:color="auto"/>
              <w:bottom w:val="single" w:sz="4" w:space="0" w:color="auto"/>
            </w:tcBorders>
            <w:vAlign w:val="bottom"/>
          </w:tcPr>
          <w:p w:rsidR="00A67AB5" w:rsidRPr="00D33BA5" w:rsidRDefault="00A67AB5" w:rsidP="00CE5646">
            <w:pPr>
              <w:jc w:val="center"/>
              <w:rPr>
                <w:b/>
                <w:sz w:val="20"/>
                <w:szCs w:val="20"/>
              </w:rPr>
            </w:pPr>
            <w:r w:rsidRPr="00D33BA5">
              <w:rPr>
                <w:b/>
                <w:sz w:val="20"/>
                <w:szCs w:val="20"/>
              </w:rPr>
              <w:t>% variance acc. for</w:t>
            </w:r>
          </w:p>
        </w:tc>
        <w:tc>
          <w:tcPr>
            <w:tcW w:w="1538" w:type="dxa"/>
            <w:gridSpan w:val="3"/>
            <w:tcBorders>
              <w:top w:val="single" w:sz="4" w:space="0" w:color="auto"/>
              <w:bottom w:val="single" w:sz="4" w:space="0" w:color="auto"/>
            </w:tcBorders>
            <w:vAlign w:val="bottom"/>
          </w:tcPr>
          <w:p w:rsidR="00A67AB5" w:rsidRPr="00D33BA5" w:rsidRDefault="00A67AB5" w:rsidP="00CE5646">
            <w:pPr>
              <w:jc w:val="center"/>
              <w:rPr>
                <w:b/>
                <w:sz w:val="20"/>
                <w:szCs w:val="20"/>
              </w:rPr>
            </w:pPr>
            <w:r w:rsidRPr="00D33BA5">
              <w:rPr>
                <w:b/>
                <w:sz w:val="20"/>
                <w:szCs w:val="20"/>
              </w:rPr>
              <w:t>90% Credibility Interval</w:t>
            </w:r>
          </w:p>
        </w:tc>
      </w:tr>
      <w:tr w:rsidR="00A67AB5" w:rsidRPr="00D33BA5" w:rsidTr="00CE5646">
        <w:trPr>
          <w:trHeight w:val="68"/>
        </w:trPr>
        <w:tc>
          <w:tcPr>
            <w:tcW w:w="1794" w:type="dxa"/>
            <w:gridSpan w:val="2"/>
          </w:tcPr>
          <w:p w:rsidR="00A67AB5" w:rsidRPr="00D33BA5" w:rsidRDefault="00A67AB5" w:rsidP="00CE5646">
            <w:pPr>
              <w:rPr>
                <w:i/>
                <w:sz w:val="20"/>
                <w:szCs w:val="20"/>
              </w:rPr>
            </w:pPr>
            <w:r w:rsidRPr="00D33BA5">
              <w:rPr>
                <w:i/>
                <w:sz w:val="20"/>
                <w:szCs w:val="20"/>
              </w:rPr>
              <w:t>Attitudes</w:t>
            </w:r>
          </w:p>
        </w:tc>
        <w:tc>
          <w:tcPr>
            <w:tcW w:w="716" w:type="dxa"/>
            <w:vAlign w:val="bottom"/>
          </w:tcPr>
          <w:p w:rsidR="00A67AB5" w:rsidRPr="00D33BA5" w:rsidRDefault="00A67AB5" w:rsidP="00CE5646">
            <w:pPr>
              <w:jc w:val="center"/>
              <w:rPr>
                <w:sz w:val="20"/>
                <w:szCs w:val="20"/>
              </w:rPr>
            </w:pPr>
          </w:p>
        </w:tc>
        <w:tc>
          <w:tcPr>
            <w:tcW w:w="416" w:type="dxa"/>
            <w:vAlign w:val="bottom"/>
          </w:tcPr>
          <w:p w:rsidR="00A67AB5" w:rsidRPr="00D33BA5" w:rsidRDefault="00A67AB5" w:rsidP="00CE5646">
            <w:pPr>
              <w:jc w:val="center"/>
              <w:rPr>
                <w:sz w:val="20"/>
                <w:szCs w:val="20"/>
              </w:rPr>
            </w:pPr>
          </w:p>
        </w:tc>
        <w:tc>
          <w:tcPr>
            <w:tcW w:w="705" w:type="dxa"/>
            <w:vAlign w:val="bottom"/>
          </w:tcPr>
          <w:p w:rsidR="00A67AB5" w:rsidRPr="00D33BA5" w:rsidRDefault="00A67AB5" w:rsidP="00CE5646">
            <w:pPr>
              <w:tabs>
                <w:tab w:val="decimal" w:pos="129"/>
              </w:tabs>
              <w:jc w:val="center"/>
              <w:rPr>
                <w:sz w:val="20"/>
                <w:szCs w:val="20"/>
              </w:rPr>
            </w:pPr>
          </w:p>
        </w:tc>
        <w:tc>
          <w:tcPr>
            <w:tcW w:w="653" w:type="dxa"/>
            <w:vAlign w:val="bottom"/>
          </w:tcPr>
          <w:p w:rsidR="00A67AB5" w:rsidRPr="00D33BA5" w:rsidRDefault="00A67AB5" w:rsidP="00CE5646">
            <w:pPr>
              <w:tabs>
                <w:tab w:val="decimal" w:pos="185"/>
              </w:tabs>
              <w:jc w:val="center"/>
              <w:rPr>
                <w:sz w:val="20"/>
                <w:szCs w:val="20"/>
              </w:rPr>
            </w:pPr>
          </w:p>
        </w:tc>
        <w:tc>
          <w:tcPr>
            <w:tcW w:w="636" w:type="dxa"/>
            <w:vAlign w:val="bottom"/>
          </w:tcPr>
          <w:p w:rsidR="00A67AB5" w:rsidRPr="00D33BA5" w:rsidRDefault="00A67AB5" w:rsidP="00CE5646">
            <w:pPr>
              <w:tabs>
                <w:tab w:val="decimal" w:pos="170"/>
              </w:tabs>
              <w:jc w:val="center"/>
              <w:rPr>
                <w:sz w:val="20"/>
                <w:szCs w:val="20"/>
              </w:rPr>
            </w:pPr>
          </w:p>
        </w:tc>
        <w:tc>
          <w:tcPr>
            <w:tcW w:w="815" w:type="dxa"/>
            <w:vAlign w:val="bottom"/>
          </w:tcPr>
          <w:p w:rsidR="00A67AB5" w:rsidRPr="00D33BA5" w:rsidRDefault="00A67AB5" w:rsidP="00CE5646">
            <w:pPr>
              <w:tabs>
                <w:tab w:val="decimal" w:pos="200"/>
              </w:tabs>
              <w:jc w:val="center"/>
              <w:rPr>
                <w:sz w:val="20"/>
                <w:szCs w:val="20"/>
              </w:rPr>
            </w:pPr>
          </w:p>
        </w:tc>
        <w:tc>
          <w:tcPr>
            <w:tcW w:w="970" w:type="dxa"/>
            <w:vAlign w:val="bottom"/>
          </w:tcPr>
          <w:p w:rsidR="00A67AB5" w:rsidRPr="00D33BA5" w:rsidRDefault="00A67AB5" w:rsidP="00CE5646">
            <w:pPr>
              <w:tabs>
                <w:tab w:val="decimal" w:pos="178"/>
              </w:tabs>
              <w:jc w:val="center"/>
              <w:rPr>
                <w:sz w:val="20"/>
                <w:szCs w:val="20"/>
              </w:rPr>
            </w:pPr>
          </w:p>
        </w:tc>
        <w:tc>
          <w:tcPr>
            <w:tcW w:w="950" w:type="dxa"/>
            <w:vAlign w:val="bottom"/>
          </w:tcPr>
          <w:p w:rsidR="00A67AB5" w:rsidRPr="00D33BA5" w:rsidRDefault="00A67AB5" w:rsidP="00CE5646">
            <w:pPr>
              <w:tabs>
                <w:tab w:val="decimal" w:pos="171"/>
              </w:tabs>
              <w:jc w:val="center"/>
              <w:rPr>
                <w:sz w:val="20"/>
                <w:szCs w:val="20"/>
              </w:rPr>
            </w:pPr>
          </w:p>
        </w:tc>
        <w:tc>
          <w:tcPr>
            <w:tcW w:w="950" w:type="dxa"/>
            <w:vAlign w:val="bottom"/>
          </w:tcPr>
          <w:p w:rsidR="00A67AB5" w:rsidRPr="00D33BA5" w:rsidRDefault="00A67AB5" w:rsidP="00CE5646">
            <w:pPr>
              <w:tabs>
                <w:tab w:val="decimal" w:pos="189"/>
              </w:tabs>
              <w:jc w:val="center"/>
              <w:rPr>
                <w:sz w:val="20"/>
                <w:szCs w:val="20"/>
              </w:rPr>
            </w:pPr>
          </w:p>
        </w:tc>
        <w:tc>
          <w:tcPr>
            <w:tcW w:w="644" w:type="dxa"/>
            <w:vAlign w:val="bottom"/>
          </w:tcPr>
          <w:p w:rsidR="00A67AB5" w:rsidRPr="00D33BA5" w:rsidRDefault="00A67AB5" w:rsidP="00CE5646">
            <w:pPr>
              <w:tabs>
                <w:tab w:val="decimal" w:pos="177"/>
              </w:tabs>
              <w:jc w:val="center"/>
              <w:rPr>
                <w:sz w:val="20"/>
                <w:szCs w:val="20"/>
              </w:rPr>
            </w:pPr>
          </w:p>
        </w:tc>
        <w:tc>
          <w:tcPr>
            <w:tcW w:w="283" w:type="dxa"/>
            <w:vAlign w:val="bottom"/>
          </w:tcPr>
          <w:p w:rsidR="00A67AB5" w:rsidRPr="00D33BA5" w:rsidRDefault="00A67AB5" w:rsidP="00CE5646">
            <w:pPr>
              <w:jc w:val="center"/>
              <w:rPr>
                <w:color w:val="000000"/>
                <w:sz w:val="20"/>
                <w:szCs w:val="20"/>
              </w:rPr>
            </w:pPr>
          </w:p>
        </w:tc>
        <w:tc>
          <w:tcPr>
            <w:tcW w:w="611" w:type="dxa"/>
            <w:vAlign w:val="bottom"/>
          </w:tcPr>
          <w:p w:rsidR="00A67AB5" w:rsidRPr="00D33BA5" w:rsidRDefault="00A67AB5" w:rsidP="00CE5646">
            <w:pPr>
              <w:tabs>
                <w:tab w:val="decimal" w:pos="145"/>
              </w:tabs>
              <w:jc w:val="center"/>
              <w:rPr>
                <w:sz w:val="20"/>
                <w:szCs w:val="20"/>
              </w:rPr>
            </w:pPr>
          </w:p>
        </w:tc>
      </w:tr>
      <w:tr w:rsidR="00A67AB5" w:rsidRPr="00D33BA5" w:rsidTr="00CE5646">
        <w:tc>
          <w:tcPr>
            <w:tcW w:w="222" w:type="dxa"/>
          </w:tcPr>
          <w:p w:rsidR="00A67AB5" w:rsidRPr="00D33BA5" w:rsidRDefault="00A67AB5" w:rsidP="00CE5646">
            <w:pPr>
              <w:rPr>
                <w:sz w:val="20"/>
                <w:szCs w:val="20"/>
              </w:rPr>
            </w:pPr>
          </w:p>
        </w:tc>
        <w:tc>
          <w:tcPr>
            <w:tcW w:w="1572" w:type="dxa"/>
          </w:tcPr>
          <w:p w:rsidR="00A67AB5" w:rsidRPr="00D33BA5" w:rsidRDefault="00A67AB5" w:rsidP="00CE5646">
            <w:pPr>
              <w:rPr>
                <w:sz w:val="20"/>
                <w:szCs w:val="20"/>
              </w:rPr>
            </w:pPr>
            <w:r w:rsidRPr="00D33BA5">
              <w:rPr>
                <w:sz w:val="20"/>
                <w:szCs w:val="20"/>
              </w:rPr>
              <w:t>Commitment</w:t>
            </w:r>
          </w:p>
        </w:tc>
        <w:tc>
          <w:tcPr>
            <w:tcW w:w="716" w:type="dxa"/>
            <w:vAlign w:val="bottom"/>
          </w:tcPr>
          <w:p w:rsidR="00A67AB5" w:rsidRPr="00D33BA5" w:rsidRDefault="00A67AB5" w:rsidP="00CE5646">
            <w:pPr>
              <w:jc w:val="center"/>
              <w:rPr>
                <w:sz w:val="20"/>
                <w:szCs w:val="20"/>
              </w:rPr>
            </w:pPr>
            <w:r>
              <w:rPr>
                <w:sz w:val="20"/>
                <w:szCs w:val="20"/>
              </w:rPr>
              <w:t>3540</w:t>
            </w:r>
          </w:p>
        </w:tc>
        <w:tc>
          <w:tcPr>
            <w:tcW w:w="416" w:type="dxa"/>
            <w:vAlign w:val="bottom"/>
          </w:tcPr>
          <w:p w:rsidR="00A67AB5" w:rsidRPr="00D33BA5" w:rsidRDefault="00A67AB5" w:rsidP="00CE5646">
            <w:pPr>
              <w:jc w:val="center"/>
              <w:rPr>
                <w:sz w:val="20"/>
                <w:szCs w:val="20"/>
              </w:rPr>
            </w:pPr>
            <w:r>
              <w:rPr>
                <w:sz w:val="20"/>
                <w:szCs w:val="20"/>
              </w:rPr>
              <w:t>7</w:t>
            </w:r>
          </w:p>
        </w:tc>
        <w:tc>
          <w:tcPr>
            <w:tcW w:w="705" w:type="dxa"/>
            <w:vAlign w:val="bottom"/>
          </w:tcPr>
          <w:p w:rsidR="00A67AB5" w:rsidRPr="00D33BA5" w:rsidRDefault="00A67AB5" w:rsidP="00CE5646">
            <w:pPr>
              <w:tabs>
                <w:tab w:val="decimal" w:pos="129"/>
              </w:tabs>
              <w:jc w:val="center"/>
              <w:rPr>
                <w:color w:val="000000"/>
                <w:sz w:val="20"/>
                <w:szCs w:val="20"/>
              </w:rPr>
            </w:pPr>
            <w:r w:rsidRPr="00D33BA5">
              <w:rPr>
                <w:color w:val="000000"/>
                <w:sz w:val="20"/>
                <w:szCs w:val="20"/>
              </w:rPr>
              <w:t>.</w:t>
            </w:r>
            <w:r>
              <w:rPr>
                <w:color w:val="000000"/>
                <w:sz w:val="20"/>
                <w:szCs w:val="20"/>
              </w:rPr>
              <w:t>22</w:t>
            </w:r>
          </w:p>
        </w:tc>
        <w:tc>
          <w:tcPr>
            <w:tcW w:w="653" w:type="dxa"/>
            <w:vAlign w:val="bottom"/>
          </w:tcPr>
          <w:p w:rsidR="00A67AB5" w:rsidRPr="00D33BA5" w:rsidRDefault="00A67AB5" w:rsidP="00CE5646">
            <w:pPr>
              <w:tabs>
                <w:tab w:val="decimal" w:pos="185"/>
              </w:tabs>
              <w:jc w:val="center"/>
              <w:rPr>
                <w:color w:val="000000"/>
                <w:sz w:val="20"/>
                <w:szCs w:val="20"/>
              </w:rPr>
            </w:pPr>
            <w:r w:rsidRPr="00D33BA5">
              <w:rPr>
                <w:color w:val="000000"/>
                <w:sz w:val="20"/>
                <w:szCs w:val="20"/>
              </w:rPr>
              <w:t>.</w:t>
            </w:r>
            <w:r>
              <w:rPr>
                <w:color w:val="000000"/>
                <w:sz w:val="20"/>
                <w:szCs w:val="20"/>
              </w:rPr>
              <w:t>18</w:t>
            </w:r>
          </w:p>
        </w:tc>
        <w:tc>
          <w:tcPr>
            <w:tcW w:w="636" w:type="dxa"/>
            <w:vAlign w:val="bottom"/>
          </w:tcPr>
          <w:p w:rsidR="00A67AB5" w:rsidRPr="00D33BA5" w:rsidRDefault="00A67AB5" w:rsidP="00CE5646">
            <w:pPr>
              <w:tabs>
                <w:tab w:val="decimal" w:pos="170"/>
              </w:tabs>
              <w:jc w:val="center"/>
              <w:rPr>
                <w:color w:val="000000"/>
                <w:sz w:val="20"/>
                <w:szCs w:val="20"/>
              </w:rPr>
            </w:pPr>
            <w:r w:rsidRPr="00D33BA5">
              <w:rPr>
                <w:color w:val="000000"/>
                <w:sz w:val="20"/>
                <w:szCs w:val="20"/>
              </w:rPr>
              <w:t>.</w:t>
            </w:r>
            <w:r>
              <w:rPr>
                <w:color w:val="000000"/>
                <w:sz w:val="20"/>
                <w:szCs w:val="20"/>
              </w:rPr>
              <w:t>16</w:t>
            </w:r>
          </w:p>
        </w:tc>
        <w:tc>
          <w:tcPr>
            <w:tcW w:w="815" w:type="dxa"/>
            <w:vAlign w:val="bottom"/>
          </w:tcPr>
          <w:p w:rsidR="00A67AB5" w:rsidRPr="00D33BA5" w:rsidRDefault="00A67AB5" w:rsidP="00CE5646">
            <w:pPr>
              <w:tabs>
                <w:tab w:val="decimal" w:pos="200"/>
              </w:tabs>
              <w:jc w:val="center"/>
              <w:rPr>
                <w:color w:val="000000"/>
                <w:sz w:val="20"/>
                <w:szCs w:val="20"/>
              </w:rPr>
            </w:pPr>
            <w:r w:rsidRPr="00D33BA5">
              <w:rPr>
                <w:color w:val="000000"/>
                <w:sz w:val="20"/>
                <w:szCs w:val="20"/>
              </w:rPr>
              <w:t>.</w:t>
            </w:r>
            <w:r>
              <w:rPr>
                <w:color w:val="000000"/>
                <w:sz w:val="20"/>
                <w:szCs w:val="20"/>
              </w:rPr>
              <w:t>28</w:t>
            </w:r>
          </w:p>
        </w:tc>
        <w:tc>
          <w:tcPr>
            <w:tcW w:w="970" w:type="dxa"/>
            <w:vAlign w:val="bottom"/>
          </w:tcPr>
          <w:p w:rsidR="00A67AB5" w:rsidRPr="00D33BA5" w:rsidRDefault="00A67AB5" w:rsidP="00CE5646">
            <w:pPr>
              <w:tabs>
                <w:tab w:val="decimal" w:pos="178"/>
              </w:tabs>
              <w:jc w:val="center"/>
              <w:rPr>
                <w:color w:val="000000"/>
                <w:sz w:val="20"/>
                <w:szCs w:val="20"/>
              </w:rPr>
            </w:pPr>
            <w:r w:rsidRPr="00D33BA5">
              <w:rPr>
                <w:color w:val="000000"/>
                <w:sz w:val="20"/>
                <w:szCs w:val="20"/>
              </w:rPr>
              <w:t>.</w:t>
            </w:r>
            <w:r>
              <w:rPr>
                <w:color w:val="000000"/>
                <w:sz w:val="20"/>
                <w:szCs w:val="20"/>
              </w:rPr>
              <w:t>20</w:t>
            </w:r>
          </w:p>
        </w:tc>
        <w:tc>
          <w:tcPr>
            <w:tcW w:w="950" w:type="dxa"/>
            <w:vAlign w:val="bottom"/>
          </w:tcPr>
          <w:p w:rsidR="00A67AB5" w:rsidRPr="00D33BA5" w:rsidRDefault="00A67AB5" w:rsidP="00CE5646">
            <w:pPr>
              <w:tabs>
                <w:tab w:val="decimal" w:pos="171"/>
              </w:tabs>
              <w:jc w:val="center"/>
              <w:rPr>
                <w:color w:val="000000"/>
                <w:sz w:val="20"/>
                <w:szCs w:val="20"/>
              </w:rPr>
            </w:pPr>
            <w:r>
              <w:rPr>
                <w:color w:val="000000"/>
                <w:sz w:val="20"/>
                <w:szCs w:val="20"/>
              </w:rPr>
              <w:t>23.86</w:t>
            </w:r>
          </w:p>
        </w:tc>
        <w:tc>
          <w:tcPr>
            <w:tcW w:w="950" w:type="dxa"/>
            <w:vAlign w:val="bottom"/>
          </w:tcPr>
          <w:p w:rsidR="00A67AB5" w:rsidRPr="00D33BA5" w:rsidRDefault="00A67AB5" w:rsidP="00CE5646">
            <w:pPr>
              <w:tabs>
                <w:tab w:val="decimal" w:pos="189"/>
              </w:tabs>
              <w:jc w:val="center"/>
              <w:rPr>
                <w:color w:val="000000"/>
                <w:sz w:val="20"/>
                <w:szCs w:val="20"/>
              </w:rPr>
            </w:pPr>
            <w:r>
              <w:rPr>
                <w:color w:val="000000"/>
                <w:sz w:val="20"/>
                <w:szCs w:val="20"/>
              </w:rPr>
              <w:t>27.53</w:t>
            </w:r>
          </w:p>
        </w:tc>
        <w:tc>
          <w:tcPr>
            <w:tcW w:w="644" w:type="dxa"/>
            <w:vAlign w:val="bottom"/>
          </w:tcPr>
          <w:p w:rsidR="00A67AB5" w:rsidRPr="00D33BA5" w:rsidRDefault="00A67AB5" w:rsidP="00CE5646">
            <w:pPr>
              <w:tabs>
                <w:tab w:val="decimal" w:pos="177"/>
              </w:tabs>
              <w:jc w:val="center"/>
              <w:rPr>
                <w:color w:val="000000"/>
                <w:sz w:val="20"/>
                <w:szCs w:val="20"/>
              </w:rPr>
            </w:pPr>
            <w:r w:rsidRPr="00D33BA5">
              <w:rPr>
                <w:color w:val="000000"/>
                <w:sz w:val="20"/>
                <w:szCs w:val="20"/>
              </w:rPr>
              <w:t>-.</w:t>
            </w:r>
            <w:r>
              <w:rPr>
                <w:color w:val="000000"/>
                <w:sz w:val="20"/>
                <w:szCs w:val="20"/>
              </w:rPr>
              <w:t>04</w:t>
            </w:r>
          </w:p>
        </w:tc>
        <w:tc>
          <w:tcPr>
            <w:tcW w:w="283" w:type="dxa"/>
            <w:vAlign w:val="bottom"/>
          </w:tcPr>
          <w:p w:rsidR="00A67AB5" w:rsidRPr="00D33BA5" w:rsidRDefault="00A67AB5" w:rsidP="00CE5646">
            <w:pPr>
              <w:jc w:val="center"/>
              <w:rPr>
                <w:sz w:val="20"/>
                <w:szCs w:val="20"/>
              </w:rPr>
            </w:pPr>
            <w:r w:rsidRPr="00D33BA5">
              <w:rPr>
                <w:sz w:val="20"/>
                <w:szCs w:val="20"/>
              </w:rPr>
              <w:t>-</w:t>
            </w:r>
          </w:p>
        </w:tc>
        <w:tc>
          <w:tcPr>
            <w:tcW w:w="611" w:type="dxa"/>
            <w:vAlign w:val="bottom"/>
          </w:tcPr>
          <w:p w:rsidR="00A67AB5" w:rsidRPr="00D33BA5" w:rsidRDefault="00A67AB5" w:rsidP="00CE5646">
            <w:pPr>
              <w:tabs>
                <w:tab w:val="decimal" w:pos="145"/>
              </w:tabs>
              <w:jc w:val="center"/>
              <w:rPr>
                <w:color w:val="000000"/>
                <w:sz w:val="20"/>
                <w:szCs w:val="20"/>
              </w:rPr>
            </w:pPr>
            <w:r w:rsidRPr="00D33BA5">
              <w:rPr>
                <w:color w:val="000000"/>
                <w:sz w:val="20"/>
                <w:szCs w:val="20"/>
              </w:rPr>
              <w:t>.</w:t>
            </w:r>
            <w:r>
              <w:rPr>
                <w:color w:val="000000"/>
                <w:sz w:val="20"/>
                <w:szCs w:val="20"/>
              </w:rPr>
              <w:t>60</w:t>
            </w:r>
          </w:p>
        </w:tc>
      </w:tr>
      <w:tr w:rsidR="00A67AB5" w:rsidRPr="00D33BA5" w:rsidTr="00CE5646">
        <w:tc>
          <w:tcPr>
            <w:tcW w:w="222" w:type="dxa"/>
          </w:tcPr>
          <w:p w:rsidR="00A67AB5" w:rsidRPr="00D33BA5" w:rsidRDefault="00A67AB5" w:rsidP="00CE5646">
            <w:pPr>
              <w:rPr>
                <w:sz w:val="20"/>
                <w:szCs w:val="20"/>
              </w:rPr>
            </w:pPr>
          </w:p>
        </w:tc>
        <w:tc>
          <w:tcPr>
            <w:tcW w:w="1572" w:type="dxa"/>
          </w:tcPr>
          <w:p w:rsidR="00A67AB5" w:rsidRPr="00D33BA5" w:rsidRDefault="00A67AB5" w:rsidP="00CE5646">
            <w:pPr>
              <w:rPr>
                <w:sz w:val="20"/>
                <w:szCs w:val="20"/>
              </w:rPr>
            </w:pPr>
            <w:r w:rsidRPr="00D33BA5">
              <w:rPr>
                <w:sz w:val="20"/>
                <w:szCs w:val="20"/>
              </w:rPr>
              <w:t>Specific Issues/Behaviors</w:t>
            </w:r>
          </w:p>
        </w:tc>
        <w:tc>
          <w:tcPr>
            <w:tcW w:w="716" w:type="dxa"/>
            <w:vAlign w:val="bottom"/>
          </w:tcPr>
          <w:p w:rsidR="00A67AB5" w:rsidRPr="00D33BA5" w:rsidRDefault="00A67AB5" w:rsidP="00CE5646">
            <w:pPr>
              <w:jc w:val="center"/>
              <w:rPr>
                <w:color w:val="000000"/>
                <w:sz w:val="20"/>
                <w:szCs w:val="20"/>
              </w:rPr>
            </w:pPr>
            <w:r>
              <w:rPr>
                <w:color w:val="000000"/>
                <w:sz w:val="20"/>
                <w:szCs w:val="20"/>
              </w:rPr>
              <w:t>24092</w:t>
            </w:r>
          </w:p>
        </w:tc>
        <w:tc>
          <w:tcPr>
            <w:tcW w:w="416" w:type="dxa"/>
            <w:vAlign w:val="bottom"/>
          </w:tcPr>
          <w:p w:rsidR="00A67AB5" w:rsidRPr="00D33BA5" w:rsidRDefault="00A67AB5" w:rsidP="00CE5646">
            <w:pPr>
              <w:jc w:val="center"/>
              <w:rPr>
                <w:color w:val="000000"/>
                <w:sz w:val="20"/>
                <w:szCs w:val="20"/>
              </w:rPr>
            </w:pPr>
            <w:r>
              <w:rPr>
                <w:color w:val="000000"/>
                <w:sz w:val="20"/>
                <w:szCs w:val="20"/>
              </w:rPr>
              <w:t>31</w:t>
            </w:r>
          </w:p>
        </w:tc>
        <w:tc>
          <w:tcPr>
            <w:tcW w:w="705" w:type="dxa"/>
            <w:vAlign w:val="bottom"/>
          </w:tcPr>
          <w:p w:rsidR="00A67AB5" w:rsidRPr="00D33BA5" w:rsidRDefault="00A67AB5" w:rsidP="00CE5646">
            <w:pPr>
              <w:tabs>
                <w:tab w:val="decimal" w:pos="129"/>
              </w:tabs>
              <w:jc w:val="center"/>
              <w:rPr>
                <w:color w:val="000000"/>
                <w:sz w:val="20"/>
                <w:szCs w:val="20"/>
              </w:rPr>
            </w:pPr>
            <w:r w:rsidRPr="00D33BA5">
              <w:rPr>
                <w:color w:val="000000"/>
                <w:sz w:val="20"/>
                <w:szCs w:val="20"/>
              </w:rPr>
              <w:t>.</w:t>
            </w:r>
            <w:r>
              <w:rPr>
                <w:color w:val="000000"/>
                <w:sz w:val="20"/>
                <w:szCs w:val="20"/>
              </w:rPr>
              <w:t>09</w:t>
            </w:r>
          </w:p>
        </w:tc>
        <w:tc>
          <w:tcPr>
            <w:tcW w:w="653" w:type="dxa"/>
            <w:vAlign w:val="bottom"/>
          </w:tcPr>
          <w:p w:rsidR="00A67AB5" w:rsidRPr="00D33BA5" w:rsidRDefault="00A67AB5" w:rsidP="00CE5646">
            <w:pPr>
              <w:tabs>
                <w:tab w:val="decimal" w:pos="185"/>
              </w:tabs>
              <w:jc w:val="center"/>
              <w:rPr>
                <w:color w:val="000000"/>
                <w:sz w:val="20"/>
                <w:szCs w:val="20"/>
              </w:rPr>
            </w:pPr>
            <w:r w:rsidRPr="00D33BA5">
              <w:rPr>
                <w:color w:val="000000"/>
                <w:sz w:val="20"/>
                <w:szCs w:val="20"/>
              </w:rPr>
              <w:t>.</w:t>
            </w:r>
            <w:r>
              <w:rPr>
                <w:color w:val="000000"/>
                <w:sz w:val="20"/>
                <w:szCs w:val="20"/>
              </w:rPr>
              <w:t>22</w:t>
            </w:r>
          </w:p>
        </w:tc>
        <w:tc>
          <w:tcPr>
            <w:tcW w:w="636" w:type="dxa"/>
            <w:vAlign w:val="bottom"/>
          </w:tcPr>
          <w:p w:rsidR="00A67AB5" w:rsidRPr="00D33BA5" w:rsidRDefault="00A67AB5" w:rsidP="00CE5646">
            <w:pPr>
              <w:tabs>
                <w:tab w:val="decimal" w:pos="170"/>
              </w:tabs>
              <w:jc w:val="center"/>
              <w:rPr>
                <w:color w:val="000000"/>
                <w:sz w:val="20"/>
                <w:szCs w:val="20"/>
              </w:rPr>
            </w:pPr>
            <w:r w:rsidRPr="00D33BA5">
              <w:rPr>
                <w:color w:val="000000"/>
                <w:sz w:val="20"/>
                <w:szCs w:val="20"/>
              </w:rPr>
              <w:t>.</w:t>
            </w:r>
            <w:r>
              <w:rPr>
                <w:color w:val="000000"/>
                <w:sz w:val="20"/>
                <w:szCs w:val="20"/>
              </w:rPr>
              <w:t>20</w:t>
            </w:r>
          </w:p>
        </w:tc>
        <w:tc>
          <w:tcPr>
            <w:tcW w:w="815" w:type="dxa"/>
            <w:vAlign w:val="bottom"/>
          </w:tcPr>
          <w:p w:rsidR="00A67AB5" w:rsidRPr="00D33BA5" w:rsidRDefault="00A67AB5" w:rsidP="00CE5646">
            <w:pPr>
              <w:tabs>
                <w:tab w:val="decimal" w:pos="200"/>
              </w:tabs>
              <w:jc w:val="center"/>
              <w:rPr>
                <w:color w:val="000000"/>
                <w:sz w:val="20"/>
                <w:szCs w:val="20"/>
              </w:rPr>
            </w:pPr>
            <w:r w:rsidRPr="00D33BA5">
              <w:rPr>
                <w:color w:val="000000"/>
                <w:sz w:val="20"/>
                <w:szCs w:val="20"/>
              </w:rPr>
              <w:t>.1</w:t>
            </w:r>
            <w:r>
              <w:rPr>
                <w:color w:val="000000"/>
                <w:sz w:val="20"/>
                <w:szCs w:val="20"/>
              </w:rPr>
              <w:t>1</w:t>
            </w:r>
          </w:p>
        </w:tc>
        <w:tc>
          <w:tcPr>
            <w:tcW w:w="970" w:type="dxa"/>
            <w:vAlign w:val="bottom"/>
          </w:tcPr>
          <w:p w:rsidR="00A67AB5" w:rsidRPr="00D33BA5" w:rsidRDefault="00A67AB5" w:rsidP="00CE5646">
            <w:pPr>
              <w:tabs>
                <w:tab w:val="decimal" w:pos="178"/>
              </w:tabs>
              <w:jc w:val="center"/>
              <w:rPr>
                <w:color w:val="000000"/>
                <w:sz w:val="20"/>
                <w:szCs w:val="20"/>
              </w:rPr>
            </w:pPr>
            <w:r w:rsidRPr="00D33BA5">
              <w:rPr>
                <w:color w:val="000000"/>
                <w:sz w:val="20"/>
                <w:szCs w:val="20"/>
              </w:rPr>
              <w:t>.</w:t>
            </w:r>
            <w:r>
              <w:rPr>
                <w:color w:val="000000"/>
                <w:sz w:val="20"/>
                <w:szCs w:val="20"/>
              </w:rPr>
              <w:t>23</w:t>
            </w:r>
          </w:p>
        </w:tc>
        <w:tc>
          <w:tcPr>
            <w:tcW w:w="950" w:type="dxa"/>
            <w:vAlign w:val="bottom"/>
          </w:tcPr>
          <w:p w:rsidR="00A67AB5" w:rsidRPr="00D33BA5" w:rsidRDefault="00A67AB5" w:rsidP="00CE5646">
            <w:pPr>
              <w:tabs>
                <w:tab w:val="decimal" w:pos="171"/>
              </w:tabs>
              <w:jc w:val="center"/>
              <w:rPr>
                <w:color w:val="000000"/>
                <w:sz w:val="20"/>
                <w:szCs w:val="20"/>
              </w:rPr>
            </w:pPr>
            <w:r>
              <w:rPr>
                <w:color w:val="000000"/>
                <w:sz w:val="20"/>
                <w:szCs w:val="20"/>
              </w:rPr>
              <w:t>10.91</w:t>
            </w:r>
          </w:p>
        </w:tc>
        <w:tc>
          <w:tcPr>
            <w:tcW w:w="950" w:type="dxa"/>
            <w:vAlign w:val="bottom"/>
          </w:tcPr>
          <w:p w:rsidR="00A67AB5" w:rsidRPr="00D33BA5" w:rsidRDefault="00A67AB5" w:rsidP="00CE5646">
            <w:pPr>
              <w:tabs>
                <w:tab w:val="decimal" w:pos="189"/>
              </w:tabs>
              <w:jc w:val="center"/>
              <w:rPr>
                <w:color w:val="000000"/>
                <w:sz w:val="20"/>
                <w:szCs w:val="20"/>
              </w:rPr>
            </w:pPr>
            <w:r w:rsidRPr="00D33BA5">
              <w:rPr>
                <w:color w:val="000000"/>
                <w:sz w:val="20"/>
                <w:szCs w:val="20"/>
              </w:rPr>
              <w:t>10.</w:t>
            </w:r>
            <w:r>
              <w:rPr>
                <w:color w:val="000000"/>
                <w:sz w:val="20"/>
                <w:szCs w:val="20"/>
              </w:rPr>
              <w:t>99</w:t>
            </w:r>
          </w:p>
        </w:tc>
        <w:tc>
          <w:tcPr>
            <w:tcW w:w="644" w:type="dxa"/>
            <w:vAlign w:val="bottom"/>
          </w:tcPr>
          <w:p w:rsidR="00A67AB5" w:rsidRPr="00D33BA5" w:rsidRDefault="00A67AB5" w:rsidP="00CE5646">
            <w:pPr>
              <w:tabs>
                <w:tab w:val="decimal" w:pos="177"/>
              </w:tabs>
              <w:jc w:val="center"/>
              <w:rPr>
                <w:color w:val="000000"/>
                <w:sz w:val="20"/>
                <w:szCs w:val="20"/>
              </w:rPr>
            </w:pPr>
            <w:r w:rsidRPr="00D33BA5">
              <w:rPr>
                <w:color w:val="000000"/>
                <w:sz w:val="20"/>
                <w:szCs w:val="20"/>
              </w:rPr>
              <w:t>-.</w:t>
            </w:r>
            <w:r>
              <w:rPr>
                <w:color w:val="000000"/>
                <w:sz w:val="20"/>
                <w:szCs w:val="20"/>
              </w:rPr>
              <w:t>28</w:t>
            </w:r>
          </w:p>
        </w:tc>
        <w:tc>
          <w:tcPr>
            <w:tcW w:w="283" w:type="dxa"/>
            <w:vAlign w:val="bottom"/>
          </w:tcPr>
          <w:p w:rsidR="00A67AB5" w:rsidRPr="00D33BA5" w:rsidRDefault="00A67AB5" w:rsidP="00CE5646">
            <w:pPr>
              <w:jc w:val="center"/>
              <w:rPr>
                <w:sz w:val="20"/>
                <w:szCs w:val="20"/>
              </w:rPr>
            </w:pPr>
            <w:r w:rsidRPr="00D33BA5">
              <w:rPr>
                <w:sz w:val="20"/>
                <w:szCs w:val="20"/>
              </w:rPr>
              <w:t>-</w:t>
            </w:r>
          </w:p>
        </w:tc>
        <w:tc>
          <w:tcPr>
            <w:tcW w:w="611" w:type="dxa"/>
            <w:vAlign w:val="bottom"/>
          </w:tcPr>
          <w:p w:rsidR="00A67AB5" w:rsidRPr="00D33BA5" w:rsidRDefault="00A67AB5" w:rsidP="00CE5646">
            <w:pPr>
              <w:tabs>
                <w:tab w:val="decimal" w:pos="145"/>
              </w:tabs>
              <w:jc w:val="center"/>
              <w:rPr>
                <w:color w:val="000000"/>
                <w:sz w:val="20"/>
                <w:szCs w:val="20"/>
              </w:rPr>
            </w:pPr>
            <w:r w:rsidRPr="00D33BA5">
              <w:rPr>
                <w:color w:val="000000"/>
                <w:sz w:val="20"/>
                <w:szCs w:val="20"/>
              </w:rPr>
              <w:t>.</w:t>
            </w:r>
            <w:r>
              <w:rPr>
                <w:color w:val="000000"/>
                <w:sz w:val="20"/>
                <w:szCs w:val="20"/>
              </w:rPr>
              <w:t>49</w:t>
            </w:r>
          </w:p>
        </w:tc>
      </w:tr>
      <w:tr w:rsidR="00A67AB5" w:rsidRPr="00D33BA5" w:rsidTr="00CE5646">
        <w:tc>
          <w:tcPr>
            <w:tcW w:w="1794" w:type="dxa"/>
            <w:gridSpan w:val="2"/>
          </w:tcPr>
          <w:p w:rsidR="00A67AB5" w:rsidRPr="00D33BA5" w:rsidRDefault="00A67AB5" w:rsidP="00CE5646">
            <w:pPr>
              <w:rPr>
                <w:i/>
                <w:sz w:val="20"/>
                <w:szCs w:val="20"/>
              </w:rPr>
            </w:pPr>
            <w:r w:rsidRPr="00D33BA5">
              <w:rPr>
                <w:i/>
                <w:sz w:val="20"/>
                <w:szCs w:val="20"/>
              </w:rPr>
              <w:t>Values</w:t>
            </w:r>
          </w:p>
        </w:tc>
        <w:tc>
          <w:tcPr>
            <w:tcW w:w="716" w:type="dxa"/>
            <w:vAlign w:val="bottom"/>
          </w:tcPr>
          <w:p w:rsidR="00A67AB5" w:rsidRPr="00D33BA5" w:rsidRDefault="00A67AB5" w:rsidP="00CE5646">
            <w:pPr>
              <w:jc w:val="center"/>
              <w:rPr>
                <w:color w:val="000000"/>
                <w:sz w:val="20"/>
                <w:szCs w:val="20"/>
              </w:rPr>
            </w:pPr>
            <w:r>
              <w:rPr>
                <w:color w:val="000000"/>
                <w:sz w:val="20"/>
                <w:szCs w:val="20"/>
              </w:rPr>
              <w:t>8981</w:t>
            </w:r>
          </w:p>
        </w:tc>
        <w:tc>
          <w:tcPr>
            <w:tcW w:w="416" w:type="dxa"/>
            <w:vAlign w:val="bottom"/>
          </w:tcPr>
          <w:p w:rsidR="00A67AB5" w:rsidRPr="00D33BA5" w:rsidRDefault="00A67AB5" w:rsidP="00CE5646">
            <w:pPr>
              <w:jc w:val="center"/>
              <w:rPr>
                <w:color w:val="000000"/>
                <w:sz w:val="20"/>
                <w:szCs w:val="20"/>
              </w:rPr>
            </w:pPr>
            <w:r>
              <w:rPr>
                <w:color w:val="000000"/>
                <w:sz w:val="20"/>
                <w:szCs w:val="20"/>
              </w:rPr>
              <w:t>18</w:t>
            </w:r>
          </w:p>
        </w:tc>
        <w:tc>
          <w:tcPr>
            <w:tcW w:w="705" w:type="dxa"/>
            <w:vAlign w:val="bottom"/>
          </w:tcPr>
          <w:p w:rsidR="00A67AB5" w:rsidRPr="00D33BA5" w:rsidRDefault="00A67AB5" w:rsidP="00CE5646">
            <w:pPr>
              <w:tabs>
                <w:tab w:val="decimal" w:pos="129"/>
              </w:tabs>
              <w:jc w:val="center"/>
              <w:rPr>
                <w:color w:val="000000"/>
                <w:sz w:val="20"/>
                <w:szCs w:val="20"/>
              </w:rPr>
            </w:pPr>
            <w:r w:rsidRPr="00D33BA5">
              <w:rPr>
                <w:color w:val="000000"/>
                <w:sz w:val="20"/>
                <w:szCs w:val="20"/>
              </w:rPr>
              <w:t>.</w:t>
            </w:r>
            <w:r>
              <w:rPr>
                <w:color w:val="000000"/>
                <w:sz w:val="20"/>
                <w:szCs w:val="20"/>
              </w:rPr>
              <w:t>19</w:t>
            </w:r>
          </w:p>
        </w:tc>
        <w:tc>
          <w:tcPr>
            <w:tcW w:w="653" w:type="dxa"/>
            <w:vAlign w:val="bottom"/>
          </w:tcPr>
          <w:p w:rsidR="00A67AB5" w:rsidRPr="00D33BA5" w:rsidRDefault="00A67AB5" w:rsidP="00CE5646">
            <w:pPr>
              <w:tabs>
                <w:tab w:val="decimal" w:pos="185"/>
              </w:tabs>
              <w:jc w:val="center"/>
              <w:rPr>
                <w:color w:val="000000"/>
                <w:sz w:val="20"/>
                <w:szCs w:val="20"/>
              </w:rPr>
            </w:pPr>
            <w:r w:rsidRPr="00D33BA5">
              <w:rPr>
                <w:color w:val="000000"/>
                <w:sz w:val="20"/>
                <w:szCs w:val="20"/>
              </w:rPr>
              <w:t>.</w:t>
            </w:r>
            <w:r>
              <w:rPr>
                <w:color w:val="000000"/>
                <w:sz w:val="20"/>
                <w:szCs w:val="20"/>
              </w:rPr>
              <w:t>13</w:t>
            </w:r>
          </w:p>
        </w:tc>
        <w:tc>
          <w:tcPr>
            <w:tcW w:w="636" w:type="dxa"/>
            <w:vAlign w:val="bottom"/>
          </w:tcPr>
          <w:p w:rsidR="00A67AB5" w:rsidRPr="00D33BA5" w:rsidRDefault="00A67AB5" w:rsidP="00CE5646">
            <w:pPr>
              <w:tabs>
                <w:tab w:val="decimal" w:pos="170"/>
              </w:tabs>
              <w:jc w:val="center"/>
              <w:rPr>
                <w:color w:val="000000"/>
                <w:sz w:val="20"/>
                <w:szCs w:val="20"/>
              </w:rPr>
            </w:pPr>
            <w:r w:rsidRPr="00D33BA5">
              <w:rPr>
                <w:color w:val="000000"/>
                <w:sz w:val="20"/>
                <w:szCs w:val="20"/>
              </w:rPr>
              <w:t>.</w:t>
            </w:r>
            <w:r>
              <w:rPr>
                <w:color w:val="000000"/>
                <w:sz w:val="20"/>
                <w:szCs w:val="20"/>
              </w:rPr>
              <w:t>09</w:t>
            </w:r>
          </w:p>
        </w:tc>
        <w:tc>
          <w:tcPr>
            <w:tcW w:w="815" w:type="dxa"/>
            <w:vAlign w:val="bottom"/>
          </w:tcPr>
          <w:p w:rsidR="00A67AB5" w:rsidRPr="00D33BA5" w:rsidRDefault="00A67AB5" w:rsidP="00CE5646">
            <w:pPr>
              <w:tabs>
                <w:tab w:val="decimal" w:pos="200"/>
              </w:tabs>
              <w:jc w:val="center"/>
              <w:rPr>
                <w:color w:val="000000"/>
                <w:sz w:val="20"/>
                <w:szCs w:val="20"/>
              </w:rPr>
            </w:pPr>
            <w:r w:rsidRPr="00D33BA5">
              <w:rPr>
                <w:color w:val="000000"/>
                <w:sz w:val="20"/>
                <w:szCs w:val="20"/>
              </w:rPr>
              <w:t>.</w:t>
            </w:r>
            <w:r>
              <w:rPr>
                <w:color w:val="000000"/>
                <w:sz w:val="20"/>
                <w:szCs w:val="20"/>
              </w:rPr>
              <w:t>20</w:t>
            </w:r>
          </w:p>
        </w:tc>
        <w:tc>
          <w:tcPr>
            <w:tcW w:w="970" w:type="dxa"/>
            <w:vAlign w:val="bottom"/>
          </w:tcPr>
          <w:p w:rsidR="00A67AB5" w:rsidRPr="00D33BA5" w:rsidRDefault="00A67AB5" w:rsidP="00CE5646">
            <w:pPr>
              <w:tabs>
                <w:tab w:val="decimal" w:pos="178"/>
              </w:tabs>
              <w:jc w:val="center"/>
              <w:rPr>
                <w:color w:val="000000"/>
                <w:sz w:val="20"/>
                <w:szCs w:val="20"/>
              </w:rPr>
            </w:pPr>
            <w:r w:rsidRPr="00D33BA5">
              <w:rPr>
                <w:color w:val="000000"/>
                <w:sz w:val="20"/>
                <w:szCs w:val="20"/>
              </w:rPr>
              <w:t>.</w:t>
            </w:r>
            <w:r>
              <w:rPr>
                <w:color w:val="000000"/>
                <w:sz w:val="20"/>
                <w:szCs w:val="20"/>
              </w:rPr>
              <w:t>10</w:t>
            </w:r>
          </w:p>
        </w:tc>
        <w:tc>
          <w:tcPr>
            <w:tcW w:w="950" w:type="dxa"/>
            <w:vAlign w:val="bottom"/>
          </w:tcPr>
          <w:p w:rsidR="00A67AB5" w:rsidRPr="00D33BA5" w:rsidRDefault="00A67AB5" w:rsidP="00CE5646">
            <w:pPr>
              <w:tabs>
                <w:tab w:val="decimal" w:pos="171"/>
              </w:tabs>
              <w:jc w:val="center"/>
              <w:rPr>
                <w:color w:val="000000"/>
                <w:sz w:val="20"/>
                <w:szCs w:val="20"/>
              </w:rPr>
            </w:pPr>
            <w:r>
              <w:rPr>
                <w:color w:val="000000"/>
                <w:sz w:val="20"/>
                <w:szCs w:val="20"/>
              </w:rPr>
              <w:t>50.46</w:t>
            </w:r>
          </w:p>
        </w:tc>
        <w:tc>
          <w:tcPr>
            <w:tcW w:w="950" w:type="dxa"/>
            <w:vAlign w:val="bottom"/>
          </w:tcPr>
          <w:p w:rsidR="00A67AB5" w:rsidRPr="00D33BA5" w:rsidRDefault="00A67AB5" w:rsidP="00CE5646">
            <w:pPr>
              <w:tabs>
                <w:tab w:val="decimal" w:pos="189"/>
              </w:tabs>
              <w:jc w:val="center"/>
              <w:rPr>
                <w:color w:val="000000"/>
                <w:sz w:val="20"/>
                <w:szCs w:val="20"/>
              </w:rPr>
            </w:pPr>
            <w:r>
              <w:rPr>
                <w:color w:val="000000"/>
                <w:sz w:val="20"/>
                <w:szCs w:val="20"/>
              </w:rPr>
              <w:t>50.62</w:t>
            </w:r>
          </w:p>
        </w:tc>
        <w:tc>
          <w:tcPr>
            <w:tcW w:w="644" w:type="dxa"/>
            <w:vAlign w:val="bottom"/>
          </w:tcPr>
          <w:p w:rsidR="00A67AB5" w:rsidRPr="00D33BA5" w:rsidRDefault="00A67AB5" w:rsidP="00CE5646">
            <w:pPr>
              <w:tabs>
                <w:tab w:val="decimal" w:pos="177"/>
              </w:tabs>
              <w:jc w:val="center"/>
              <w:rPr>
                <w:color w:val="000000"/>
                <w:sz w:val="20"/>
                <w:szCs w:val="20"/>
              </w:rPr>
            </w:pPr>
            <w:r w:rsidRPr="00D33BA5">
              <w:rPr>
                <w:color w:val="000000"/>
                <w:sz w:val="20"/>
                <w:szCs w:val="20"/>
              </w:rPr>
              <w:t>.</w:t>
            </w:r>
            <w:r>
              <w:rPr>
                <w:color w:val="000000"/>
                <w:sz w:val="20"/>
                <w:szCs w:val="20"/>
              </w:rPr>
              <w:t>05</w:t>
            </w:r>
          </w:p>
        </w:tc>
        <w:tc>
          <w:tcPr>
            <w:tcW w:w="283" w:type="dxa"/>
            <w:vAlign w:val="bottom"/>
          </w:tcPr>
          <w:p w:rsidR="00A67AB5" w:rsidRPr="00D33BA5" w:rsidRDefault="00A67AB5" w:rsidP="00CE5646">
            <w:pPr>
              <w:jc w:val="center"/>
              <w:rPr>
                <w:color w:val="000000"/>
                <w:sz w:val="20"/>
                <w:szCs w:val="20"/>
              </w:rPr>
            </w:pPr>
            <w:r w:rsidRPr="00D33BA5">
              <w:rPr>
                <w:color w:val="000000"/>
                <w:sz w:val="20"/>
                <w:szCs w:val="20"/>
              </w:rPr>
              <w:t>-</w:t>
            </w:r>
          </w:p>
        </w:tc>
        <w:tc>
          <w:tcPr>
            <w:tcW w:w="611" w:type="dxa"/>
            <w:vAlign w:val="bottom"/>
          </w:tcPr>
          <w:p w:rsidR="00A67AB5" w:rsidRPr="00D33BA5" w:rsidRDefault="00A67AB5" w:rsidP="00CE5646">
            <w:pPr>
              <w:tabs>
                <w:tab w:val="decimal" w:pos="145"/>
              </w:tabs>
              <w:jc w:val="center"/>
              <w:rPr>
                <w:color w:val="000000"/>
                <w:sz w:val="20"/>
                <w:szCs w:val="20"/>
              </w:rPr>
            </w:pPr>
            <w:r w:rsidRPr="00D33BA5">
              <w:rPr>
                <w:color w:val="000000"/>
                <w:sz w:val="20"/>
                <w:szCs w:val="20"/>
              </w:rPr>
              <w:t>.</w:t>
            </w:r>
            <w:r>
              <w:rPr>
                <w:color w:val="000000"/>
                <w:sz w:val="20"/>
                <w:szCs w:val="20"/>
              </w:rPr>
              <w:t>36</w:t>
            </w:r>
          </w:p>
        </w:tc>
      </w:tr>
      <w:tr w:rsidR="0016150E" w:rsidRPr="00D33BA5" w:rsidTr="000E1AE8">
        <w:tc>
          <w:tcPr>
            <w:tcW w:w="1794" w:type="dxa"/>
            <w:gridSpan w:val="2"/>
          </w:tcPr>
          <w:p w:rsidR="0016150E" w:rsidRPr="00D33BA5" w:rsidRDefault="0016150E" w:rsidP="000E1AE8">
            <w:pPr>
              <w:rPr>
                <w:i/>
                <w:sz w:val="20"/>
                <w:szCs w:val="20"/>
              </w:rPr>
            </w:pPr>
            <w:r>
              <w:rPr>
                <w:i/>
                <w:sz w:val="20"/>
                <w:szCs w:val="20"/>
              </w:rPr>
              <w:t>Behavior</w:t>
            </w:r>
          </w:p>
        </w:tc>
        <w:tc>
          <w:tcPr>
            <w:tcW w:w="716" w:type="dxa"/>
            <w:vAlign w:val="bottom"/>
          </w:tcPr>
          <w:p w:rsidR="0016150E" w:rsidRPr="00D33BA5" w:rsidRDefault="0016150E" w:rsidP="000E1AE8">
            <w:pPr>
              <w:jc w:val="center"/>
              <w:rPr>
                <w:sz w:val="20"/>
                <w:szCs w:val="20"/>
              </w:rPr>
            </w:pPr>
          </w:p>
        </w:tc>
        <w:tc>
          <w:tcPr>
            <w:tcW w:w="416" w:type="dxa"/>
            <w:vAlign w:val="bottom"/>
          </w:tcPr>
          <w:p w:rsidR="0016150E" w:rsidRPr="00D33BA5" w:rsidRDefault="0016150E" w:rsidP="000E1AE8">
            <w:pPr>
              <w:jc w:val="center"/>
              <w:rPr>
                <w:sz w:val="20"/>
                <w:szCs w:val="20"/>
              </w:rPr>
            </w:pPr>
          </w:p>
        </w:tc>
        <w:tc>
          <w:tcPr>
            <w:tcW w:w="705" w:type="dxa"/>
            <w:vAlign w:val="bottom"/>
          </w:tcPr>
          <w:p w:rsidR="0016150E" w:rsidRPr="00D33BA5" w:rsidRDefault="0016150E" w:rsidP="000E1AE8">
            <w:pPr>
              <w:tabs>
                <w:tab w:val="decimal" w:pos="129"/>
              </w:tabs>
              <w:jc w:val="center"/>
              <w:rPr>
                <w:sz w:val="20"/>
                <w:szCs w:val="20"/>
              </w:rPr>
            </w:pPr>
          </w:p>
        </w:tc>
        <w:tc>
          <w:tcPr>
            <w:tcW w:w="653" w:type="dxa"/>
            <w:vAlign w:val="bottom"/>
          </w:tcPr>
          <w:p w:rsidR="0016150E" w:rsidRPr="00D33BA5" w:rsidRDefault="0016150E" w:rsidP="000E1AE8">
            <w:pPr>
              <w:tabs>
                <w:tab w:val="decimal" w:pos="185"/>
              </w:tabs>
              <w:jc w:val="center"/>
              <w:rPr>
                <w:sz w:val="20"/>
                <w:szCs w:val="20"/>
              </w:rPr>
            </w:pPr>
          </w:p>
        </w:tc>
        <w:tc>
          <w:tcPr>
            <w:tcW w:w="636" w:type="dxa"/>
            <w:vAlign w:val="bottom"/>
          </w:tcPr>
          <w:p w:rsidR="0016150E" w:rsidRPr="00D33BA5" w:rsidRDefault="0016150E" w:rsidP="000E1AE8">
            <w:pPr>
              <w:tabs>
                <w:tab w:val="decimal" w:pos="170"/>
              </w:tabs>
              <w:jc w:val="center"/>
              <w:rPr>
                <w:sz w:val="20"/>
                <w:szCs w:val="20"/>
              </w:rPr>
            </w:pPr>
          </w:p>
        </w:tc>
        <w:tc>
          <w:tcPr>
            <w:tcW w:w="815" w:type="dxa"/>
            <w:vAlign w:val="bottom"/>
          </w:tcPr>
          <w:p w:rsidR="0016150E" w:rsidRPr="00D33BA5" w:rsidRDefault="0016150E" w:rsidP="000E1AE8">
            <w:pPr>
              <w:tabs>
                <w:tab w:val="decimal" w:pos="200"/>
              </w:tabs>
              <w:jc w:val="center"/>
              <w:rPr>
                <w:sz w:val="20"/>
                <w:szCs w:val="20"/>
              </w:rPr>
            </w:pPr>
          </w:p>
        </w:tc>
        <w:tc>
          <w:tcPr>
            <w:tcW w:w="970" w:type="dxa"/>
            <w:vAlign w:val="bottom"/>
          </w:tcPr>
          <w:p w:rsidR="0016150E" w:rsidRPr="00D33BA5" w:rsidRDefault="0016150E" w:rsidP="000E1AE8">
            <w:pPr>
              <w:tabs>
                <w:tab w:val="decimal" w:pos="178"/>
              </w:tabs>
              <w:jc w:val="center"/>
              <w:rPr>
                <w:sz w:val="20"/>
                <w:szCs w:val="20"/>
              </w:rPr>
            </w:pPr>
          </w:p>
        </w:tc>
        <w:tc>
          <w:tcPr>
            <w:tcW w:w="950" w:type="dxa"/>
            <w:vAlign w:val="bottom"/>
          </w:tcPr>
          <w:p w:rsidR="0016150E" w:rsidRPr="00D33BA5" w:rsidRDefault="0016150E" w:rsidP="000E1AE8">
            <w:pPr>
              <w:tabs>
                <w:tab w:val="decimal" w:pos="171"/>
              </w:tabs>
              <w:jc w:val="center"/>
              <w:rPr>
                <w:sz w:val="20"/>
                <w:szCs w:val="20"/>
              </w:rPr>
            </w:pPr>
          </w:p>
        </w:tc>
        <w:tc>
          <w:tcPr>
            <w:tcW w:w="950" w:type="dxa"/>
            <w:vAlign w:val="bottom"/>
          </w:tcPr>
          <w:p w:rsidR="0016150E" w:rsidRPr="00D33BA5" w:rsidRDefault="0016150E" w:rsidP="000E1AE8">
            <w:pPr>
              <w:tabs>
                <w:tab w:val="decimal" w:pos="189"/>
              </w:tabs>
              <w:jc w:val="center"/>
              <w:rPr>
                <w:sz w:val="20"/>
                <w:szCs w:val="20"/>
              </w:rPr>
            </w:pPr>
          </w:p>
        </w:tc>
        <w:tc>
          <w:tcPr>
            <w:tcW w:w="644" w:type="dxa"/>
            <w:vAlign w:val="bottom"/>
          </w:tcPr>
          <w:p w:rsidR="0016150E" w:rsidRPr="00D33BA5" w:rsidRDefault="0016150E" w:rsidP="000E1AE8">
            <w:pPr>
              <w:tabs>
                <w:tab w:val="decimal" w:pos="177"/>
              </w:tabs>
              <w:jc w:val="center"/>
              <w:rPr>
                <w:sz w:val="20"/>
                <w:szCs w:val="20"/>
              </w:rPr>
            </w:pPr>
          </w:p>
        </w:tc>
        <w:tc>
          <w:tcPr>
            <w:tcW w:w="283" w:type="dxa"/>
            <w:vAlign w:val="bottom"/>
          </w:tcPr>
          <w:p w:rsidR="0016150E" w:rsidRPr="00D33BA5" w:rsidRDefault="0016150E" w:rsidP="000E1AE8">
            <w:pPr>
              <w:jc w:val="center"/>
              <w:rPr>
                <w:color w:val="000000"/>
                <w:sz w:val="20"/>
                <w:szCs w:val="20"/>
              </w:rPr>
            </w:pPr>
          </w:p>
        </w:tc>
        <w:tc>
          <w:tcPr>
            <w:tcW w:w="611" w:type="dxa"/>
            <w:vAlign w:val="bottom"/>
          </w:tcPr>
          <w:p w:rsidR="0016150E" w:rsidRPr="00D33BA5" w:rsidRDefault="0016150E" w:rsidP="000E1AE8">
            <w:pPr>
              <w:tabs>
                <w:tab w:val="decimal" w:pos="145"/>
              </w:tabs>
              <w:jc w:val="center"/>
              <w:rPr>
                <w:sz w:val="20"/>
                <w:szCs w:val="20"/>
              </w:rPr>
            </w:pPr>
          </w:p>
        </w:tc>
      </w:tr>
      <w:tr w:rsidR="00B20925" w:rsidRPr="00D33BA5" w:rsidTr="000E1AE8">
        <w:tc>
          <w:tcPr>
            <w:tcW w:w="222" w:type="dxa"/>
          </w:tcPr>
          <w:p w:rsidR="00B20925" w:rsidRPr="00D33BA5" w:rsidRDefault="00B20925" w:rsidP="000E1AE8">
            <w:pPr>
              <w:rPr>
                <w:sz w:val="20"/>
                <w:szCs w:val="20"/>
              </w:rPr>
            </w:pPr>
          </w:p>
        </w:tc>
        <w:tc>
          <w:tcPr>
            <w:tcW w:w="1572" w:type="dxa"/>
          </w:tcPr>
          <w:p w:rsidR="00B20925" w:rsidRPr="0052227E" w:rsidRDefault="00B20925" w:rsidP="000E1AE8">
            <w:pPr>
              <w:rPr>
                <w:sz w:val="20"/>
                <w:szCs w:val="20"/>
              </w:rPr>
            </w:pPr>
            <w:r>
              <w:rPr>
                <w:sz w:val="20"/>
                <w:szCs w:val="20"/>
              </w:rPr>
              <w:t>General</w:t>
            </w:r>
          </w:p>
        </w:tc>
        <w:tc>
          <w:tcPr>
            <w:tcW w:w="716" w:type="dxa"/>
            <w:vAlign w:val="bottom"/>
          </w:tcPr>
          <w:p w:rsidR="00B20925" w:rsidRPr="00D33BA5" w:rsidRDefault="00B20925" w:rsidP="000E1AE8">
            <w:pPr>
              <w:jc w:val="center"/>
              <w:rPr>
                <w:color w:val="000000"/>
                <w:sz w:val="20"/>
                <w:szCs w:val="20"/>
              </w:rPr>
            </w:pPr>
            <w:r>
              <w:rPr>
                <w:color w:val="000000"/>
                <w:sz w:val="20"/>
                <w:szCs w:val="20"/>
              </w:rPr>
              <w:t>12275</w:t>
            </w:r>
          </w:p>
        </w:tc>
        <w:tc>
          <w:tcPr>
            <w:tcW w:w="416" w:type="dxa"/>
            <w:vAlign w:val="bottom"/>
          </w:tcPr>
          <w:p w:rsidR="00B20925" w:rsidRPr="00D33BA5" w:rsidRDefault="00B20925" w:rsidP="000E1AE8">
            <w:pPr>
              <w:jc w:val="center"/>
              <w:rPr>
                <w:color w:val="000000"/>
                <w:sz w:val="20"/>
                <w:szCs w:val="20"/>
              </w:rPr>
            </w:pPr>
            <w:r>
              <w:rPr>
                <w:color w:val="000000"/>
                <w:sz w:val="20"/>
                <w:szCs w:val="20"/>
              </w:rPr>
              <w:t>17</w:t>
            </w:r>
          </w:p>
        </w:tc>
        <w:tc>
          <w:tcPr>
            <w:tcW w:w="705" w:type="dxa"/>
            <w:vAlign w:val="bottom"/>
          </w:tcPr>
          <w:p w:rsidR="00B20925" w:rsidRPr="00D33BA5" w:rsidRDefault="00B20925" w:rsidP="000E1AE8">
            <w:pPr>
              <w:tabs>
                <w:tab w:val="decimal" w:pos="129"/>
              </w:tabs>
              <w:jc w:val="center"/>
              <w:rPr>
                <w:color w:val="000000"/>
                <w:sz w:val="20"/>
                <w:szCs w:val="20"/>
              </w:rPr>
            </w:pPr>
            <w:r w:rsidRPr="00D33BA5">
              <w:rPr>
                <w:color w:val="000000"/>
                <w:sz w:val="20"/>
                <w:szCs w:val="20"/>
              </w:rPr>
              <w:t>.</w:t>
            </w:r>
            <w:r>
              <w:rPr>
                <w:color w:val="000000"/>
                <w:sz w:val="20"/>
                <w:szCs w:val="20"/>
              </w:rPr>
              <w:t>23</w:t>
            </w:r>
          </w:p>
        </w:tc>
        <w:tc>
          <w:tcPr>
            <w:tcW w:w="653" w:type="dxa"/>
            <w:vAlign w:val="bottom"/>
          </w:tcPr>
          <w:p w:rsidR="00B20925" w:rsidRPr="00D33BA5" w:rsidRDefault="00B20925" w:rsidP="000E1AE8">
            <w:pPr>
              <w:tabs>
                <w:tab w:val="decimal" w:pos="185"/>
              </w:tabs>
              <w:jc w:val="center"/>
              <w:rPr>
                <w:color w:val="000000"/>
                <w:sz w:val="20"/>
                <w:szCs w:val="20"/>
              </w:rPr>
            </w:pPr>
            <w:r>
              <w:rPr>
                <w:color w:val="000000"/>
                <w:sz w:val="20"/>
                <w:szCs w:val="20"/>
              </w:rPr>
              <w:t>.21</w:t>
            </w:r>
          </w:p>
        </w:tc>
        <w:tc>
          <w:tcPr>
            <w:tcW w:w="636" w:type="dxa"/>
            <w:vAlign w:val="bottom"/>
          </w:tcPr>
          <w:p w:rsidR="00B20925" w:rsidRPr="00D33BA5" w:rsidRDefault="00B20925" w:rsidP="000E1AE8">
            <w:pPr>
              <w:tabs>
                <w:tab w:val="decimal" w:pos="170"/>
              </w:tabs>
              <w:jc w:val="center"/>
              <w:rPr>
                <w:color w:val="000000"/>
                <w:sz w:val="20"/>
                <w:szCs w:val="20"/>
              </w:rPr>
            </w:pPr>
            <w:r>
              <w:rPr>
                <w:color w:val="000000"/>
                <w:sz w:val="20"/>
                <w:szCs w:val="20"/>
              </w:rPr>
              <w:t>.20</w:t>
            </w:r>
          </w:p>
        </w:tc>
        <w:tc>
          <w:tcPr>
            <w:tcW w:w="815" w:type="dxa"/>
            <w:vAlign w:val="bottom"/>
          </w:tcPr>
          <w:p w:rsidR="00B20925" w:rsidRPr="00D33BA5" w:rsidRDefault="00B20925" w:rsidP="000E1AE8">
            <w:pPr>
              <w:tabs>
                <w:tab w:val="decimal" w:pos="200"/>
              </w:tabs>
              <w:jc w:val="center"/>
              <w:rPr>
                <w:color w:val="000000"/>
                <w:sz w:val="20"/>
                <w:szCs w:val="20"/>
              </w:rPr>
            </w:pPr>
            <w:r w:rsidRPr="00D33BA5">
              <w:rPr>
                <w:color w:val="000000"/>
                <w:sz w:val="20"/>
                <w:szCs w:val="20"/>
              </w:rPr>
              <w:t>.</w:t>
            </w:r>
            <w:r>
              <w:rPr>
                <w:color w:val="000000"/>
                <w:sz w:val="20"/>
                <w:szCs w:val="20"/>
              </w:rPr>
              <w:t>28</w:t>
            </w:r>
          </w:p>
        </w:tc>
        <w:tc>
          <w:tcPr>
            <w:tcW w:w="970" w:type="dxa"/>
            <w:vAlign w:val="bottom"/>
          </w:tcPr>
          <w:p w:rsidR="00B20925" w:rsidRPr="00D33BA5" w:rsidRDefault="00B20925" w:rsidP="000E1AE8">
            <w:pPr>
              <w:tabs>
                <w:tab w:val="decimal" w:pos="178"/>
              </w:tabs>
              <w:jc w:val="center"/>
              <w:rPr>
                <w:color w:val="000000"/>
                <w:sz w:val="20"/>
                <w:szCs w:val="20"/>
              </w:rPr>
            </w:pPr>
            <w:r>
              <w:rPr>
                <w:color w:val="000000"/>
                <w:sz w:val="20"/>
                <w:szCs w:val="20"/>
              </w:rPr>
              <w:t>.24</w:t>
            </w:r>
          </w:p>
        </w:tc>
        <w:tc>
          <w:tcPr>
            <w:tcW w:w="950" w:type="dxa"/>
            <w:vAlign w:val="bottom"/>
          </w:tcPr>
          <w:p w:rsidR="00B20925" w:rsidRPr="00D33BA5" w:rsidRDefault="00B20925" w:rsidP="000E1AE8">
            <w:pPr>
              <w:tabs>
                <w:tab w:val="decimal" w:pos="171"/>
              </w:tabs>
              <w:jc w:val="center"/>
              <w:rPr>
                <w:color w:val="000000"/>
                <w:sz w:val="20"/>
                <w:szCs w:val="20"/>
              </w:rPr>
            </w:pPr>
            <w:r>
              <w:rPr>
                <w:color w:val="000000"/>
                <w:sz w:val="20"/>
                <w:szCs w:val="20"/>
              </w:rPr>
              <w:t>12.14</w:t>
            </w:r>
          </w:p>
        </w:tc>
        <w:tc>
          <w:tcPr>
            <w:tcW w:w="950" w:type="dxa"/>
            <w:vAlign w:val="bottom"/>
          </w:tcPr>
          <w:p w:rsidR="00B20925" w:rsidRPr="00D33BA5" w:rsidRDefault="00B20925" w:rsidP="000E1AE8">
            <w:pPr>
              <w:tabs>
                <w:tab w:val="decimal" w:pos="189"/>
              </w:tabs>
              <w:jc w:val="center"/>
              <w:rPr>
                <w:color w:val="000000"/>
                <w:sz w:val="20"/>
                <w:szCs w:val="20"/>
              </w:rPr>
            </w:pPr>
            <w:r>
              <w:rPr>
                <w:color w:val="000000"/>
                <w:sz w:val="20"/>
                <w:szCs w:val="20"/>
              </w:rPr>
              <w:t>12.73</w:t>
            </w:r>
          </w:p>
        </w:tc>
        <w:tc>
          <w:tcPr>
            <w:tcW w:w="644" w:type="dxa"/>
            <w:vAlign w:val="bottom"/>
          </w:tcPr>
          <w:p w:rsidR="00B20925" w:rsidRPr="00D33BA5" w:rsidRDefault="00B20925" w:rsidP="000E1AE8">
            <w:pPr>
              <w:tabs>
                <w:tab w:val="decimal" w:pos="177"/>
              </w:tabs>
              <w:jc w:val="center"/>
              <w:rPr>
                <w:color w:val="000000"/>
                <w:sz w:val="20"/>
                <w:szCs w:val="20"/>
              </w:rPr>
            </w:pPr>
            <w:r w:rsidRPr="00D33BA5">
              <w:rPr>
                <w:color w:val="000000"/>
                <w:sz w:val="20"/>
                <w:szCs w:val="20"/>
              </w:rPr>
              <w:t>-.</w:t>
            </w:r>
            <w:r>
              <w:rPr>
                <w:color w:val="000000"/>
                <w:sz w:val="20"/>
                <w:szCs w:val="20"/>
              </w:rPr>
              <w:t>11</w:t>
            </w:r>
          </w:p>
        </w:tc>
        <w:tc>
          <w:tcPr>
            <w:tcW w:w="283" w:type="dxa"/>
            <w:vAlign w:val="bottom"/>
          </w:tcPr>
          <w:p w:rsidR="00B20925" w:rsidRPr="00D33BA5" w:rsidRDefault="00B20925" w:rsidP="000E1AE8">
            <w:pPr>
              <w:jc w:val="center"/>
              <w:rPr>
                <w:color w:val="000000"/>
                <w:sz w:val="20"/>
                <w:szCs w:val="20"/>
              </w:rPr>
            </w:pPr>
            <w:r w:rsidRPr="00D33BA5">
              <w:rPr>
                <w:color w:val="000000"/>
                <w:sz w:val="20"/>
                <w:szCs w:val="20"/>
              </w:rPr>
              <w:t>-</w:t>
            </w:r>
          </w:p>
        </w:tc>
        <w:tc>
          <w:tcPr>
            <w:tcW w:w="611" w:type="dxa"/>
            <w:vAlign w:val="bottom"/>
          </w:tcPr>
          <w:p w:rsidR="00B20925" w:rsidRPr="00D33BA5" w:rsidRDefault="00B20925" w:rsidP="000E1AE8">
            <w:pPr>
              <w:tabs>
                <w:tab w:val="decimal" w:pos="145"/>
              </w:tabs>
              <w:jc w:val="center"/>
              <w:rPr>
                <w:color w:val="000000"/>
                <w:sz w:val="20"/>
                <w:szCs w:val="20"/>
              </w:rPr>
            </w:pPr>
            <w:r w:rsidRPr="00D33BA5">
              <w:rPr>
                <w:color w:val="000000"/>
                <w:sz w:val="20"/>
                <w:szCs w:val="20"/>
              </w:rPr>
              <w:t>.</w:t>
            </w:r>
            <w:r>
              <w:rPr>
                <w:color w:val="000000"/>
                <w:sz w:val="20"/>
                <w:szCs w:val="20"/>
              </w:rPr>
              <w:t>67</w:t>
            </w:r>
          </w:p>
        </w:tc>
      </w:tr>
      <w:tr w:rsidR="00B20925" w:rsidRPr="00D33BA5" w:rsidTr="000E1AE8">
        <w:tc>
          <w:tcPr>
            <w:tcW w:w="222" w:type="dxa"/>
          </w:tcPr>
          <w:p w:rsidR="00B20925" w:rsidRPr="00D33BA5" w:rsidRDefault="00B20925" w:rsidP="000E1AE8">
            <w:pPr>
              <w:rPr>
                <w:sz w:val="20"/>
                <w:szCs w:val="20"/>
              </w:rPr>
            </w:pPr>
          </w:p>
        </w:tc>
        <w:tc>
          <w:tcPr>
            <w:tcW w:w="1572" w:type="dxa"/>
          </w:tcPr>
          <w:p w:rsidR="00B20925" w:rsidRPr="00D33BA5" w:rsidRDefault="00B20925" w:rsidP="000E1AE8">
            <w:pPr>
              <w:rPr>
                <w:sz w:val="20"/>
                <w:szCs w:val="20"/>
              </w:rPr>
            </w:pPr>
            <w:r>
              <w:rPr>
                <w:sz w:val="20"/>
                <w:szCs w:val="20"/>
              </w:rPr>
              <w:t>Avoiding harm</w:t>
            </w:r>
          </w:p>
        </w:tc>
        <w:tc>
          <w:tcPr>
            <w:tcW w:w="716" w:type="dxa"/>
            <w:vAlign w:val="bottom"/>
          </w:tcPr>
          <w:p w:rsidR="00B20925" w:rsidRPr="00D33BA5" w:rsidRDefault="00B20925" w:rsidP="000E1AE8">
            <w:pPr>
              <w:jc w:val="center"/>
              <w:rPr>
                <w:color w:val="000000"/>
                <w:sz w:val="20"/>
                <w:szCs w:val="20"/>
              </w:rPr>
            </w:pPr>
            <w:r>
              <w:rPr>
                <w:color w:val="000000"/>
                <w:sz w:val="20"/>
                <w:szCs w:val="20"/>
              </w:rPr>
              <w:t>370</w:t>
            </w:r>
          </w:p>
        </w:tc>
        <w:tc>
          <w:tcPr>
            <w:tcW w:w="416" w:type="dxa"/>
            <w:vAlign w:val="bottom"/>
          </w:tcPr>
          <w:p w:rsidR="00B20925" w:rsidRPr="00D33BA5" w:rsidRDefault="00B20925" w:rsidP="000E1AE8">
            <w:pPr>
              <w:jc w:val="center"/>
              <w:rPr>
                <w:color w:val="000000"/>
                <w:sz w:val="20"/>
                <w:szCs w:val="20"/>
              </w:rPr>
            </w:pPr>
            <w:r>
              <w:rPr>
                <w:color w:val="000000"/>
                <w:sz w:val="20"/>
                <w:szCs w:val="20"/>
              </w:rPr>
              <w:t>1</w:t>
            </w:r>
          </w:p>
        </w:tc>
        <w:tc>
          <w:tcPr>
            <w:tcW w:w="705" w:type="dxa"/>
            <w:vAlign w:val="bottom"/>
          </w:tcPr>
          <w:p w:rsidR="00B20925" w:rsidRPr="00D33BA5" w:rsidRDefault="00B20925" w:rsidP="000E1AE8">
            <w:pPr>
              <w:tabs>
                <w:tab w:val="decimal" w:pos="129"/>
              </w:tabs>
              <w:jc w:val="center"/>
              <w:rPr>
                <w:color w:val="000000"/>
                <w:sz w:val="20"/>
                <w:szCs w:val="20"/>
              </w:rPr>
            </w:pPr>
            <w:r w:rsidRPr="00D33BA5">
              <w:rPr>
                <w:color w:val="000000"/>
                <w:sz w:val="20"/>
                <w:szCs w:val="20"/>
              </w:rPr>
              <w:t>.</w:t>
            </w:r>
            <w:r>
              <w:rPr>
                <w:color w:val="000000"/>
                <w:sz w:val="20"/>
                <w:szCs w:val="20"/>
              </w:rPr>
              <w:t>02</w:t>
            </w:r>
          </w:p>
        </w:tc>
        <w:tc>
          <w:tcPr>
            <w:tcW w:w="653" w:type="dxa"/>
            <w:vAlign w:val="bottom"/>
          </w:tcPr>
          <w:p w:rsidR="00B20925" w:rsidRPr="00D33BA5" w:rsidRDefault="00B20925" w:rsidP="000E1AE8">
            <w:pPr>
              <w:tabs>
                <w:tab w:val="decimal" w:pos="171"/>
              </w:tabs>
              <w:jc w:val="center"/>
              <w:rPr>
                <w:color w:val="000000"/>
                <w:sz w:val="20"/>
                <w:szCs w:val="20"/>
              </w:rPr>
            </w:pPr>
            <w:r w:rsidRPr="00D33BA5">
              <w:rPr>
                <w:color w:val="000000"/>
                <w:sz w:val="20"/>
                <w:szCs w:val="20"/>
              </w:rPr>
              <w:t>--</w:t>
            </w:r>
          </w:p>
        </w:tc>
        <w:tc>
          <w:tcPr>
            <w:tcW w:w="636" w:type="dxa"/>
            <w:vAlign w:val="bottom"/>
          </w:tcPr>
          <w:p w:rsidR="00B20925" w:rsidRPr="00D33BA5" w:rsidRDefault="00B20925" w:rsidP="000E1AE8">
            <w:pPr>
              <w:tabs>
                <w:tab w:val="decimal" w:pos="189"/>
              </w:tabs>
              <w:jc w:val="center"/>
              <w:rPr>
                <w:color w:val="000000"/>
                <w:sz w:val="20"/>
                <w:szCs w:val="20"/>
              </w:rPr>
            </w:pPr>
            <w:r w:rsidRPr="00D33BA5">
              <w:rPr>
                <w:color w:val="000000"/>
                <w:sz w:val="20"/>
                <w:szCs w:val="20"/>
              </w:rPr>
              <w:t>--</w:t>
            </w:r>
          </w:p>
        </w:tc>
        <w:tc>
          <w:tcPr>
            <w:tcW w:w="815" w:type="dxa"/>
            <w:vAlign w:val="bottom"/>
          </w:tcPr>
          <w:p w:rsidR="00B20925" w:rsidRPr="00D33BA5" w:rsidRDefault="00B20925" w:rsidP="000E1AE8">
            <w:pPr>
              <w:tabs>
                <w:tab w:val="decimal" w:pos="200"/>
              </w:tabs>
              <w:jc w:val="center"/>
              <w:rPr>
                <w:color w:val="000000"/>
                <w:sz w:val="20"/>
                <w:szCs w:val="20"/>
              </w:rPr>
            </w:pPr>
            <w:r w:rsidRPr="00D33BA5">
              <w:rPr>
                <w:color w:val="000000"/>
                <w:sz w:val="20"/>
                <w:szCs w:val="20"/>
              </w:rPr>
              <w:t>.</w:t>
            </w:r>
            <w:r>
              <w:rPr>
                <w:color w:val="000000"/>
                <w:sz w:val="20"/>
                <w:szCs w:val="20"/>
              </w:rPr>
              <w:t>02</w:t>
            </w:r>
          </w:p>
        </w:tc>
        <w:tc>
          <w:tcPr>
            <w:tcW w:w="970" w:type="dxa"/>
            <w:vAlign w:val="bottom"/>
          </w:tcPr>
          <w:p w:rsidR="00B20925" w:rsidRPr="00D33BA5" w:rsidRDefault="00B20925" w:rsidP="000E1AE8">
            <w:pPr>
              <w:tabs>
                <w:tab w:val="decimal" w:pos="171"/>
              </w:tabs>
              <w:jc w:val="center"/>
              <w:rPr>
                <w:color w:val="000000"/>
                <w:sz w:val="20"/>
                <w:szCs w:val="20"/>
              </w:rPr>
            </w:pPr>
            <w:r w:rsidRPr="00D33BA5">
              <w:rPr>
                <w:color w:val="000000"/>
                <w:sz w:val="20"/>
                <w:szCs w:val="20"/>
              </w:rPr>
              <w:t>--</w:t>
            </w:r>
          </w:p>
        </w:tc>
        <w:tc>
          <w:tcPr>
            <w:tcW w:w="950" w:type="dxa"/>
            <w:vAlign w:val="bottom"/>
          </w:tcPr>
          <w:p w:rsidR="00B20925" w:rsidRPr="00D33BA5" w:rsidRDefault="00B20925" w:rsidP="000E1AE8">
            <w:pPr>
              <w:tabs>
                <w:tab w:val="decimal" w:pos="171"/>
              </w:tabs>
              <w:jc w:val="center"/>
              <w:rPr>
                <w:color w:val="000000"/>
                <w:sz w:val="20"/>
                <w:szCs w:val="20"/>
              </w:rPr>
            </w:pPr>
            <w:r w:rsidRPr="00D33BA5">
              <w:rPr>
                <w:color w:val="000000"/>
                <w:sz w:val="20"/>
                <w:szCs w:val="20"/>
              </w:rPr>
              <w:t>--</w:t>
            </w:r>
          </w:p>
        </w:tc>
        <w:tc>
          <w:tcPr>
            <w:tcW w:w="950" w:type="dxa"/>
            <w:vAlign w:val="bottom"/>
          </w:tcPr>
          <w:p w:rsidR="00B20925" w:rsidRPr="00D33BA5" w:rsidRDefault="00B20925" w:rsidP="000E1AE8">
            <w:pPr>
              <w:tabs>
                <w:tab w:val="decimal" w:pos="189"/>
              </w:tabs>
              <w:jc w:val="center"/>
              <w:rPr>
                <w:color w:val="000000"/>
                <w:sz w:val="20"/>
                <w:szCs w:val="20"/>
              </w:rPr>
            </w:pPr>
            <w:r w:rsidRPr="00D33BA5">
              <w:rPr>
                <w:color w:val="000000"/>
                <w:sz w:val="20"/>
                <w:szCs w:val="20"/>
              </w:rPr>
              <w:t>--</w:t>
            </w:r>
          </w:p>
        </w:tc>
        <w:tc>
          <w:tcPr>
            <w:tcW w:w="644" w:type="dxa"/>
            <w:vAlign w:val="bottom"/>
          </w:tcPr>
          <w:p w:rsidR="00B20925" w:rsidRPr="00D33BA5" w:rsidRDefault="00B20925" w:rsidP="000E1AE8">
            <w:pPr>
              <w:tabs>
                <w:tab w:val="decimal" w:pos="177"/>
              </w:tabs>
              <w:jc w:val="center"/>
              <w:rPr>
                <w:color w:val="000000"/>
                <w:sz w:val="20"/>
                <w:szCs w:val="20"/>
              </w:rPr>
            </w:pPr>
            <w:r>
              <w:rPr>
                <w:color w:val="000000"/>
                <w:sz w:val="20"/>
                <w:szCs w:val="20"/>
              </w:rPr>
              <w:t>--</w:t>
            </w:r>
          </w:p>
        </w:tc>
        <w:tc>
          <w:tcPr>
            <w:tcW w:w="283" w:type="dxa"/>
            <w:vAlign w:val="bottom"/>
          </w:tcPr>
          <w:p w:rsidR="00B20925" w:rsidRPr="00D33BA5" w:rsidRDefault="00B20925" w:rsidP="000E1AE8">
            <w:pPr>
              <w:jc w:val="center"/>
              <w:rPr>
                <w:sz w:val="20"/>
                <w:szCs w:val="20"/>
              </w:rPr>
            </w:pPr>
          </w:p>
        </w:tc>
        <w:tc>
          <w:tcPr>
            <w:tcW w:w="611" w:type="dxa"/>
            <w:vAlign w:val="bottom"/>
          </w:tcPr>
          <w:p w:rsidR="00B20925" w:rsidRPr="00D33BA5" w:rsidRDefault="00B20925" w:rsidP="000E1AE8">
            <w:pPr>
              <w:tabs>
                <w:tab w:val="decimal" w:pos="145"/>
              </w:tabs>
              <w:jc w:val="center"/>
              <w:rPr>
                <w:color w:val="000000"/>
                <w:sz w:val="20"/>
                <w:szCs w:val="20"/>
              </w:rPr>
            </w:pPr>
            <w:r>
              <w:rPr>
                <w:color w:val="000000"/>
                <w:sz w:val="20"/>
                <w:szCs w:val="20"/>
              </w:rPr>
              <w:t>--</w:t>
            </w:r>
          </w:p>
        </w:tc>
      </w:tr>
      <w:tr w:rsidR="0016150E" w:rsidRPr="00D33BA5" w:rsidTr="000E1AE8">
        <w:tc>
          <w:tcPr>
            <w:tcW w:w="222" w:type="dxa"/>
          </w:tcPr>
          <w:p w:rsidR="0016150E" w:rsidRPr="00D33BA5" w:rsidRDefault="0016150E" w:rsidP="000E1AE8">
            <w:pPr>
              <w:rPr>
                <w:sz w:val="20"/>
                <w:szCs w:val="20"/>
              </w:rPr>
            </w:pPr>
          </w:p>
        </w:tc>
        <w:tc>
          <w:tcPr>
            <w:tcW w:w="1572" w:type="dxa"/>
          </w:tcPr>
          <w:p w:rsidR="0016150E" w:rsidRPr="00D33BA5" w:rsidRDefault="0016150E" w:rsidP="000E1AE8">
            <w:pPr>
              <w:rPr>
                <w:sz w:val="20"/>
                <w:szCs w:val="20"/>
              </w:rPr>
            </w:pPr>
            <w:r>
              <w:rPr>
                <w:sz w:val="20"/>
                <w:szCs w:val="20"/>
              </w:rPr>
              <w:t>Conserving</w:t>
            </w:r>
          </w:p>
        </w:tc>
        <w:tc>
          <w:tcPr>
            <w:tcW w:w="716" w:type="dxa"/>
            <w:vAlign w:val="bottom"/>
          </w:tcPr>
          <w:p w:rsidR="0016150E" w:rsidRPr="00D33BA5" w:rsidRDefault="00B20925" w:rsidP="000E1AE8">
            <w:pPr>
              <w:jc w:val="center"/>
              <w:rPr>
                <w:color w:val="000000"/>
                <w:sz w:val="20"/>
                <w:szCs w:val="20"/>
              </w:rPr>
            </w:pPr>
            <w:r>
              <w:rPr>
                <w:color w:val="000000"/>
                <w:sz w:val="20"/>
                <w:szCs w:val="20"/>
              </w:rPr>
              <w:t>5442</w:t>
            </w:r>
          </w:p>
        </w:tc>
        <w:tc>
          <w:tcPr>
            <w:tcW w:w="416" w:type="dxa"/>
            <w:vAlign w:val="bottom"/>
          </w:tcPr>
          <w:p w:rsidR="0016150E" w:rsidRPr="00D33BA5" w:rsidRDefault="00B20925" w:rsidP="000E1AE8">
            <w:pPr>
              <w:jc w:val="center"/>
              <w:rPr>
                <w:color w:val="000000"/>
                <w:sz w:val="20"/>
                <w:szCs w:val="20"/>
              </w:rPr>
            </w:pPr>
            <w:r>
              <w:rPr>
                <w:color w:val="000000"/>
                <w:sz w:val="20"/>
                <w:szCs w:val="20"/>
              </w:rPr>
              <w:t>10</w:t>
            </w:r>
          </w:p>
        </w:tc>
        <w:tc>
          <w:tcPr>
            <w:tcW w:w="705" w:type="dxa"/>
            <w:vAlign w:val="bottom"/>
          </w:tcPr>
          <w:p w:rsidR="0016150E" w:rsidRPr="00D33BA5" w:rsidRDefault="0016150E" w:rsidP="000E1AE8">
            <w:pPr>
              <w:tabs>
                <w:tab w:val="decimal" w:pos="129"/>
              </w:tabs>
              <w:jc w:val="center"/>
              <w:rPr>
                <w:color w:val="000000"/>
                <w:sz w:val="20"/>
                <w:szCs w:val="20"/>
              </w:rPr>
            </w:pPr>
            <w:r w:rsidRPr="00D33BA5">
              <w:rPr>
                <w:color w:val="000000"/>
                <w:sz w:val="20"/>
                <w:szCs w:val="20"/>
              </w:rPr>
              <w:t>.</w:t>
            </w:r>
            <w:r w:rsidR="00B20925">
              <w:rPr>
                <w:color w:val="000000"/>
                <w:sz w:val="20"/>
                <w:szCs w:val="20"/>
              </w:rPr>
              <w:t>26</w:t>
            </w:r>
          </w:p>
        </w:tc>
        <w:tc>
          <w:tcPr>
            <w:tcW w:w="653"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r w:rsidR="00B20925">
              <w:rPr>
                <w:color w:val="000000"/>
                <w:sz w:val="20"/>
                <w:szCs w:val="20"/>
              </w:rPr>
              <w:t>30</w:t>
            </w:r>
          </w:p>
        </w:tc>
        <w:tc>
          <w:tcPr>
            <w:tcW w:w="636" w:type="dxa"/>
            <w:vAlign w:val="bottom"/>
          </w:tcPr>
          <w:p w:rsidR="0016150E" w:rsidRPr="00D33BA5" w:rsidRDefault="0016150E" w:rsidP="000E1AE8">
            <w:pPr>
              <w:tabs>
                <w:tab w:val="decimal" w:pos="170"/>
              </w:tabs>
              <w:jc w:val="center"/>
              <w:rPr>
                <w:color w:val="000000"/>
                <w:sz w:val="20"/>
                <w:szCs w:val="20"/>
              </w:rPr>
            </w:pPr>
            <w:r w:rsidRPr="00D33BA5">
              <w:rPr>
                <w:color w:val="000000"/>
                <w:sz w:val="20"/>
                <w:szCs w:val="20"/>
              </w:rPr>
              <w:t>.</w:t>
            </w:r>
            <w:r w:rsidR="00B20925">
              <w:rPr>
                <w:color w:val="000000"/>
                <w:sz w:val="20"/>
                <w:szCs w:val="20"/>
              </w:rPr>
              <w:t>29</w:t>
            </w:r>
          </w:p>
        </w:tc>
        <w:tc>
          <w:tcPr>
            <w:tcW w:w="815" w:type="dxa"/>
            <w:vAlign w:val="bottom"/>
          </w:tcPr>
          <w:p w:rsidR="0016150E" w:rsidRPr="00D33BA5" w:rsidRDefault="0016150E" w:rsidP="000E1AE8">
            <w:pPr>
              <w:tabs>
                <w:tab w:val="decimal" w:pos="200"/>
              </w:tabs>
              <w:jc w:val="center"/>
              <w:rPr>
                <w:color w:val="000000"/>
                <w:sz w:val="20"/>
                <w:szCs w:val="20"/>
              </w:rPr>
            </w:pPr>
            <w:r w:rsidRPr="00D33BA5">
              <w:rPr>
                <w:color w:val="000000"/>
                <w:sz w:val="20"/>
                <w:szCs w:val="20"/>
              </w:rPr>
              <w:t>.</w:t>
            </w:r>
            <w:r w:rsidR="00B20925">
              <w:rPr>
                <w:color w:val="000000"/>
                <w:sz w:val="20"/>
                <w:szCs w:val="20"/>
              </w:rPr>
              <w:t>29</w:t>
            </w:r>
          </w:p>
        </w:tc>
        <w:tc>
          <w:tcPr>
            <w:tcW w:w="970" w:type="dxa"/>
            <w:vAlign w:val="bottom"/>
          </w:tcPr>
          <w:p w:rsidR="0016150E" w:rsidRPr="00D33BA5" w:rsidRDefault="0016150E" w:rsidP="000E1AE8">
            <w:pPr>
              <w:tabs>
                <w:tab w:val="decimal" w:pos="178"/>
              </w:tabs>
              <w:jc w:val="center"/>
              <w:rPr>
                <w:color w:val="000000"/>
                <w:sz w:val="20"/>
                <w:szCs w:val="20"/>
              </w:rPr>
            </w:pPr>
            <w:r w:rsidRPr="00D33BA5">
              <w:rPr>
                <w:color w:val="000000"/>
                <w:sz w:val="20"/>
                <w:szCs w:val="20"/>
              </w:rPr>
              <w:t>.</w:t>
            </w:r>
            <w:r w:rsidR="00B20925">
              <w:rPr>
                <w:color w:val="000000"/>
                <w:sz w:val="20"/>
                <w:szCs w:val="20"/>
              </w:rPr>
              <w:t>32</w:t>
            </w:r>
          </w:p>
        </w:tc>
        <w:tc>
          <w:tcPr>
            <w:tcW w:w="950" w:type="dxa"/>
            <w:vAlign w:val="bottom"/>
          </w:tcPr>
          <w:p w:rsidR="0016150E" w:rsidRPr="00D33BA5" w:rsidRDefault="00B20925" w:rsidP="000E1AE8">
            <w:pPr>
              <w:tabs>
                <w:tab w:val="decimal" w:pos="171"/>
              </w:tabs>
              <w:jc w:val="center"/>
              <w:rPr>
                <w:color w:val="000000"/>
                <w:sz w:val="20"/>
                <w:szCs w:val="20"/>
              </w:rPr>
            </w:pPr>
            <w:r>
              <w:rPr>
                <w:color w:val="000000"/>
                <w:sz w:val="20"/>
                <w:szCs w:val="20"/>
              </w:rPr>
              <w:t>8.28</w:t>
            </w:r>
          </w:p>
        </w:tc>
        <w:tc>
          <w:tcPr>
            <w:tcW w:w="950" w:type="dxa"/>
            <w:vAlign w:val="bottom"/>
          </w:tcPr>
          <w:p w:rsidR="0016150E" w:rsidRPr="00D33BA5" w:rsidRDefault="00B20925" w:rsidP="000E1AE8">
            <w:pPr>
              <w:tabs>
                <w:tab w:val="decimal" w:pos="189"/>
              </w:tabs>
              <w:jc w:val="center"/>
              <w:rPr>
                <w:color w:val="000000"/>
                <w:sz w:val="20"/>
                <w:szCs w:val="20"/>
              </w:rPr>
            </w:pPr>
            <w:r>
              <w:rPr>
                <w:color w:val="000000"/>
                <w:sz w:val="20"/>
                <w:szCs w:val="20"/>
              </w:rPr>
              <w:t>8.28</w:t>
            </w:r>
          </w:p>
        </w:tc>
        <w:tc>
          <w:tcPr>
            <w:tcW w:w="644" w:type="dxa"/>
            <w:vAlign w:val="bottom"/>
          </w:tcPr>
          <w:p w:rsidR="0016150E" w:rsidRPr="00D33BA5" w:rsidRDefault="0016150E" w:rsidP="000E1AE8">
            <w:pPr>
              <w:tabs>
                <w:tab w:val="decimal" w:pos="177"/>
              </w:tabs>
              <w:jc w:val="center"/>
              <w:rPr>
                <w:color w:val="000000"/>
                <w:sz w:val="20"/>
                <w:szCs w:val="20"/>
              </w:rPr>
            </w:pPr>
            <w:r w:rsidRPr="00D33BA5">
              <w:rPr>
                <w:color w:val="000000"/>
                <w:sz w:val="20"/>
                <w:szCs w:val="20"/>
              </w:rPr>
              <w:t>-.</w:t>
            </w:r>
            <w:r w:rsidR="00B20925">
              <w:rPr>
                <w:color w:val="000000"/>
                <w:sz w:val="20"/>
                <w:szCs w:val="20"/>
              </w:rPr>
              <w:t>23</w:t>
            </w:r>
          </w:p>
        </w:tc>
        <w:tc>
          <w:tcPr>
            <w:tcW w:w="283" w:type="dxa"/>
            <w:vAlign w:val="bottom"/>
          </w:tcPr>
          <w:p w:rsidR="0016150E" w:rsidRPr="00D33BA5" w:rsidRDefault="0016150E" w:rsidP="000E1AE8">
            <w:pPr>
              <w:jc w:val="center"/>
              <w:rPr>
                <w:sz w:val="20"/>
                <w:szCs w:val="20"/>
              </w:rPr>
            </w:pPr>
            <w:r w:rsidRPr="00D33BA5">
              <w:rPr>
                <w:sz w:val="20"/>
                <w:szCs w:val="20"/>
              </w:rPr>
              <w:t>-</w:t>
            </w:r>
          </w:p>
        </w:tc>
        <w:tc>
          <w:tcPr>
            <w:tcW w:w="611" w:type="dxa"/>
            <w:vAlign w:val="bottom"/>
          </w:tcPr>
          <w:p w:rsidR="0016150E" w:rsidRPr="00D33BA5" w:rsidRDefault="0016150E" w:rsidP="000E1AE8">
            <w:pPr>
              <w:tabs>
                <w:tab w:val="decimal" w:pos="145"/>
              </w:tabs>
              <w:jc w:val="center"/>
              <w:rPr>
                <w:color w:val="000000"/>
                <w:sz w:val="20"/>
                <w:szCs w:val="20"/>
              </w:rPr>
            </w:pPr>
            <w:r w:rsidRPr="00D33BA5">
              <w:rPr>
                <w:color w:val="000000"/>
                <w:sz w:val="20"/>
                <w:szCs w:val="20"/>
              </w:rPr>
              <w:t>.</w:t>
            </w:r>
            <w:r w:rsidR="00B20925">
              <w:rPr>
                <w:color w:val="000000"/>
                <w:sz w:val="20"/>
                <w:szCs w:val="20"/>
              </w:rPr>
              <w:t>82</w:t>
            </w:r>
          </w:p>
        </w:tc>
      </w:tr>
      <w:tr w:rsidR="0016150E" w:rsidRPr="00D33BA5" w:rsidTr="000E1AE8">
        <w:tc>
          <w:tcPr>
            <w:tcW w:w="222" w:type="dxa"/>
          </w:tcPr>
          <w:p w:rsidR="0016150E" w:rsidRPr="00D33BA5" w:rsidRDefault="0016150E" w:rsidP="000E1AE8">
            <w:pPr>
              <w:rPr>
                <w:sz w:val="20"/>
                <w:szCs w:val="20"/>
              </w:rPr>
            </w:pPr>
          </w:p>
        </w:tc>
        <w:tc>
          <w:tcPr>
            <w:tcW w:w="1572" w:type="dxa"/>
          </w:tcPr>
          <w:p w:rsidR="0016150E" w:rsidRPr="0052227E" w:rsidRDefault="0016150E" w:rsidP="000E1AE8">
            <w:pPr>
              <w:rPr>
                <w:sz w:val="20"/>
                <w:szCs w:val="20"/>
              </w:rPr>
            </w:pPr>
            <w:r>
              <w:rPr>
                <w:sz w:val="20"/>
                <w:szCs w:val="20"/>
              </w:rPr>
              <w:t>Influencing others</w:t>
            </w:r>
          </w:p>
        </w:tc>
        <w:tc>
          <w:tcPr>
            <w:tcW w:w="716" w:type="dxa"/>
            <w:vAlign w:val="bottom"/>
          </w:tcPr>
          <w:p w:rsidR="0016150E" w:rsidRPr="00D33BA5" w:rsidRDefault="00B20925" w:rsidP="000E1AE8">
            <w:pPr>
              <w:jc w:val="center"/>
              <w:rPr>
                <w:color w:val="000000"/>
                <w:sz w:val="20"/>
                <w:szCs w:val="20"/>
              </w:rPr>
            </w:pPr>
            <w:r>
              <w:rPr>
                <w:color w:val="000000"/>
                <w:sz w:val="20"/>
                <w:szCs w:val="20"/>
              </w:rPr>
              <w:t>2106</w:t>
            </w:r>
          </w:p>
        </w:tc>
        <w:tc>
          <w:tcPr>
            <w:tcW w:w="416" w:type="dxa"/>
            <w:vAlign w:val="bottom"/>
          </w:tcPr>
          <w:p w:rsidR="0016150E" w:rsidRPr="00D33BA5" w:rsidRDefault="00B20925" w:rsidP="000E1AE8">
            <w:pPr>
              <w:jc w:val="center"/>
              <w:rPr>
                <w:color w:val="000000"/>
                <w:sz w:val="20"/>
                <w:szCs w:val="20"/>
              </w:rPr>
            </w:pPr>
            <w:r>
              <w:rPr>
                <w:color w:val="000000"/>
                <w:sz w:val="20"/>
                <w:szCs w:val="20"/>
              </w:rPr>
              <w:t>3</w:t>
            </w:r>
          </w:p>
        </w:tc>
        <w:tc>
          <w:tcPr>
            <w:tcW w:w="705" w:type="dxa"/>
            <w:vAlign w:val="bottom"/>
          </w:tcPr>
          <w:p w:rsidR="0016150E" w:rsidRPr="00D33BA5" w:rsidRDefault="00B20925" w:rsidP="000E1AE8">
            <w:pPr>
              <w:tabs>
                <w:tab w:val="decimal" w:pos="129"/>
              </w:tabs>
              <w:jc w:val="center"/>
              <w:rPr>
                <w:color w:val="000000"/>
                <w:sz w:val="20"/>
                <w:szCs w:val="20"/>
              </w:rPr>
            </w:pPr>
            <w:r w:rsidRPr="00D33BA5">
              <w:rPr>
                <w:color w:val="000000"/>
                <w:sz w:val="20"/>
                <w:szCs w:val="20"/>
              </w:rPr>
              <w:t>-</w:t>
            </w:r>
            <w:r w:rsidR="0016150E" w:rsidRPr="00D33BA5">
              <w:rPr>
                <w:color w:val="000000"/>
                <w:sz w:val="20"/>
                <w:szCs w:val="20"/>
              </w:rPr>
              <w:t>.</w:t>
            </w:r>
            <w:r>
              <w:rPr>
                <w:color w:val="000000"/>
                <w:sz w:val="20"/>
                <w:szCs w:val="20"/>
              </w:rPr>
              <w:t>10</w:t>
            </w:r>
          </w:p>
        </w:tc>
        <w:tc>
          <w:tcPr>
            <w:tcW w:w="653" w:type="dxa"/>
            <w:vAlign w:val="bottom"/>
          </w:tcPr>
          <w:p w:rsidR="0016150E" w:rsidRPr="00D33BA5" w:rsidRDefault="00B20925" w:rsidP="000E1AE8">
            <w:pPr>
              <w:tabs>
                <w:tab w:val="decimal" w:pos="185"/>
              </w:tabs>
              <w:jc w:val="center"/>
              <w:rPr>
                <w:color w:val="000000"/>
                <w:sz w:val="20"/>
                <w:szCs w:val="20"/>
              </w:rPr>
            </w:pPr>
            <w:r>
              <w:rPr>
                <w:color w:val="000000"/>
                <w:sz w:val="20"/>
                <w:szCs w:val="20"/>
              </w:rPr>
              <w:t>.20</w:t>
            </w:r>
          </w:p>
        </w:tc>
        <w:tc>
          <w:tcPr>
            <w:tcW w:w="636" w:type="dxa"/>
            <w:vAlign w:val="bottom"/>
          </w:tcPr>
          <w:p w:rsidR="0016150E" w:rsidRPr="00D33BA5" w:rsidRDefault="00B20925" w:rsidP="000E1AE8">
            <w:pPr>
              <w:tabs>
                <w:tab w:val="decimal" w:pos="170"/>
              </w:tabs>
              <w:jc w:val="center"/>
              <w:rPr>
                <w:color w:val="000000"/>
                <w:sz w:val="20"/>
                <w:szCs w:val="20"/>
              </w:rPr>
            </w:pPr>
            <w:r>
              <w:rPr>
                <w:color w:val="000000"/>
                <w:sz w:val="20"/>
                <w:szCs w:val="20"/>
              </w:rPr>
              <w:t>.18</w:t>
            </w:r>
          </w:p>
        </w:tc>
        <w:tc>
          <w:tcPr>
            <w:tcW w:w="815" w:type="dxa"/>
            <w:vAlign w:val="bottom"/>
          </w:tcPr>
          <w:p w:rsidR="0016150E" w:rsidRPr="00D33BA5" w:rsidRDefault="00B20925" w:rsidP="000E1AE8">
            <w:pPr>
              <w:tabs>
                <w:tab w:val="decimal" w:pos="200"/>
              </w:tabs>
              <w:jc w:val="center"/>
              <w:rPr>
                <w:color w:val="000000"/>
                <w:sz w:val="20"/>
                <w:szCs w:val="20"/>
              </w:rPr>
            </w:pPr>
            <w:r w:rsidRPr="00D33BA5">
              <w:rPr>
                <w:color w:val="000000"/>
                <w:sz w:val="20"/>
                <w:szCs w:val="20"/>
              </w:rPr>
              <w:t>-</w:t>
            </w:r>
            <w:r w:rsidR="0016150E" w:rsidRPr="00D33BA5">
              <w:rPr>
                <w:color w:val="000000"/>
                <w:sz w:val="20"/>
                <w:szCs w:val="20"/>
              </w:rPr>
              <w:t>.</w:t>
            </w:r>
            <w:r>
              <w:rPr>
                <w:color w:val="000000"/>
                <w:sz w:val="20"/>
                <w:szCs w:val="20"/>
              </w:rPr>
              <w:t>10</w:t>
            </w:r>
          </w:p>
        </w:tc>
        <w:tc>
          <w:tcPr>
            <w:tcW w:w="970" w:type="dxa"/>
            <w:vAlign w:val="bottom"/>
          </w:tcPr>
          <w:p w:rsidR="0016150E" w:rsidRPr="00D33BA5" w:rsidRDefault="00B20925" w:rsidP="000E1AE8">
            <w:pPr>
              <w:tabs>
                <w:tab w:val="decimal" w:pos="178"/>
              </w:tabs>
              <w:jc w:val="center"/>
              <w:rPr>
                <w:color w:val="000000"/>
                <w:sz w:val="20"/>
                <w:szCs w:val="20"/>
              </w:rPr>
            </w:pPr>
            <w:r>
              <w:rPr>
                <w:color w:val="000000"/>
                <w:sz w:val="20"/>
                <w:szCs w:val="20"/>
              </w:rPr>
              <w:t>.18</w:t>
            </w:r>
          </w:p>
        </w:tc>
        <w:tc>
          <w:tcPr>
            <w:tcW w:w="950" w:type="dxa"/>
            <w:vAlign w:val="bottom"/>
          </w:tcPr>
          <w:p w:rsidR="0016150E" w:rsidRPr="00D33BA5" w:rsidRDefault="00B20925" w:rsidP="000E1AE8">
            <w:pPr>
              <w:tabs>
                <w:tab w:val="decimal" w:pos="171"/>
              </w:tabs>
              <w:jc w:val="center"/>
              <w:rPr>
                <w:color w:val="000000"/>
                <w:sz w:val="20"/>
                <w:szCs w:val="20"/>
              </w:rPr>
            </w:pPr>
            <w:r>
              <w:rPr>
                <w:color w:val="000000"/>
                <w:sz w:val="20"/>
                <w:szCs w:val="20"/>
              </w:rPr>
              <w:t>14.40</w:t>
            </w:r>
          </w:p>
        </w:tc>
        <w:tc>
          <w:tcPr>
            <w:tcW w:w="950" w:type="dxa"/>
            <w:vAlign w:val="bottom"/>
          </w:tcPr>
          <w:p w:rsidR="0016150E" w:rsidRPr="00D33BA5" w:rsidRDefault="00B20925" w:rsidP="000E1AE8">
            <w:pPr>
              <w:tabs>
                <w:tab w:val="decimal" w:pos="189"/>
              </w:tabs>
              <w:jc w:val="center"/>
              <w:rPr>
                <w:color w:val="000000"/>
                <w:sz w:val="20"/>
                <w:szCs w:val="20"/>
              </w:rPr>
            </w:pPr>
            <w:r>
              <w:rPr>
                <w:color w:val="000000"/>
                <w:sz w:val="20"/>
                <w:szCs w:val="20"/>
              </w:rPr>
              <w:t>14.40</w:t>
            </w:r>
          </w:p>
        </w:tc>
        <w:tc>
          <w:tcPr>
            <w:tcW w:w="644" w:type="dxa"/>
            <w:vAlign w:val="bottom"/>
          </w:tcPr>
          <w:p w:rsidR="0016150E" w:rsidRPr="00D33BA5" w:rsidRDefault="00B20925" w:rsidP="000E1AE8">
            <w:pPr>
              <w:tabs>
                <w:tab w:val="decimal" w:pos="177"/>
              </w:tabs>
              <w:jc w:val="center"/>
              <w:rPr>
                <w:color w:val="000000"/>
                <w:sz w:val="20"/>
                <w:szCs w:val="20"/>
              </w:rPr>
            </w:pPr>
            <w:r w:rsidRPr="00D33BA5">
              <w:rPr>
                <w:color w:val="000000"/>
                <w:sz w:val="20"/>
                <w:szCs w:val="20"/>
              </w:rPr>
              <w:t>-</w:t>
            </w:r>
            <w:r w:rsidR="0016150E" w:rsidRPr="00D33BA5">
              <w:rPr>
                <w:color w:val="000000"/>
                <w:sz w:val="20"/>
                <w:szCs w:val="20"/>
              </w:rPr>
              <w:t>.</w:t>
            </w:r>
            <w:r>
              <w:rPr>
                <w:color w:val="000000"/>
                <w:sz w:val="20"/>
                <w:szCs w:val="20"/>
              </w:rPr>
              <w:t xml:space="preserve">40 </w:t>
            </w:r>
          </w:p>
        </w:tc>
        <w:tc>
          <w:tcPr>
            <w:tcW w:w="283" w:type="dxa"/>
            <w:vAlign w:val="bottom"/>
          </w:tcPr>
          <w:p w:rsidR="0016150E" w:rsidRPr="00D33BA5" w:rsidRDefault="0016150E" w:rsidP="000E1AE8">
            <w:pPr>
              <w:jc w:val="center"/>
              <w:rPr>
                <w:color w:val="000000"/>
                <w:sz w:val="20"/>
                <w:szCs w:val="20"/>
              </w:rPr>
            </w:pPr>
            <w:r w:rsidRPr="00D33BA5">
              <w:rPr>
                <w:color w:val="000000"/>
                <w:sz w:val="20"/>
                <w:szCs w:val="20"/>
              </w:rPr>
              <w:t>-</w:t>
            </w:r>
          </w:p>
        </w:tc>
        <w:tc>
          <w:tcPr>
            <w:tcW w:w="611" w:type="dxa"/>
            <w:vAlign w:val="bottom"/>
          </w:tcPr>
          <w:p w:rsidR="0016150E" w:rsidRPr="00D33BA5" w:rsidRDefault="0016150E" w:rsidP="000E1AE8">
            <w:pPr>
              <w:tabs>
                <w:tab w:val="decimal" w:pos="145"/>
              </w:tabs>
              <w:jc w:val="center"/>
              <w:rPr>
                <w:color w:val="000000"/>
                <w:sz w:val="20"/>
                <w:szCs w:val="20"/>
              </w:rPr>
            </w:pPr>
            <w:r w:rsidRPr="00D33BA5">
              <w:rPr>
                <w:color w:val="000000"/>
                <w:sz w:val="20"/>
                <w:szCs w:val="20"/>
              </w:rPr>
              <w:t>.</w:t>
            </w:r>
            <w:r w:rsidR="00B20925">
              <w:rPr>
                <w:color w:val="000000"/>
                <w:sz w:val="20"/>
                <w:szCs w:val="20"/>
              </w:rPr>
              <w:t>21</w:t>
            </w:r>
          </w:p>
        </w:tc>
      </w:tr>
      <w:tr w:rsidR="0016150E" w:rsidRPr="00D33BA5" w:rsidTr="000E1AE8">
        <w:tc>
          <w:tcPr>
            <w:tcW w:w="222" w:type="dxa"/>
          </w:tcPr>
          <w:p w:rsidR="0016150E" w:rsidRPr="00D33BA5" w:rsidRDefault="0016150E" w:rsidP="000E1AE8">
            <w:pPr>
              <w:rPr>
                <w:sz w:val="20"/>
                <w:szCs w:val="20"/>
              </w:rPr>
            </w:pPr>
          </w:p>
        </w:tc>
        <w:tc>
          <w:tcPr>
            <w:tcW w:w="1572" w:type="dxa"/>
          </w:tcPr>
          <w:p w:rsidR="0016150E" w:rsidRPr="00D33BA5" w:rsidRDefault="0016150E" w:rsidP="000E1AE8">
            <w:pPr>
              <w:rPr>
                <w:sz w:val="20"/>
                <w:szCs w:val="20"/>
              </w:rPr>
            </w:pPr>
            <w:r>
              <w:rPr>
                <w:sz w:val="20"/>
                <w:szCs w:val="20"/>
              </w:rPr>
              <w:t>Responsible product choices</w:t>
            </w:r>
          </w:p>
        </w:tc>
        <w:tc>
          <w:tcPr>
            <w:tcW w:w="716" w:type="dxa"/>
            <w:vAlign w:val="bottom"/>
          </w:tcPr>
          <w:p w:rsidR="0016150E" w:rsidRPr="00D33BA5" w:rsidRDefault="00B20925" w:rsidP="000E1AE8">
            <w:pPr>
              <w:jc w:val="center"/>
              <w:rPr>
                <w:color w:val="000000"/>
                <w:sz w:val="20"/>
                <w:szCs w:val="20"/>
              </w:rPr>
            </w:pPr>
            <w:r>
              <w:rPr>
                <w:color w:val="000000"/>
                <w:sz w:val="20"/>
                <w:szCs w:val="20"/>
              </w:rPr>
              <w:t>5292</w:t>
            </w:r>
          </w:p>
        </w:tc>
        <w:tc>
          <w:tcPr>
            <w:tcW w:w="416" w:type="dxa"/>
            <w:vAlign w:val="bottom"/>
          </w:tcPr>
          <w:p w:rsidR="0016150E" w:rsidRPr="00D33BA5" w:rsidRDefault="00B20925" w:rsidP="000E1AE8">
            <w:pPr>
              <w:jc w:val="center"/>
              <w:rPr>
                <w:color w:val="000000"/>
                <w:sz w:val="20"/>
                <w:szCs w:val="20"/>
              </w:rPr>
            </w:pPr>
            <w:r>
              <w:rPr>
                <w:color w:val="000000"/>
                <w:sz w:val="20"/>
                <w:szCs w:val="20"/>
              </w:rPr>
              <w:t>8</w:t>
            </w:r>
          </w:p>
        </w:tc>
        <w:tc>
          <w:tcPr>
            <w:tcW w:w="705" w:type="dxa"/>
            <w:vAlign w:val="bottom"/>
          </w:tcPr>
          <w:p w:rsidR="0016150E" w:rsidRPr="00D33BA5" w:rsidRDefault="0016150E" w:rsidP="000E1AE8">
            <w:pPr>
              <w:tabs>
                <w:tab w:val="decimal" w:pos="129"/>
              </w:tabs>
              <w:jc w:val="center"/>
              <w:rPr>
                <w:color w:val="000000"/>
                <w:sz w:val="20"/>
                <w:szCs w:val="20"/>
              </w:rPr>
            </w:pPr>
            <w:r w:rsidRPr="00D33BA5">
              <w:rPr>
                <w:color w:val="000000"/>
                <w:sz w:val="20"/>
                <w:szCs w:val="20"/>
              </w:rPr>
              <w:t>.</w:t>
            </w:r>
            <w:r w:rsidR="00B20925">
              <w:rPr>
                <w:color w:val="000000"/>
                <w:sz w:val="20"/>
                <w:szCs w:val="20"/>
              </w:rPr>
              <w:t>25</w:t>
            </w:r>
          </w:p>
        </w:tc>
        <w:tc>
          <w:tcPr>
            <w:tcW w:w="653"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r w:rsidR="00B20925">
              <w:rPr>
                <w:color w:val="000000"/>
                <w:sz w:val="20"/>
                <w:szCs w:val="20"/>
              </w:rPr>
              <w:t>22</w:t>
            </w:r>
          </w:p>
        </w:tc>
        <w:tc>
          <w:tcPr>
            <w:tcW w:w="636" w:type="dxa"/>
            <w:vAlign w:val="bottom"/>
          </w:tcPr>
          <w:p w:rsidR="0016150E" w:rsidRPr="00D33BA5" w:rsidRDefault="0016150E" w:rsidP="000E1AE8">
            <w:pPr>
              <w:tabs>
                <w:tab w:val="decimal" w:pos="170"/>
              </w:tabs>
              <w:jc w:val="center"/>
              <w:rPr>
                <w:color w:val="000000"/>
                <w:sz w:val="20"/>
                <w:szCs w:val="20"/>
              </w:rPr>
            </w:pPr>
            <w:r w:rsidRPr="00D33BA5">
              <w:rPr>
                <w:color w:val="000000"/>
                <w:sz w:val="20"/>
                <w:szCs w:val="20"/>
              </w:rPr>
              <w:t>.</w:t>
            </w:r>
            <w:r w:rsidR="00B20925">
              <w:rPr>
                <w:color w:val="000000"/>
                <w:sz w:val="20"/>
                <w:szCs w:val="20"/>
              </w:rPr>
              <w:t>20</w:t>
            </w:r>
          </w:p>
        </w:tc>
        <w:tc>
          <w:tcPr>
            <w:tcW w:w="815" w:type="dxa"/>
            <w:vAlign w:val="bottom"/>
          </w:tcPr>
          <w:p w:rsidR="0016150E" w:rsidRPr="00D33BA5" w:rsidRDefault="0016150E" w:rsidP="000E1AE8">
            <w:pPr>
              <w:tabs>
                <w:tab w:val="decimal" w:pos="200"/>
              </w:tabs>
              <w:jc w:val="center"/>
              <w:rPr>
                <w:color w:val="000000"/>
                <w:sz w:val="20"/>
                <w:szCs w:val="20"/>
              </w:rPr>
            </w:pPr>
            <w:r w:rsidRPr="00D33BA5">
              <w:rPr>
                <w:color w:val="000000"/>
                <w:sz w:val="20"/>
                <w:szCs w:val="20"/>
              </w:rPr>
              <w:t>.</w:t>
            </w:r>
            <w:r w:rsidR="00B20925">
              <w:rPr>
                <w:color w:val="000000"/>
                <w:sz w:val="20"/>
                <w:szCs w:val="20"/>
              </w:rPr>
              <w:t>27</w:t>
            </w:r>
          </w:p>
        </w:tc>
        <w:tc>
          <w:tcPr>
            <w:tcW w:w="970" w:type="dxa"/>
            <w:vAlign w:val="bottom"/>
          </w:tcPr>
          <w:p w:rsidR="0016150E" w:rsidRPr="00D33BA5" w:rsidRDefault="0016150E" w:rsidP="000E1AE8">
            <w:pPr>
              <w:tabs>
                <w:tab w:val="decimal" w:pos="178"/>
              </w:tabs>
              <w:jc w:val="center"/>
              <w:rPr>
                <w:color w:val="000000"/>
                <w:sz w:val="20"/>
                <w:szCs w:val="20"/>
              </w:rPr>
            </w:pPr>
            <w:r w:rsidRPr="00D33BA5">
              <w:rPr>
                <w:color w:val="000000"/>
                <w:sz w:val="20"/>
                <w:szCs w:val="20"/>
              </w:rPr>
              <w:t>.</w:t>
            </w:r>
            <w:r w:rsidR="00B20925">
              <w:rPr>
                <w:color w:val="000000"/>
                <w:sz w:val="20"/>
                <w:szCs w:val="20"/>
              </w:rPr>
              <w:t>22</w:t>
            </w:r>
          </w:p>
        </w:tc>
        <w:tc>
          <w:tcPr>
            <w:tcW w:w="950" w:type="dxa"/>
            <w:vAlign w:val="bottom"/>
          </w:tcPr>
          <w:p w:rsidR="0016150E" w:rsidRPr="00D33BA5" w:rsidRDefault="00B20925" w:rsidP="000E1AE8">
            <w:pPr>
              <w:tabs>
                <w:tab w:val="decimal" w:pos="171"/>
              </w:tabs>
              <w:jc w:val="center"/>
              <w:rPr>
                <w:color w:val="000000"/>
                <w:sz w:val="20"/>
                <w:szCs w:val="20"/>
              </w:rPr>
            </w:pPr>
            <w:r>
              <w:rPr>
                <w:color w:val="000000"/>
                <w:sz w:val="20"/>
                <w:szCs w:val="20"/>
              </w:rPr>
              <w:t>13.08</w:t>
            </w:r>
          </w:p>
        </w:tc>
        <w:tc>
          <w:tcPr>
            <w:tcW w:w="950" w:type="dxa"/>
            <w:vAlign w:val="bottom"/>
          </w:tcPr>
          <w:p w:rsidR="0016150E" w:rsidRPr="00D33BA5" w:rsidRDefault="00B20925" w:rsidP="000E1AE8">
            <w:pPr>
              <w:tabs>
                <w:tab w:val="decimal" w:pos="189"/>
              </w:tabs>
              <w:jc w:val="center"/>
              <w:rPr>
                <w:color w:val="000000"/>
                <w:sz w:val="20"/>
                <w:szCs w:val="20"/>
              </w:rPr>
            </w:pPr>
            <w:r>
              <w:rPr>
                <w:color w:val="000000"/>
                <w:sz w:val="20"/>
                <w:szCs w:val="20"/>
              </w:rPr>
              <w:t>13.20</w:t>
            </w:r>
          </w:p>
        </w:tc>
        <w:tc>
          <w:tcPr>
            <w:tcW w:w="644" w:type="dxa"/>
            <w:vAlign w:val="bottom"/>
          </w:tcPr>
          <w:p w:rsidR="0016150E" w:rsidRPr="00D33BA5" w:rsidRDefault="00B20925" w:rsidP="000E1AE8">
            <w:pPr>
              <w:tabs>
                <w:tab w:val="decimal" w:pos="177"/>
              </w:tabs>
              <w:jc w:val="center"/>
              <w:rPr>
                <w:color w:val="000000"/>
                <w:sz w:val="20"/>
                <w:szCs w:val="20"/>
              </w:rPr>
            </w:pPr>
            <w:r w:rsidRPr="00D33BA5">
              <w:rPr>
                <w:color w:val="000000"/>
                <w:sz w:val="20"/>
                <w:szCs w:val="20"/>
              </w:rPr>
              <w:t>-</w:t>
            </w:r>
            <w:r w:rsidR="0016150E" w:rsidRPr="00D33BA5">
              <w:rPr>
                <w:color w:val="000000"/>
                <w:sz w:val="20"/>
                <w:szCs w:val="20"/>
              </w:rPr>
              <w:t>.</w:t>
            </w:r>
            <w:r>
              <w:rPr>
                <w:color w:val="000000"/>
                <w:sz w:val="20"/>
                <w:szCs w:val="20"/>
              </w:rPr>
              <w:t>08</w:t>
            </w:r>
          </w:p>
        </w:tc>
        <w:tc>
          <w:tcPr>
            <w:tcW w:w="283" w:type="dxa"/>
            <w:vAlign w:val="bottom"/>
          </w:tcPr>
          <w:p w:rsidR="0016150E" w:rsidRPr="00D33BA5" w:rsidRDefault="0016150E" w:rsidP="000E1AE8">
            <w:pPr>
              <w:jc w:val="center"/>
              <w:rPr>
                <w:sz w:val="20"/>
                <w:szCs w:val="20"/>
              </w:rPr>
            </w:pPr>
            <w:r w:rsidRPr="00D33BA5">
              <w:rPr>
                <w:sz w:val="20"/>
                <w:szCs w:val="20"/>
              </w:rPr>
              <w:t>-</w:t>
            </w:r>
          </w:p>
        </w:tc>
        <w:tc>
          <w:tcPr>
            <w:tcW w:w="611" w:type="dxa"/>
            <w:vAlign w:val="bottom"/>
          </w:tcPr>
          <w:p w:rsidR="0016150E" w:rsidRPr="00D33BA5" w:rsidRDefault="0016150E" w:rsidP="000E1AE8">
            <w:pPr>
              <w:tabs>
                <w:tab w:val="decimal" w:pos="145"/>
              </w:tabs>
              <w:jc w:val="center"/>
              <w:rPr>
                <w:color w:val="000000"/>
                <w:sz w:val="20"/>
                <w:szCs w:val="20"/>
              </w:rPr>
            </w:pPr>
            <w:r w:rsidRPr="00D33BA5">
              <w:rPr>
                <w:color w:val="000000"/>
                <w:sz w:val="20"/>
                <w:szCs w:val="20"/>
              </w:rPr>
              <w:t>.</w:t>
            </w:r>
            <w:r w:rsidR="00B20925">
              <w:rPr>
                <w:color w:val="000000"/>
                <w:sz w:val="20"/>
                <w:szCs w:val="20"/>
              </w:rPr>
              <w:t>6</w:t>
            </w:r>
            <w:r>
              <w:rPr>
                <w:color w:val="000000"/>
                <w:sz w:val="20"/>
                <w:szCs w:val="20"/>
              </w:rPr>
              <w:t>3</w:t>
            </w:r>
          </w:p>
        </w:tc>
      </w:tr>
      <w:tr w:rsidR="0016150E" w:rsidRPr="00D33BA5" w:rsidTr="000E1AE8">
        <w:tc>
          <w:tcPr>
            <w:tcW w:w="222" w:type="dxa"/>
          </w:tcPr>
          <w:p w:rsidR="0016150E" w:rsidRPr="00D33BA5" w:rsidRDefault="0016150E" w:rsidP="000E1AE8">
            <w:pPr>
              <w:rPr>
                <w:sz w:val="20"/>
                <w:szCs w:val="20"/>
              </w:rPr>
            </w:pPr>
          </w:p>
        </w:tc>
        <w:tc>
          <w:tcPr>
            <w:tcW w:w="1572" w:type="dxa"/>
          </w:tcPr>
          <w:p w:rsidR="0016150E" w:rsidRPr="00D33BA5" w:rsidRDefault="0016150E" w:rsidP="000E1AE8">
            <w:pPr>
              <w:rPr>
                <w:sz w:val="20"/>
                <w:szCs w:val="20"/>
              </w:rPr>
            </w:pPr>
            <w:r>
              <w:rPr>
                <w:sz w:val="20"/>
                <w:szCs w:val="20"/>
              </w:rPr>
              <w:t>Taking Initiative</w:t>
            </w:r>
          </w:p>
        </w:tc>
        <w:tc>
          <w:tcPr>
            <w:tcW w:w="716" w:type="dxa"/>
            <w:vAlign w:val="bottom"/>
          </w:tcPr>
          <w:p w:rsidR="0016150E" w:rsidRPr="00D33BA5" w:rsidRDefault="00B20925" w:rsidP="000E1AE8">
            <w:pPr>
              <w:jc w:val="center"/>
              <w:rPr>
                <w:color w:val="000000"/>
                <w:sz w:val="20"/>
                <w:szCs w:val="20"/>
              </w:rPr>
            </w:pPr>
            <w:r>
              <w:rPr>
                <w:color w:val="000000"/>
                <w:sz w:val="20"/>
                <w:szCs w:val="20"/>
              </w:rPr>
              <w:t>8056</w:t>
            </w:r>
          </w:p>
        </w:tc>
        <w:tc>
          <w:tcPr>
            <w:tcW w:w="416" w:type="dxa"/>
            <w:vAlign w:val="bottom"/>
          </w:tcPr>
          <w:p w:rsidR="0016150E" w:rsidRPr="00D33BA5" w:rsidRDefault="00B20925" w:rsidP="000E1AE8">
            <w:pPr>
              <w:jc w:val="center"/>
              <w:rPr>
                <w:color w:val="000000"/>
                <w:sz w:val="20"/>
                <w:szCs w:val="20"/>
              </w:rPr>
            </w:pPr>
            <w:r>
              <w:rPr>
                <w:color w:val="000000"/>
                <w:sz w:val="20"/>
                <w:szCs w:val="20"/>
              </w:rPr>
              <w:t>14</w:t>
            </w:r>
          </w:p>
        </w:tc>
        <w:tc>
          <w:tcPr>
            <w:tcW w:w="705" w:type="dxa"/>
            <w:vAlign w:val="bottom"/>
          </w:tcPr>
          <w:p w:rsidR="0016150E" w:rsidRPr="00D33BA5" w:rsidRDefault="0016150E" w:rsidP="000E1AE8">
            <w:pPr>
              <w:tabs>
                <w:tab w:val="decimal" w:pos="129"/>
              </w:tabs>
              <w:jc w:val="center"/>
              <w:rPr>
                <w:color w:val="000000"/>
                <w:sz w:val="20"/>
                <w:szCs w:val="20"/>
              </w:rPr>
            </w:pPr>
            <w:r w:rsidRPr="00D33BA5">
              <w:rPr>
                <w:color w:val="000000"/>
                <w:sz w:val="20"/>
                <w:szCs w:val="20"/>
              </w:rPr>
              <w:t>.</w:t>
            </w:r>
            <w:r w:rsidR="00B20925">
              <w:rPr>
                <w:color w:val="000000"/>
                <w:sz w:val="20"/>
                <w:szCs w:val="20"/>
              </w:rPr>
              <w:t>15</w:t>
            </w:r>
          </w:p>
        </w:tc>
        <w:tc>
          <w:tcPr>
            <w:tcW w:w="653" w:type="dxa"/>
            <w:vAlign w:val="bottom"/>
          </w:tcPr>
          <w:p w:rsidR="0016150E" w:rsidRPr="00D33BA5" w:rsidRDefault="0016150E" w:rsidP="000E1AE8">
            <w:pPr>
              <w:tabs>
                <w:tab w:val="decimal" w:pos="185"/>
              </w:tabs>
              <w:jc w:val="center"/>
              <w:rPr>
                <w:color w:val="000000"/>
                <w:sz w:val="20"/>
                <w:szCs w:val="20"/>
              </w:rPr>
            </w:pPr>
            <w:r w:rsidRPr="00D33BA5">
              <w:rPr>
                <w:color w:val="000000"/>
                <w:sz w:val="20"/>
                <w:szCs w:val="20"/>
              </w:rPr>
              <w:t>.</w:t>
            </w:r>
            <w:r w:rsidR="00B20925">
              <w:rPr>
                <w:color w:val="000000"/>
                <w:sz w:val="20"/>
                <w:szCs w:val="20"/>
              </w:rPr>
              <w:t>31</w:t>
            </w:r>
          </w:p>
        </w:tc>
        <w:tc>
          <w:tcPr>
            <w:tcW w:w="636" w:type="dxa"/>
            <w:vAlign w:val="bottom"/>
          </w:tcPr>
          <w:p w:rsidR="0016150E" w:rsidRPr="00D33BA5" w:rsidRDefault="0016150E" w:rsidP="000E1AE8">
            <w:pPr>
              <w:tabs>
                <w:tab w:val="decimal" w:pos="170"/>
              </w:tabs>
              <w:jc w:val="center"/>
              <w:rPr>
                <w:color w:val="000000"/>
                <w:sz w:val="20"/>
                <w:szCs w:val="20"/>
              </w:rPr>
            </w:pPr>
            <w:r w:rsidRPr="00D33BA5">
              <w:rPr>
                <w:color w:val="000000"/>
                <w:sz w:val="20"/>
                <w:szCs w:val="20"/>
              </w:rPr>
              <w:t>.</w:t>
            </w:r>
            <w:r w:rsidR="00B20925">
              <w:rPr>
                <w:color w:val="000000"/>
                <w:sz w:val="20"/>
                <w:szCs w:val="20"/>
              </w:rPr>
              <w:t>3</w:t>
            </w:r>
            <w:r>
              <w:rPr>
                <w:color w:val="000000"/>
                <w:sz w:val="20"/>
                <w:szCs w:val="20"/>
              </w:rPr>
              <w:t>0</w:t>
            </w:r>
          </w:p>
        </w:tc>
        <w:tc>
          <w:tcPr>
            <w:tcW w:w="815" w:type="dxa"/>
            <w:vAlign w:val="bottom"/>
          </w:tcPr>
          <w:p w:rsidR="0016150E" w:rsidRPr="00D33BA5" w:rsidRDefault="0016150E" w:rsidP="000E1AE8">
            <w:pPr>
              <w:tabs>
                <w:tab w:val="decimal" w:pos="200"/>
              </w:tabs>
              <w:jc w:val="center"/>
              <w:rPr>
                <w:color w:val="000000"/>
                <w:sz w:val="20"/>
                <w:szCs w:val="20"/>
              </w:rPr>
            </w:pPr>
            <w:r w:rsidRPr="00D33BA5">
              <w:rPr>
                <w:color w:val="000000"/>
                <w:sz w:val="20"/>
                <w:szCs w:val="20"/>
              </w:rPr>
              <w:t>.</w:t>
            </w:r>
            <w:r w:rsidR="00B20925">
              <w:rPr>
                <w:color w:val="000000"/>
                <w:sz w:val="20"/>
                <w:szCs w:val="20"/>
              </w:rPr>
              <w:t>1</w:t>
            </w:r>
            <w:r>
              <w:rPr>
                <w:color w:val="000000"/>
                <w:sz w:val="20"/>
                <w:szCs w:val="20"/>
              </w:rPr>
              <w:t>7</w:t>
            </w:r>
          </w:p>
        </w:tc>
        <w:tc>
          <w:tcPr>
            <w:tcW w:w="970" w:type="dxa"/>
            <w:vAlign w:val="bottom"/>
          </w:tcPr>
          <w:p w:rsidR="0016150E" w:rsidRPr="00D33BA5" w:rsidRDefault="0016150E" w:rsidP="000E1AE8">
            <w:pPr>
              <w:tabs>
                <w:tab w:val="decimal" w:pos="178"/>
              </w:tabs>
              <w:jc w:val="center"/>
              <w:rPr>
                <w:color w:val="000000"/>
                <w:sz w:val="20"/>
                <w:szCs w:val="20"/>
              </w:rPr>
            </w:pPr>
            <w:r w:rsidRPr="00D33BA5">
              <w:rPr>
                <w:color w:val="000000"/>
                <w:sz w:val="20"/>
                <w:szCs w:val="20"/>
              </w:rPr>
              <w:t>.</w:t>
            </w:r>
            <w:r w:rsidR="00B20925">
              <w:rPr>
                <w:color w:val="000000"/>
                <w:sz w:val="20"/>
                <w:szCs w:val="20"/>
              </w:rPr>
              <w:t>34</w:t>
            </w:r>
          </w:p>
        </w:tc>
        <w:tc>
          <w:tcPr>
            <w:tcW w:w="950" w:type="dxa"/>
            <w:vAlign w:val="bottom"/>
          </w:tcPr>
          <w:p w:rsidR="0016150E" w:rsidRPr="00D33BA5" w:rsidRDefault="00B20925" w:rsidP="000E1AE8">
            <w:pPr>
              <w:tabs>
                <w:tab w:val="decimal" w:pos="171"/>
              </w:tabs>
              <w:jc w:val="center"/>
              <w:rPr>
                <w:color w:val="000000"/>
                <w:sz w:val="20"/>
                <w:szCs w:val="20"/>
              </w:rPr>
            </w:pPr>
            <w:r>
              <w:rPr>
                <w:color w:val="000000"/>
                <w:sz w:val="20"/>
                <w:szCs w:val="20"/>
              </w:rPr>
              <w:t>7.15</w:t>
            </w:r>
          </w:p>
        </w:tc>
        <w:tc>
          <w:tcPr>
            <w:tcW w:w="950" w:type="dxa"/>
            <w:vAlign w:val="bottom"/>
          </w:tcPr>
          <w:p w:rsidR="0016150E" w:rsidRPr="00D33BA5" w:rsidRDefault="00B20925" w:rsidP="000E1AE8">
            <w:pPr>
              <w:tabs>
                <w:tab w:val="decimal" w:pos="189"/>
              </w:tabs>
              <w:jc w:val="center"/>
              <w:rPr>
                <w:color w:val="000000"/>
                <w:sz w:val="20"/>
                <w:szCs w:val="20"/>
              </w:rPr>
            </w:pPr>
            <w:r>
              <w:rPr>
                <w:color w:val="000000"/>
                <w:sz w:val="20"/>
                <w:szCs w:val="20"/>
              </w:rPr>
              <w:t>7.16</w:t>
            </w:r>
          </w:p>
        </w:tc>
        <w:tc>
          <w:tcPr>
            <w:tcW w:w="644" w:type="dxa"/>
            <w:vAlign w:val="bottom"/>
          </w:tcPr>
          <w:p w:rsidR="0016150E" w:rsidRPr="00D33BA5" w:rsidRDefault="0016150E" w:rsidP="00B20925">
            <w:pPr>
              <w:tabs>
                <w:tab w:val="decimal" w:pos="177"/>
              </w:tabs>
              <w:jc w:val="center"/>
              <w:rPr>
                <w:color w:val="000000"/>
                <w:sz w:val="20"/>
                <w:szCs w:val="20"/>
              </w:rPr>
            </w:pPr>
            <w:r w:rsidRPr="00D33BA5">
              <w:rPr>
                <w:color w:val="000000"/>
                <w:sz w:val="20"/>
                <w:szCs w:val="20"/>
              </w:rPr>
              <w:t>-.</w:t>
            </w:r>
            <w:r w:rsidR="00B20925">
              <w:rPr>
                <w:color w:val="000000"/>
                <w:sz w:val="20"/>
                <w:szCs w:val="20"/>
              </w:rPr>
              <w:t>4</w:t>
            </w:r>
            <w:r>
              <w:rPr>
                <w:color w:val="000000"/>
                <w:sz w:val="20"/>
                <w:szCs w:val="20"/>
              </w:rPr>
              <w:t>0</w:t>
            </w:r>
          </w:p>
        </w:tc>
        <w:tc>
          <w:tcPr>
            <w:tcW w:w="283" w:type="dxa"/>
            <w:vAlign w:val="bottom"/>
          </w:tcPr>
          <w:p w:rsidR="0016150E" w:rsidRPr="00D33BA5" w:rsidRDefault="0016150E" w:rsidP="000E1AE8">
            <w:pPr>
              <w:jc w:val="center"/>
              <w:rPr>
                <w:sz w:val="20"/>
                <w:szCs w:val="20"/>
              </w:rPr>
            </w:pPr>
            <w:r w:rsidRPr="00D33BA5">
              <w:rPr>
                <w:sz w:val="20"/>
                <w:szCs w:val="20"/>
              </w:rPr>
              <w:t>-</w:t>
            </w:r>
          </w:p>
        </w:tc>
        <w:tc>
          <w:tcPr>
            <w:tcW w:w="611" w:type="dxa"/>
            <w:vAlign w:val="bottom"/>
          </w:tcPr>
          <w:p w:rsidR="0016150E" w:rsidRPr="00D33BA5" w:rsidRDefault="0016150E" w:rsidP="00B20925">
            <w:pPr>
              <w:tabs>
                <w:tab w:val="decimal" w:pos="145"/>
              </w:tabs>
              <w:jc w:val="center"/>
              <w:rPr>
                <w:color w:val="000000"/>
                <w:sz w:val="20"/>
                <w:szCs w:val="20"/>
              </w:rPr>
            </w:pPr>
            <w:r w:rsidRPr="00D33BA5">
              <w:rPr>
                <w:color w:val="000000"/>
                <w:sz w:val="20"/>
                <w:szCs w:val="20"/>
              </w:rPr>
              <w:t>.</w:t>
            </w:r>
            <w:r w:rsidR="00B20925">
              <w:rPr>
                <w:color w:val="000000"/>
                <w:sz w:val="20"/>
                <w:szCs w:val="20"/>
              </w:rPr>
              <w:t>73</w:t>
            </w:r>
          </w:p>
        </w:tc>
      </w:tr>
      <w:tr w:rsidR="0016150E" w:rsidRPr="00D33BA5" w:rsidTr="00CE5646">
        <w:tc>
          <w:tcPr>
            <w:tcW w:w="1794" w:type="dxa"/>
            <w:gridSpan w:val="2"/>
          </w:tcPr>
          <w:p w:rsidR="0016150E" w:rsidRPr="00D33BA5" w:rsidRDefault="0016150E" w:rsidP="00CE5646">
            <w:pPr>
              <w:rPr>
                <w:i/>
                <w:sz w:val="20"/>
                <w:szCs w:val="20"/>
              </w:rPr>
            </w:pPr>
            <w:r w:rsidRPr="00D33BA5">
              <w:rPr>
                <w:i/>
                <w:sz w:val="20"/>
                <w:szCs w:val="20"/>
              </w:rPr>
              <w:t>Motivation</w:t>
            </w:r>
          </w:p>
        </w:tc>
        <w:tc>
          <w:tcPr>
            <w:tcW w:w="716" w:type="dxa"/>
            <w:vAlign w:val="bottom"/>
          </w:tcPr>
          <w:p w:rsidR="0016150E" w:rsidRPr="00D33BA5" w:rsidRDefault="0016150E" w:rsidP="00CE5646">
            <w:pPr>
              <w:jc w:val="center"/>
              <w:rPr>
                <w:sz w:val="20"/>
                <w:szCs w:val="20"/>
              </w:rPr>
            </w:pPr>
          </w:p>
        </w:tc>
        <w:tc>
          <w:tcPr>
            <w:tcW w:w="416" w:type="dxa"/>
            <w:vAlign w:val="bottom"/>
          </w:tcPr>
          <w:p w:rsidR="0016150E" w:rsidRPr="00D33BA5" w:rsidRDefault="0016150E" w:rsidP="00CE5646">
            <w:pPr>
              <w:jc w:val="center"/>
              <w:rPr>
                <w:sz w:val="20"/>
                <w:szCs w:val="20"/>
              </w:rPr>
            </w:pPr>
          </w:p>
        </w:tc>
        <w:tc>
          <w:tcPr>
            <w:tcW w:w="705" w:type="dxa"/>
            <w:vAlign w:val="bottom"/>
          </w:tcPr>
          <w:p w:rsidR="0016150E" w:rsidRPr="00D33BA5" w:rsidRDefault="0016150E" w:rsidP="00CE5646">
            <w:pPr>
              <w:tabs>
                <w:tab w:val="decimal" w:pos="129"/>
              </w:tabs>
              <w:jc w:val="center"/>
              <w:rPr>
                <w:sz w:val="20"/>
                <w:szCs w:val="20"/>
              </w:rPr>
            </w:pPr>
          </w:p>
        </w:tc>
        <w:tc>
          <w:tcPr>
            <w:tcW w:w="653" w:type="dxa"/>
            <w:vAlign w:val="bottom"/>
          </w:tcPr>
          <w:p w:rsidR="0016150E" w:rsidRPr="00D33BA5" w:rsidRDefault="0016150E" w:rsidP="00CE5646">
            <w:pPr>
              <w:tabs>
                <w:tab w:val="decimal" w:pos="185"/>
              </w:tabs>
              <w:jc w:val="center"/>
              <w:rPr>
                <w:sz w:val="20"/>
                <w:szCs w:val="20"/>
              </w:rPr>
            </w:pPr>
          </w:p>
        </w:tc>
        <w:tc>
          <w:tcPr>
            <w:tcW w:w="636" w:type="dxa"/>
            <w:vAlign w:val="bottom"/>
          </w:tcPr>
          <w:p w:rsidR="0016150E" w:rsidRPr="00D33BA5" w:rsidRDefault="0016150E" w:rsidP="00CE5646">
            <w:pPr>
              <w:tabs>
                <w:tab w:val="decimal" w:pos="170"/>
              </w:tabs>
              <w:jc w:val="center"/>
              <w:rPr>
                <w:sz w:val="20"/>
                <w:szCs w:val="20"/>
              </w:rPr>
            </w:pPr>
          </w:p>
        </w:tc>
        <w:tc>
          <w:tcPr>
            <w:tcW w:w="815" w:type="dxa"/>
            <w:vAlign w:val="bottom"/>
          </w:tcPr>
          <w:p w:rsidR="0016150E" w:rsidRPr="00D33BA5" w:rsidRDefault="0016150E" w:rsidP="00CE5646">
            <w:pPr>
              <w:tabs>
                <w:tab w:val="decimal" w:pos="200"/>
              </w:tabs>
              <w:jc w:val="center"/>
              <w:rPr>
                <w:sz w:val="20"/>
                <w:szCs w:val="20"/>
              </w:rPr>
            </w:pPr>
          </w:p>
        </w:tc>
        <w:tc>
          <w:tcPr>
            <w:tcW w:w="970" w:type="dxa"/>
            <w:vAlign w:val="bottom"/>
          </w:tcPr>
          <w:p w:rsidR="0016150E" w:rsidRPr="00D33BA5" w:rsidRDefault="0016150E" w:rsidP="00CE5646">
            <w:pPr>
              <w:tabs>
                <w:tab w:val="decimal" w:pos="178"/>
              </w:tabs>
              <w:jc w:val="center"/>
              <w:rPr>
                <w:sz w:val="20"/>
                <w:szCs w:val="20"/>
              </w:rPr>
            </w:pPr>
          </w:p>
        </w:tc>
        <w:tc>
          <w:tcPr>
            <w:tcW w:w="950" w:type="dxa"/>
            <w:vAlign w:val="bottom"/>
          </w:tcPr>
          <w:p w:rsidR="0016150E" w:rsidRPr="00D33BA5" w:rsidRDefault="0016150E" w:rsidP="00CE5646">
            <w:pPr>
              <w:tabs>
                <w:tab w:val="decimal" w:pos="171"/>
              </w:tabs>
              <w:jc w:val="center"/>
              <w:rPr>
                <w:sz w:val="20"/>
                <w:szCs w:val="20"/>
              </w:rPr>
            </w:pPr>
          </w:p>
        </w:tc>
        <w:tc>
          <w:tcPr>
            <w:tcW w:w="950" w:type="dxa"/>
            <w:vAlign w:val="bottom"/>
          </w:tcPr>
          <w:p w:rsidR="0016150E" w:rsidRPr="00D33BA5" w:rsidRDefault="0016150E" w:rsidP="00CE5646">
            <w:pPr>
              <w:tabs>
                <w:tab w:val="decimal" w:pos="189"/>
              </w:tabs>
              <w:jc w:val="center"/>
              <w:rPr>
                <w:sz w:val="20"/>
                <w:szCs w:val="20"/>
              </w:rPr>
            </w:pPr>
          </w:p>
        </w:tc>
        <w:tc>
          <w:tcPr>
            <w:tcW w:w="644" w:type="dxa"/>
            <w:vAlign w:val="bottom"/>
          </w:tcPr>
          <w:p w:rsidR="0016150E" w:rsidRPr="00D33BA5" w:rsidRDefault="0016150E" w:rsidP="00CE5646">
            <w:pPr>
              <w:tabs>
                <w:tab w:val="decimal" w:pos="177"/>
              </w:tabs>
              <w:jc w:val="center"/>
              <w:rPr>
                <w:sz w:val="20"/>
                <w:szCs w:val="20"/>
              </w:rPr>
            </w:pPr>
          </w:p>
        </w:tc>
        <w:tc>
          <w:tcPr>
            <w:tcW w:w="283" w:type="dxa"/>
            <w:vAlign w:val="bottom"/>
          </w:tcPr>
          <w:p w:rsidR="0016150E" w:rsidRPr="00D33BA5" w:rsidRDefault="0016150E" w:rsidP="00CE5646">
            <w:pPr>
              <w:jc w:val="center"/>
              <w:rPr>
                <w:color w:val="000000"/>
                <w:sz w:val="20"/>
                <w:szCs w:val="20"/>
              </w:rPr>
            </w:pPr>
          </w:p>
        </w:tc>
        <w:tc>
          <w:tcPr>
            <w:tcW w:w="611" w:type="dxa"/>
            <w:vAlign w:val="bottom"/>
          </w:tcPr>
          <w:p w:rsidR="0016150E" w:rsidRPr="00D33BA5" w:rsidRDefault="0016150E" w:rsidP="00CE5646">
            <w:pPr>
              <w:tabs>
                <w:tab w:val="decimal" w:pos="145"/>
              </w:tabs>
              <w:jc w:val="center"/>
              <w:rPr>
                <w:sz w:val="20"/>
                <w:szCs w:val="20"/>
              </w:rPr>
            </w:pPr>
          </w:p>
        </w:tc>
      </w:tr>
      <w:tr w:rsidR="0016150E" w:rsidRPr="00D33BA5" w:rsidTr="00CE5646">
        <w:tc>
          <w:tcPr>
            <w:tcW w:w="222" w:type="dxa"/>
          </w:tcPr>
          <w:p w:rsidR="0016150E" w:rsidRPr="00D33BA5" w:rsidRDefault="0016150E" w:rsidP="00CE5646">
            <w:pPr>
              <w:rPr>
                <w:sz w:val="20"/>
                <w:szCs w:val="20"/>
              </w:rPr>
            </w:pPr>
          </w:p>
        </w:tc>
        <w:tc>
          <w:tcPr>
            <w:tcW w:w="1572" w:type="dxa"/>
          </w:tcPr>
          <w:p w:rsidR="0016150E" w:rsidRPr="0052227E" w:rsidRDefault="0016150E" w:rsidP="00CE5646">
            <w:pPr>
              <w:rPr>
                <w:sz w:val="20"/>
                <w:szCs w:val="20"/>
              </w:rPr>
            </w:pPr>
            <w:r w:rsidRPr="0052227E">
              <w:rPr>
                <w:sz w:val="20"/>
                <w:szCs w:val="20"/>
              </w:rPr>
              <w:t>Social Responsibility</w:t>
            </w:r>
          </w:p>
        </w:tc>
        <w:tc>
          <w:tcPr>
            <w:tcW w:w="716" w:type="dxa"/>
            <w:vAlign w:val="bottom"/>
          </w:tcPr>
          <w:p w:rsidR="0016150E" w:rsidRPr="00D33BA5" w:rsidRDefault="0016150E" w:rsidP="00CE5646">
            <w:pPr>
              <w:jc w:val="center"/>
              <w:rPr>
                <w:color w:val="000000"/>
                <w:sz w:val="20"/>
                <w:szCs w:val="20"/>
              </w:rPr>
            </w:pPr>
            <w:r>
              <w:rPr>
                <w:color w:val="000000"/>
                <w:sz w:val="20"/>
                <w:szCs w:val="20"/>
              </w:rPr>
              <w:t>977</w:t>
            </w:r>
          </w:p>
        </w:tc>
        <w:tc>
          <w:tcPr>
            <w:tcW w:w="416" w:type="dxa"/>
            <w:vAlign w:val="bottom"/>
          </w:tcPr>
          <w:p w:rsidR="0016150E" w:rsidRPr="00D33BA5" w:rsidRDefault="0016150E" w:rsidP="00CE5646">
            <w:pPr>
              <w:jc w:val="center"/>
              <w:rPr>
                <w:color w:val="000000"/>
                <w:sz w:val="20"/>
                <w:szCs w:val="20"/>
              </w:rPr>
            </w:pPr>
            <w:r>
              <w:rPr>
                <w:color w:val="000000"/>
                <w:sz w:val="20"/>
                <w:szCs w:val="20"/>
              </w:rPr>
              <w:t>2</w:t>
            </w:r>
          </w:p>
        </w:tc>
        <w:tc>
          <w:tcPr>
            <w:tcW w:w="705" w:type="dxa"/>
            <w:vAlign w:val="bottom"/>
          </w:tcPr>
          <w:p w:rsidR="0016150E" w:rsidRPr="00D33BA5" w:rsidRDefault="0016150E" w:rsidP="00CE5646">
            <w:pPr>
              <w:tabs>
                <w:tab w:val="decimal" w:pos="129"/>
              </w:tabs>
              <w:jc w:val="center"/>
              <w:rPr>
                <w:color w:val="000000"/>
                <w:sz w:val="20"/>
                <w:szCs w:val="20"/>
              </w:rPr>
            </w:pPr>
            <w:r w:rsidRPr="00D33BA5">
              <w:rPr>
                <w:color w:val="000000"/>
                <w:sz w:val="20"/>
                <w:szCs w:val="20"/>
              </w:rPr>
              <w:t>.</w:t>
            </w:r>
            <w:r>
              <w:rPr>
                <w:color w:val="000000"/>
                <w:sz w:val="20"/>
                <w:szCs w:val="20"/>
              </w:rPr>
              <w:t>15</w:t>
            </w:r>
          </w:p>
        </w:tc>
        <w:tc>
          <w:tcPr>
            <w:tcW w:w="653" w:type="dxa"/>
            <w:vAlign w:val="bottom"/>
          </w:tcPr>
          <w:p w:rsidR="0016150E" w:rsidRPr="00D33BA5" w:rsidRDefault="0016150E" w:rsidP="00CE5646">
            <w:pPr>
              <w:tabs>
                <w:tab w:val="decimal" w:pos="185"/>
              </w:tabs>
              <w:jc w:val="center"/>
              <w:rPr>
                <w:color w:val="000000"/>
                <w:sz w:val="20"/>
                <w:szCs w:val="20"/>
              </w:rPr>
            </w:pPr>
            <w:r>
              <w:rPr>
                <w:color w:val="000000"/>
                <w:sz w:val="20"/>
                <w:szCs w:val="20"/>
              </w:rPr>
              <w:t>.07</w:t>
            </w:r>
          </w:p>
        </w:tc>
        <w:tc>
          <w:tcPr>
            <w:tcW w:w="636" w:type="dxa"/>
            <w:vAlign w:val="bottom"/>
          </w:tcPr>
          <w:p w:rsidR="0016150E" w:rsidRPr="00D33BA5" w:rsidRDefault="0016150E" w:rsidP="00CE5646">
            <w:pPr>
              <w:tabs>
                <w:tab w:val="decimal" w:pos="170"/>
              </w:tabs>
              <w:jc w:val="center"/>
              <w:rPr>
                <w:color w:val="000000"/>
                <w:sz w:val="20"/>
                <w:szCs w:val="20"/>
              </w:rPr>
            </w:pPr>
            <w:r>
              <w:rPr>
                <w:color w:val="000000"/>
                <w:sz w:val="20"/>
                <w:szCs w:val="20"/>
              </w:rPr>
              <w:t>.00</w:t>
            </w:r>
          </w:p>
        </w:tc>
        <w:tc>
          <w:tcPr>
            <w:tcW w:w="815" w:type="dxa"/>
            <w:vAlign w:val="bottom"/>
          </w:tcPr>
          <w:p w:rsidR="0016150E" w:rsidRPr="00D33BA5" w:rsidRDefault="0016150E" w:rsidP="00CE5646">
            <w:pPr>
              <w:tabs>
                <w:tab w:val="decimal" w:pos="200"/>
              </w:tabs>
              <w:jc w:val="center"/>
              <w:rPr>
                <w:color w:val="000000"/>
                <w:sz w:val="20"/>
                <w:szCs w:val="20"/>
              </w:rPr>
            </w:pPr>
            <w:r w:rsidRPr="00D33BA5">
              <w:rPr>
                <w:color w:val="000000"/>
                <w:sz w:val="20"/>
                <w:szCs w:val="20"/>
              </w:rPr>
              <w:t>.</w:t>
            </w:r>
            <w:r>
              <w:rPr>
                <w:color w:val="000000"/>
                <w:sz w:val="20"/>
                <w:szCs w:val="20"/>
              </w:rPr>
              <w:t>15</w:t>
            </w:r>
          </w:p>
        </w:tc>
        <w:tc>
          <w:tcPr>
            <w:tcW w:w="970" w:type="dxa"/>
            <w:vAlign w:val="bottom"/>
          </w:tcPr>
          <w:p w:rsidR="0016150E" w:rsidRPr="00D33BA5" w:rsidRDefault="0016150E" w:rsidP="00CE5646">
            <w:pPr>
              <w:tabs>
                <w:tab w:val="decimal" w:pos="178"/>
              </w:tabs>
              <w:jc w:val="center"/>
              <w:rPr>
                <w:color w:val="000000"/>
                <w:sz w:val="20"/>
                <w:szCs w:val="20"/>
              </w:rPr>
            </w:pPr>
            <w:r>
              <w:rPr>
                <w:color w:val="000000"/>
                <w:sz w:val="20"/>
                <w:szCs w:val="20"/>
              </w:rPr>
              <w:t>.00</w:t>
            </w:r>
          </w:p>
        </w:tc>
        <w:tc>
          <w:tcPr>
            <w:tcW w:w="950" w:type="dxa"/>
            <w:vAlign w:val="bottom"/>
          </w:tcPr>
          <w:p w:rsidR="0016150E" w:rsidRPr="00D33BA5" w:rsidRDefault="0016150E" w:rsidP="00CE5646">
            <w:pPr>
              <w:tabs>
                <w:tab w:val="decimal" w:pos="171"/>
              </w:tabs>
              <w:jc w:val="center"/>
              <w:rPr>
                <w:color w:val="000000"/>
                <w:sz w:val="20"/>
                <w:szCs w:val="20"/>
              </w:rPr>
            </w:pPr>
            <w:r w:rsidRPr="00D33BA5">
              <w:rPr>
                <w:color w:val="000000"/>
                <w:sz w:val="20"/>
                <w:szCs w:val="20"/>
              </w:rPr>
              <w:t>--</w:t>
            </w:r>
          </w:p>
        </w:tc>
        <w:tc>
          <w:tcPr>
            <w:tcW w:w="950" w:type="dxa"/>
            <w:vAlign w:val="bottom"/>
          </w:tcPr>
          <w:p w:rsidR="0016150E" w:rsidRPr="00D33BA5" w:rsidRDefault="0016150E" w:rsidP="00CE5646">
            <w:pPr>
              <w:tabs>
                <w:tab w:val="decimal" w:pos="189"/>
              </w:tabs>
              <w:jc w:val="center"/>
              <w:rPr>
                <w:color w:val="000000"/>
                <w:sz w:val="20"/>
                <w:szCs w:val="20"/>
              </w:rPr>
            </w:pPr>
            <w:r w:rsidRPr="00D33BA5">
              <w:rPr>
                <w:color w:val="000000"/>
                <w:sz w:val="20"/>
                <w:szCs w:val="20"/>
              </w:rPr>
              <w:t>--</w:t>
            </w:r>
          </w:p>
        </w:tc>
        <w:tc>
          <w:tcPr>
            <w:tcW w:w="644" w:type="dxa"/>
            <w:vAlign w:val="bottom"/>
          </w:tcPr>
          <w:p w:rsidR="0016150E" w:rsidRPr="00D33BA5" w:rsidRDefault="0016150E" w:rsidP="00CE5646">
            <w:pPr>
              <w:tabs>
                <w:tab w:val="decimal" w:pos="177"/>
              </w:tabs>
              <w:jc w:val="center"/>
              <w:rPr>
                <w:color w:val="000000"/>
                <w:sz w:val="20"/>
                <w:szCs w:val="20"/>
              </w:rPr>
            </w:pPr>
            <w:r w:rsidRPr="00D33BA5">
              <w:rPr>
                <w:color w:val="000000"/>
                <w:sz w:val="20"/>
                <w:szCs w:val="20"/>
              </w:rPr>
              <w:t>.</w:t>
            </w:r>
            <w:r>
              <w:rPr>
                <w:color w:val="000000"/>
                <w:sz w:val="20"/>
                <w:szCs w:val="20"/>
              </w:rPr>
              <w:t>15</w:t>
            </w:r>
          </w:p>
        </w:tc>
        <w:tc>
          <w:tcPr>
            <w:tcW w:w="283" w:type="dxa"/>
            <w:vAlign w:val="bottom"/>
          </w:tcPr>
          <w:p w:rsidR="0016150E" w:rsidRPr="00D33BA5" w:rsidRDefault="0016150E" w:rsidP="00CE5646">
            <w:pPr>
              <w:jc w:val="center"/>
              <w:rPr>
                <w:color w:val="000000"/>
                <w:sz w:val="20"/>
                <w:szCs w:val="20"/>
              </w:rPr>
            </w:pPr>
            <w:r w:rsidRPr="00D33BA5">
              <w:rPr>
                <w:color w:val="000000"/>
                <w:sz w:val="20"/>
                <w:szCs w:val="20"/>
              </w:rPr>
              <w:t>-</w:t>
            </w:r>
          </w:p>
        </w:tc>
        <w:tc>
          <w:tcPr>
            <w:tcW w:w="611" w:type="dxa"/>
            <w:vAlign w:val="bottom"/>
          </w:tcPr>
          <w:p w:rsidR="0016150E" w:rsidRPr="00D33BA5" w:rsidRDefault="0016150E" w:rsidP="00CE5646">
            <w:pPr>
              <w:tabs>
                <w:tab w:val="decimal" w:pos="145"/>
              </w:tabs>
              <w:jc w:val="center"/>
              <w:rPr>
                <w:color w:val="000000"/>
                <w:sz w:val="20"/>
                <w:szCs w:val="20"/>
              </w:rPr>
            </w:pPr>
            <w:r w:rsidRPr="00D33BA5">
              <w:rPr>
                <w:color w:val="000000"/>
                <w:sz w:val="20"/>
                <w:szCs w:val="20"/>
              </w:rPr>
              <w:t>.</w:t>
            </w:r>
            <w:r>
              <w:rPr>
                <w:color w:val="000000"/>
                <w:sz w:val="20"/>
                <w:szCs w:val="20"/>
              </w:rPr>
              <w:t>15</w:t>
            </w:r>
          </w:p>
        </w:tc>
      </w:tr>
      <w:tr w:rsidR="0016150E" w:rsidRPr="00D33BA5" w:rsidTr="00CE5646">
        <w:tc>
          <w:tcPr>
            <w:tcW w:w="222" w:type="dxa"/>
          </w:tcPr>
          <w:p w:rsidR="0016150E" w:rsidRPr="00D33BA5" w:rsidRDefault="0016150E" w:rsidP="00CE5646">
            <w:pPr>
              <w:rPr>
                <w:sz w:val="20"/>
                <w:szCs w:val="20"/>
              </w:rPr>
            </w:pPr>
          </w:p>
        </w:tc>
        <w:tc>
          <w:tcPr>
            <w:tcW w:w="1572" w:type="dxa"/>
          </w:tcPr>
          <w:p w:rsidR="0016150E" w:rsidRPr="00D33BA5" w:rsidRDefault="0016150E" w:rsidP="00CE5646">
            <w:pPr>
              <w:rPr>
                <w:sz w:val="20"/>
                <w:szCs w:val="20"/>
              </w:rPr>
            </w:pPr>
            <w:r>
              <w:rPr>
                <w:sz w:val="20"/>
                <w:szCs w:val="20"/>
              </w:rPr>
              <w:t>Self-E</w:t>
            </w:r>
            <w:r w:rsidRPr="00D33BA5">
              <w:rPr>
                <w:sz w:val="20"/>
                <w:szCs w:val="20"/>
              </w:rPr>
              <w:t>fficacy</w:t>
            </w:r>
          </w:p>
        </w:tc>
        <w:tc>
          <w:tcPr>
            <w:tcW w:w="716" w:type="dxa"/>
            <w:vAlign w:val="bottom"/>
          </w:tcPr>
          <w:p w:rsidR="0016150E" w:rsidRPr="00D33BA5" w:rsidRDefault="0016150E" w:rsidP="00CE5646">
            <w:pPr>
              <w:jc w:val="center"/>
              <w:rPr>
                <w:color w:val="000000"/>
                <w:sz w:val="20"/>
                <w:szCs w:val="20"/>
              </w:rPr>
            </w:pPr>
            <w:r>
              <w:rPr>
                <w:color w:val="000000"/>
                <w:sz w:val="20"/>
                <w:szCs w:val="20"/>
              </w:rPr>
              <w:t>1478</w:t>
            </w:r>
          </w:p>
        </w:tc>
        <w:tc>
          <w:tcPr>
            <w:tcW w:w="416" w:type="dxa"/>
            <w:vAlign w:val="bottom"/>
          </w:tcPr>
          <w:p w:rsidR="0016150E" w:rsidRPr="00D33BA5" w:rsidRDefault="0016150E" w:rsidP="00CE5646">
            <w:pPr>
              <w:jc w:val="center"/>
              <w:rPr>
                <w:color w:val="000000"/>
                <w:sz w:val="20"/>
                <w:szCs w:val="20"/>
              </w:rPr>
            </w:pPr>
            <w:r w:rsidRPr="00D33BA5">
              <w:rPr>
                <w:color w:val="000000"/>
                <w:sz w:val="20"/>
                <w:szCs w:val="20"/>
              </w:rPr>
              <w:t>4</w:t>
            </w:r>
          </w:p>
        </w:tc>
        <w:tc>
          <w:tcPr>
            <w:tcW w:w="705" w:type="dxa"/>
            <w:vAlign w:val="bottom"/>
          </w:tcPr>
          <w:p w:rsidR="0016150E" w:rsidRPr="00D33BA5" w:rsidRDefault="0016150E" w:rsidP="00CE5646">
            <w:pPr>
              <w:tabs>
                <w:tab w:val="decimal" w:pos="129"/>
              </w:tabs>
              <w:jc w:val="center"/>
              <w:rPr>
                <w:color w:val="000000"/>
                <w:sz w:val="20"/>
                <w:szCs w:val="20"/>
              </w:rPr>
            </w:pPr>
            <w:r w:rsidRPr="00D33BA5">
              <w:rPr>
                <w:color w:val="000000"/>
                <w:sz w:val="20"/>
                <w:szCs w:val="20"/>
              </w:rPr>
              <w:t>.</w:t>
            </w:r>
            <w:r>
              <w:rPr>
                <w:color w:val="000000"/>
                <w:sz w:val="20"/>
                <w:szCs w:val="20"/>
              </w:rPr>
              <w:t>26</w:t>
            </w:r>
          </w:p>
        </w:tc>
        <w:tc>
          <w:tcPr>
            <w:tcW w:w="653" w:type="dxa"/>
            <w:vAlign w:val="bottom"/>
          </w:tcPr>
          <w:p w:rsidR="0016150E" w:rsidRPr="00D33BA5" w:rsidRDefault="0016150E" w:rsidP="00CE5646">
            <w:pPr>
              <w:tabs>
                <w:tab w:val="decimal" w:pos="185"/>
              </w:tabs>
              <w:jc w:val="center"/>
              <w:rPr>
                <w:color w:val="000000"/>
                <w:sz w:val="20"/>
                <w:szCs w:val="20"/>
              </w:rPr>
            </w:pPr>
            <w:r w:rsidRPr="00D33BA5">
              <w:rPr>
                <w:color w:val="000000"/>
                <w:sz w:val="20"/>
                <w:szCs w:val="20"/>
              </w:rPr>
              <w:t>.</w:t>
            </w:r>
            <w:r>
              <w:rPr>
                <w:color w:val="000000"/>
                <w:sz w:val="20"/>
                <w:szCs w:val="20"/>
              </w:rPr>
              <w:t>16</w:t>
            </w:r>
          </w:p>
        </w:tc>
        <w:tc>
          <w:tcPr>
            <w:tcW w:w="636" w:type="dxa"/>
            <w:vAlign w:val="bottom"/>
          </w:tcPr>
          <w:p w:rsidR="0016150E" w:rsidRPr="00D33BA5" w:rsidRDefault="0016150E" w:rsidP="00CE5646">
            <w:pPr>
              <w:tabs>
                <w:tab w:val="decimal" w:pos="170"/>
              </w:tabs>
              <w:jc w:val="center"/>
              <w:rPr>
                <w:color w:val="000000"/>
                <w:sz w:val="20"/>
                <w:szCs w:val="20"/>
              </w:rPr>
            </w:pPr>
            <w:r w:rsidRPr="00D33BA5">
              <w:rPr>
                <w:color w:val="000000"/>
                <w:sz w:val="20"/>
                <w:szCs w:val="20"/>
              </w:rPr>
              <w:t>.</w:t>
            </w:r>
            <w:r>
              <w:rPr>
                <w:color w:val="000000"/>
                <w:sz w:val="20"/>
                <w:szCs w:val="20"/>
              </w:rPr>
              <w:t>13</w:t>
            </w:r>
          </w:p>
        </w:tc>
        <w:tc>
          <w:tcPr>
            <w:tcW w:w="815" w:type="dxa"/>
            <w:vAlign w:val="bottom"/>
          </w:tcPr>
          <w:p w:rsidR="0016150E" w:rsidRPr="00D33BA5" w:rsidRDefault="0016150E" w:rsidP="00CE5646">
            <w:pPr>
              <w:tabs>
                <w:tab w:val="decimal" w:pos="200"/>
              </w:tabs>
              <w:jc w:val="center"/>
              <w:rPr>
                <w:color w:val="000000"/>
                <w:sz w:val="20"/>
                <w:szCs w:val="20"/>
              </w:rPr>
            </w:pPr>
            <w:r w:rsidRPr="00D33BA5">
              <w:rPr>
                <w:color w:val="000000"/>
                <w:sz w:val="20"/>
                <w:szCs w:val="20"/>
              </w:rPr>
              <w:t>.</w:t>
            </w:r>
            <w:r>
              <w:rPr>
                <w:color w:val="000000"/>
                <w:sz w:val="20"/>
                <w:szCs w:val="20"/>
              </w:rPr>
              <w:t>29</w:t>
            </w:r>
          </w:p>
        </w:tc>
        <w:tc>
          <w:tcPr>
            <w:tcW w:w="970" w:type="dxa"/>
            <w:vAlign w:val="bottom"/>
          </w:tcPr>
          <w:p w:rsidR="0016150E" w:rsidRPr="00D33BA5" w:rsidRDefault="0016150E" w:rsidP="00CE5646">
            <w:pPr>
              <w:tabs>
                <w:tab w:val="decimal" w:pos="178"/>
              </w:tabs>
              <w:jc w:val="center"/>
              <w:rPr>
                <w:color w:val="000000"/>
                <w:sz w:val="20"/>
                <w:szCs w:val="20"/>
              </w:rPr>
            </w:pPr>
            <w:r w:rsidRPr="00D33BA5">
              <w:rPr>
                <w:color w:val="000000"/>
                <w:sz w:val="20"/>
                <w:szCs w:val="20"/>
              </w:rPr>
              <w:t>.</w:t>
            </w:r>
            <w:r>
              <w:rPr>
                <w:color w:val="000000"/>
                <w:sz w:val="20"/>
                <w:szCs w:val="20"/>
              </w:rPr>
              <w:t>14</w:t>
            </w:r>
          </w:p>
        </w:tc>
        <w:tc>
          <w:tcPr>
            <w:tcW w:w="950" w:type="dxa"/>
            <w:vAlign w:val="bottom"/>
          </w:tcPr>
          <w:p w:rsidR="0016150E" w:rsidRPr="00D33BA5" w:rsidRDefault="0016150E" w:rsidP="00CE5646">
            <w:pPr>
              <w:tabs>
                <w:tab w:val="decimal" w:pos="171"/>
              </w:tabs>
              <w:jc w:val="center"/>
              <w:rPr>
                <w:color w:val="000000"/>
                <w:sz w:val="20"/>
                <w:szCs w:val="20"/>
              </w:rPr>
            </w:pPr>
            <w:r>
              <w:rPr>
                <w:color w:val="000000"/>
                <w:sz w:val="20"/>
                <w:szCs w:val="20"/>
              </w:rPr>
              <w:t>40.44</w:t>
            </w:r>
          </w:p>
        </w:tc>
        <w:tc>
          <w:tcPr>
            <w:tcW w:w="950" w:type="dxa"/>
            <w:vAlign w:val="bottom"/>
          </w:tcPr>
          <w:p w:rsidR="0016150E" w:rsidRPr="00D33BA5" w:rsidRDefault="0016150E" w:rsidP="00CE5646">
            <w:pPr>
              <w:tabs>
                <w:tab w:val="decimal" w:pos="189"/>
              </w:tabs>
              <w:jc w:val="center"/>
              <w:rPr>
                <w:color w:val="000000"/>
                <w:sz w:val="20"/>
                <w:szCs w:val="20"/>
              </w:rPr>
            </w:pPr>
            <w:r>
              <w:rPr>
                <w:color w:val="000000"/>
                <w:sz w:val="20"/>
                <w:szCs w:val="20"/>
              </w:rPr>
              <w:t>40.48</w:t>
            </w:r>
          </w:p>
        </w:tc>
        <w:tc>
          <w:tcPr>
            <w:tcW w:w="644" w:type="dxa"/>
            <w:vAlign w:val="bottom"/>
          </w:tcPr>
          <w:p w:rsidR="0016150E" w:rsidRPr="00D33BA5" w:rsidRDefault="0016150E" w:rsidP="00CE5646">
            <w:pPr>
              <w:tabs>
                <w:tab w:val="decimal" w:pos="177"/>
              </w:tabs>
              <w:jc w:val="center"/>
              <w:rPr>
                <w:color w:val="000000"/>
                <w:sz w:val="20"/>
                <w:szCs w:val="20"/>
              </w:rPr>
            </w:pPr>
            <w:r w:rsidRPr="00D33BA5">
              <w:rPr>
                <w:color w:val="000000"/>
                <w:sz w:val="20"/>
                <w:szCs w:val="20"/>
              </w:rPr>
              <w:t>.</w:t>
            </w:r>
            <w:r>
              <w:rPr>
                <w:color w:val="000000"/>
                <w:sz w:val="20"/>
                <w:szCs w:val="20"/>
              </w:rPr>
              <w:t>06</w:t>
            </w:r>
          </w:p>
        </w:tc>
        <w:tc>
          <w:tcPr>
            <w:tcW w:w="283" w:type="dxa"/>
            <w:vAlign w:val="bottom"/>
          </w:tcPr>
          <w:p w:rsidR="0016150E" w:rsidRPr="00D33BA5" w:rsidRDefault="0016150E" w:rsidP="00CE5646">
            <w:pPr>
              <w:jc w:val="center"/>
              <w:rPr>
                <w:sz w:val="20"/>
                <w:szCs w:val="20"/>
              </w:rPr>
            </w:pPr>
            <w:r w:rsidRPr="00D33BA5">
              <w:rPr>
                <w:sz w:val="20"/>
                <w:szCs w:val="20"/>
              </w:rPr>
              <w:t>-</w:t>
            </w:r>
          </w:p>
        </w:tc>
        <w:tc>
          <w:tcPr>
            <w:tcW w:w="611" w:type="dxa"/>
            <w:vAlign w:val="bottom"/>
          </w:tcPr>
          <w:p w:rsidR="0016150E" w:rsidRPr="00D33BA5" w:rsidRDefault="0016150E" w:rsidP="00CE5646">
            <w:pPr>
              <w:tabs>
                <w:tab w:val="decimal" w:pos="145"/>
              </w:tabs>
              <w:jc w:val="center"/>
              <w:rPr>
                <w:color w:val="000000"/>
                <w:sz w:val="20"/>
                <w:szCs w:val="20"/>
              </w:rPr>
            </w:pPr>
            <w:r w:rsidRPr="00D33BA5">
              <w:rPr>
                <w:color w:val="000000"/>
                <w:sz w:val="20"/>
                <w:szCs w:val="20"/>
              </w:rPr>
              <w:t>.</w:t>
            </w:r>
            <w:r>
              <w:rPr>
                <w:color w:val="000000"/>
                <w:sz w:val="20"/>
                <w:szCs w:val="20"/>
              </w:rPr>
              <w:t>53</w:t>
            </w:r>
          </w:p>
        </w:tc>
      </w:tr>
      <w:tr w:rsidR="0016150E" w:rsidRPr="00D33BA5" w:rsidTr="00CE5646">
        <w:tc>
          <w:tcPr>
            <w:tcW w:w="222" w:type="dxa"/>
          </w:tcPr>
          <w:p w:rsidR="0016150E" w:rsidRPr="00D33BA5" w:rsidRDefault="0016150E" w:rsidP="00CE5646">
            <w:pPr>
              <w:rPr>
                <w:sz w:val="20"/>
                <w:szCs w:val="20"/>
              </w:rPr>
            </w:pPr>
          </w:p>
        </w:tc>
        <w:tc>
          <w:tcPr>
            <w:tcW w:w="1572" w:type="dxa"/>
          </w:tcPr>
          <w:p w:rsidR="0016150E" w:rsidRPr="00D33BA5" w:rsidRDefault="0016150E" w:rsidP="00CE5646">
            <w:pPr>
              <w:rPr>
                <w:sz w:val="20"/>
                <w:szCs w:val="20"/>
              </w:rPr>
            </w:pPr>
            <w:r w:rsidRPr="00D33BA5">
              <w:rPr>
                <w:sz w:val="20"/>
                <w:szCs w:val="20"/>
              </w:rPr>
              <w:t>Expectancy</w:t>
            </w:r>
          </w:p>
        </w:tc>
        <w:tc>
          <w:tcPr>
            <w:tcW w:w="716" w:type="dxa"/>
            <w:vAlign w:val="bottom"/>
          </w:tcPr>
          <w:p w:rsidR="0016150E" w:rsidRPr="00D33BA5" w:rsidRDefault="0016150E" w:rsidP="00CE5646">
            <w:pPr>
              <w:jc w:val="center"/>
              <w:rPr>
                <w:color w:val="000000"/>
                <w:sz w:val="20"/>
                <w:szCs w:val="20"/>
              </w:rPr>
            </w:pPr>
            <w:r>
              <w:rPr>
                <w:color w:val="000000"/>
                <w:sz w:val="20"/>
                <w:szCs w:val="20"/>
              </w:rPr>
              <w:t>1046</w:t>
            </w:r>
          </w:p>
        </w:tc>
        <w:tc>
          <w:tcPr>
            <w:tcW w:w="416" w:type="dxa"/>
            <w:vAlign w:val="bottom"/>
          </w:tcPr>
          <w:p w:rsidR="0016150E" w:rsidRPr="00D33BA5" w:rsidRDefault="0016150E" w:rsidP="00CE5646">
            <w:pPr>
              <w:jc w:val="center"/>
              <w:rPr>
                <w:color w:val="000000"/>
                <w:sz w:val="20"/>
                <w:szCs w:val="20"/>
              </w:rPr>
            </w:pPr>
            <w:r>
              <w:rPr>
                <w:color w:val="000000"/>
                <w:sz w:val="20"/>
                <w:szCs w:val="20"/>
              </w:rPr>
              <w:t>3</w:t>
            </w:r>
          </w:p>
        </w:tc>
        <w:tc>
          <w:tcPr>
            <w:tcW w:w="705" w:type="dxa"/>
            <w:vAlign w:val="bottom"/>
          </w:tcPr>
          <w:p w:rsidR="0016150E" w:rsidRPr="00D33BA5" w:rsidRDefault="0016150E" w:rsidP="00CE5646">
            <w:pPr>
              <w:tabs>
                <w:tab w:val="decimal" w:pos="129"/>
              </w:tabs>
              <w:jc w:val="center"/>
              <w:rPr>
                <w:color w:val="000000"/>
                <w:sz w:val="20"/>
                <w:szCs w:val="20"/>
              </w:rPr>
            </w:pPr>
            <w:r w:rsidRPr="00D33BA5">
              <w:rPr>
                <w:color w:val="000000"/>
                <w:sz w:val="20"/>
                <w:szCs w:val="20"/>
              </w:rPr>
              <w:t>.</w:t>
            </w:r>
            <w:r>
              <w:rPr>
                <w:color w:val="000000"/>
                <w:sz w:val="20"/>
                <w:szCs w:val="20"/>
              </w:rPr>
              <w:t>25</w:t>
            </w:r>
          </w:p>
        </w:tc>
        <w:tc>
          <w:tcPr>
            <w:tcW w:w="653" w:type="dxa"/>
            <w:vAlign w:val="bottom"/>
          </w:tcPr>
          <w:p w:rsidR="0016150E" w:rsidRPr="00D33BA5" w:rsidRDefault="0016150E" w:rsidP="00CE5646">
            <w:pPr>
              <w:tabs>
                <w:tab w:val="decimal" w:pos="185"/>
              </w:tabs>
              <w:jc w:val="center"/>
              <w:rPr>
                <w:color w:val="000000"/>
                <w:sz w:val="20"/>
                <w:szCs w:val="20"/>
              </w:rPr>
            </w:pPr>
            <w:r w:rsidRPr="00D33BA5">
              <w:rPr>
                <w:color w:val="000000"/>
                <w:sz w:val="20"/>
                <w:szCs w:val="20"/>
              </w:rPr>
              <w:t>.</w:t>
            </w:r>
            <w:r>
              <w:rPr>
                <w:color w:val="000000"/>
                <w:sz w:val="20"/>
                <w:szCs w:val="20"/>
              </w:rPr>
              <w:t>23</w:t>
            </w:r>
          </w:p>
        </w:tc>
        <w:tc>
          <w:tcPr>
            <w:tcW w:w="636" w:type="dxa"/>
            <w:vAlign w:val="bottom"/>
          </w:tcPr>
          <w:p w:rsidR="0016150E" w:rsidRPr="00D33BA5" w:rsidRDefault="0016150E" w:rsidP="00CE5646">
            <w:pPr>
              <w:tabs>
                <w:tab w:val="decimal" w:pos="170"/>
              </w:tabs>
              <w:jc w:val="center"/>
              <w:rPr>
                <w:color w:val="000000"/>
                <w:sz w:val="20"/>
                <w:szCs w:val="20"/>
              </w:rPr>
            </w:pPr>
            <w:r w:rsidRPr="00D33BA5">
              <w:rPr>
                <w:color w:val="000000"/>
                <w:sz w:val="20"/>
                <w:szCs w:val="20"/>
              </w:rPr>
              <w:t>.</w:t>
            </w:r>
            <w:r>
              <w:rPr>
                <w:color w:val="000000"/>
                <w:sz w:val="20"/>
                <w:szCs w:val="20"/>
              </w:rPr>
              <w:t>20</w:t>
            </w:r>
          </w:p>
        </w:tc>
        <w:tc>
          <w:tcPr>
            <w:tcW w:w="815" w:type="dxa"/>
            <w:vAlign w:val="bottom"/>
          </w:tcPr>
          <w:p w:rsidR="0016150E" w:rsidRPr="00D33BA5" w:rsidRDefault="0016150E" w:rsidP="00CE5646">
            <w:pPr>
              <w:tabs>
                <w:tab w:val="decimal" w:pos="200"/>
              </w:tabs>
              <w:jc w:val="center"/>
              <w:rPr>
                <w:color w:val="000000"/>
                <w:sz w:val="20"/>
                <w:szCs w:val="20"/>
              </w:rPr>
            </w:pPr>
            <w:r w:rsidRPr="00D33BA5">
              <w:rPr>
                <w:color w:val="000000"/>
                <w:sz w:val="20"/>
                <w:szCs w:val="20"/>
              </w:rPr>
              <w:t>.</w:t>
            </w:r>
            <w:r>
              <w:rPr>
                <w:color w:val="000000"/>
                <w:sz w:val="20"/>
                <w:szCs w:val="20"/>
              </w:rPr>
              <w:t>27</w:t>
            </w:r>
          </w:p>
        </w:tc>
        <w:tc>
          <w:tcPr>
            <w:tcW w:w="970" w:type="dxa"/>
            <w:vAlign w:val="bottom"/>
          </w:tcPr>
          <w:p w:rsidR="0016150E" w:rsidRPr="00D33BA5" w:rsidRDefault="0016150E" w:rsidP="00CE5646">
            <w:pPr>
              <w:tabs>
                <w:tab w:val="decimal" w:pos="178"/>
              </w:tabs>
              <w:jc w:val="center"/>
              <w:rPr>
                <w:color w:val="000000"/>
                <w:sz w:val="20"/>
                <w:szCs w:val="20"/>
              </w:rPr>
            </w:pPr>
            <w:r w:rsidRPr="00D33BA5">
              <w:rPr>
                <w:color w:val="000000"/>
                <w:sz w:val="20"/>
                <w:szCs w:val="20"/>
              </w:rPr>
              <w:t>.</w:t>
            </w:r>
            <w:r>
              <w:rPr>
                <w:color w:val="000000"/>
                <w:sz w:val="20"/>
                <w:szCs w:val="20"/>
              </w:rPr>
              <w:t>22</w:t>
            </w:r>
          </w:p>
        </w:tc>
        <w:tc>
          <w:tcPr>
            <w:tcW w:w="950" w:type="dxa"/>
            <w:vAlign w:val="bottom"/>
          </w:tcPr>
          <w:p w:rsidR="0016150E" w:rsidRPr="00D33BA5" w:rsidRDefault="0016150E" w:rsidP="00CE5646">
            <w:pPr>
              <w:tabs>
                <w:tab w:val="decimal" w:pos="171"/>
              </w:tabs>
              <w:jc w:val="center"/>
              <w:rPr>
                <w:color w:val="000000"/>
                <w:sz w:val="20"/>
                <w:szCs w:val="20"/>
              </w:rPr>
            </w:pPr>
            <w:r>
              <w:rPr>
                <w:color w:val="000000"/>
                <w:sz w:val="20"/>
                <w:szCs w:val="20"/>
              </w:rPr>
              <w:t>21.65</w:t>
            </w:r>
          </w:p>
        </w:tc>
        <w:tc>
          <w:tcPr>
            <w:tcW w:w="950" w:type="dxa"/>
            <w:vAlign w:val="bottom"/>
          </w:tcPr>
          <w:p w:rsidR="0016150E" w:rsidRPr="00D33BA5" w:rsidRDefault="0016150E" w:rsidP="00CE5646">
            <w:pPr>
              <w:tabs>
                <w:tab w:val="decimal" w:pos="189"/>
              </w:tabs>
              <w:jc w:val="center"/>
              <w:rPr>
                <w:color w:val="000000"/>
                <w:sz w:val="20"/>
                <w:szCs w:val="20"/>
              </w:rPr>
            </w:pPr>
            <w:r>
              <w:rPr>
                <w:color w:val="000000"/>
                <w:sz w:val="20"/>
                <w:szCs w:val="20"/>
              </w:rPr>
              <w:t>22.20</w:t>
            </w:r>
          </w:p>
        </w:tc>
        <w:tc>
          <w:tcPr>
            <w:tcW w:w="644" w:type="dxa"/>
            <w:vAlign w:val="bottom"/>
          </w:tcPr>
          <w:p w:rsidR="0016150E" w:rsidRPr="00D33BA5" w:rsidRDefault="0016150E" w:rsidP="00CE5646">
            <w:pPr>
              <w:tabs>
                <w:tab w:val="decimal" w:pos="177"/>
              </w:tabs>
              <w:jc w:val="center"/>
              <w:rPr>
                <w:color w:val="000000"/>
                <w:sz w:val="20"/>
                <w:szCs w:val="20"/>
              </w:rPr>
            </w:pPr>
            <w:r w:rsidRPr="00D33BA5">
              <w:rPr>
                <w:color w:val="000000"/>
                <w:sz w:val="20"/>
                <w:szCs w:val="20"/>
              </w:rPr>
              <w:t>-.</w:t>
            </w:r>
            <w:r>
              <w:rPr>
                <w:color w:val="000000"/>
                <w:sz w:val="20"/>
                <w:szCs w:val="20"/>
              </w:rPr>
              <w:t>10</w:t>
            </w:r>
          </w:p>
        </w:tc>
        <w:tc>
          <w:tcPr>
            <w:tcW w:w="283" w:type="dxa"/>
            <w:vAlign w:val="bottom"/>
          </w:tcPr>
          <w:p w:rsidR="0016150E" w:rsidRPr="00D33BA5" w:rsidRDefault="0016150E" w:rsidP="00CE5646">
            <w:pPr>
              <w:jc w:val="center"/>
              <w:rPr>
                <w:sz w:val="20"/>
                <w:szCs w:val="20"/>
              </w:rPr>
            </w:pPr>
            <w:r w:rsidRPr="00D33BA5">
              <w:rPr>
                <w:sz w:val="20"/>
                <w:szCs w:val="20"/>
              </w:rPr>
              <w:t>-</w:t>
            </w:r>
          </w:p>
        </w:tc>
        <w:tc>
          <w:tcPr>
            <w:tcW w:w="611" w:type="dxa"/>
            <w:vAlign w:val="bottom"/>
          </w:tcPr>
          <w:p w:rsidR="0016150E" w:rsidRPr="00D33BA5" w:rsidRDefault="0016150E" w:rsidP="00CE5646">
            <w:pPr>
              <w:tabs>
                <w:tab w:val="decimal" w:pos="145"/>
              </w:tabs>
              <w:jc w:val="center"/>
              <w:rPr>
                <w:color w:val="000000"/>
                <w:sz w:val="20"/>
                <w:szCs w:val="20"/>
              </w:rPr>
            </w:pPr>
            <w:r w:rsidRPr="00D33BA5">
              <w:rPr>
                <w:color w:val="000000"/>
                <w:sz w:val="20"/>
                <w:szCs w:val="20"/>
              </w:rPr>
              <w:t>.</w:t>
            </w:r>
            <w:r>
              <w:rPr>
                <w:color w:val="000000"/>
                <w:sz w:val="20"/>
                <w:szCs w:val="20"/>
              </w:rPr>
              <w:t>64</w:t>
            </w:r>
          </w:p>
        </w:tc>
      </w:tr>
      <w:tr w:rsidR="0016150E" w:rsidRPr="00D33BA5" w:rsidTr="00677FB7">
        <w:tc>
          <w:tcPr>
            <w:tcW w:w="222" w:type="dxa"/>
          </w:tcPr>
          <w:p w:rsidR="0016150E" w:rsidRPr="00D33BA5" w:rsidRDefault="0016150E" w:rsidP="00CE5646">
            <w:pPr>
              <w:rPr>
                <w:sz w:val="20"/>
                <w:szCs w:val="20"/>
              </w:rPr>
            </w:pPr>
          </w:p>
        </w:tc>
        <w:tc>
          <w:tcPr>
            <w:tcW w:w="1572" w:type="dxa"/>
          </w:tcPr>
          <w:p w:rsidR="0016150E" w:rsidRPr="00D33BA5" w:rsidRDefault="0016150E" w:rsidP="00CE5646">
            <w:pPr>
              <w:rPr>
                <w:sz w:val="20"/>
                <w:szCs w:val="20"/>
              </w:rPr>
            </w:pPr>
            <w:r>
              <w:rPr>
                <w:sz w:val="20"/>
                <w:szCs w:val="20"/>
              </w:rPr>
              <w:t>Lack of Knowledge</w:t>
            </w:r>
          </w:p>
        </w:tc>
        <w:tc>
          <w:tcPr>
            <w:tcW w:w="716" w:type="dxa"/>
            <w:vAlign w:val="bottom"/>
          </w:tcPr>
          <w:p w:rsidR="0016150E" w:rsidRPr="00D33BA5" w:rsidRDefault="0016150E" w:rsidP="00CE5646">
            <w:pPr>
              <w:jc w:val="center"/>
              <w:rPr>
                <w:color w:val="000000"/>
                <w:sz w:val="20"/>
                <w:szCs w:val="20"/>
              </w:rPr>
            </w:pPr>
            <w:r>
              <w:rPr>
                <w:color w:val="000000"/>
                <w:sz w:val="20"/>
                <w:szCs w:val="20"/>
              </w:rPr>
              <w:t>2922</w:t>
            </w:r>
          </w:p>
        </w:tc>
        <w:tc>
          <w:tcPr>
            <w:tcW w:w="416" w:type="dxa"/>
            <w:vAlign w:val="bottom"/>
          </w:tcPr>
          <w:p w:rsidR="0016150E" w:rsidRPr="00D33BA5" w:rsidRDefault="0016150E" w:rsidP="00CE5646">
            <w:pPr>
              <w:jc w:val="center"/>
              <w:rPr>
                <w:color w:val="000000"/>
                <w:sz w:val="20"/>
                <w:szCs w:val="20"/>
              </w:rPr>
            </w:pPr>
            <w:r>
              <w:rPr>
                <w:color w:val="000000"/>
                <w:sz w:val="20"/>
                <w:szCs w:val="20"/>
              </w:rPr>
              <w:t>1</w:t>
            </w:r>
          </w:p>
        </w:tc>
        <w:tc>
          <w:tcPr>
            <w:tcW w:w="705" w:type="dxa"/>
            <w:vAlign w:val="bottom"/>
          </w:tcPr>
          <w:p w:rsidR="0016150E" w:rsidRPr="00D33BA5" w:rsidRDefault="0016150E" w:rsidP="00CE5646">
            <w:pPr>
              <w:tabs>
                <w:tab w:val="decimal" w:pos="129"/>
              </w:tabs>
              <w:jc w:val="center"/>
              <w:rPr>
                <w:color w:val="000000"/>
                <w:sz w:val="20"/>
                <w:szCs w:val="20"/>
              </w:rPr>
            </w:pPr>
            <w:r w:rsidRPr="00D33BA5">
              <w:rPr>
                <w:color w:val="000000"/>
                <w:sz w:val="20"/>
                <w:szCs w:val="20"/>
              </w:rPr>
              <w:t>.</w:t>
            </w:r>
            <w:r>
              <w:rPr>
                <w:color w:val="000000"/>
                <w:sz w:val="20"/>
                <w:szCs w:val="20"/>
              </w:rPr>
              <w:t>17</w:t>
            </w:r>
          </w:p>
        </w:tc>
        <w:tc>
          <w:tcPr>
            <w:tcW w:w="653" w:type="dxa"/>
            <w:vAlign w:val="bottom"/>
          </w:tcPr>
          <w:p w:rsidR="0016150E" w:rsidRPr="00D33BA5" w:rsidRDefault="0016150E" w:rsidP="00CE5646">
            <w:pPr>
              <w:tabs>
                <w:tab w:val="decimal" w:pos="185"/>
              </w:tabs>
              <w:jc w:val="center"/>
              <w:rPr>
                <w:color w:val="000000"/>
                <w:sz w:val="20"/>
                <w:szCs w:val="20"/>
              </w:rPr>
            </w:pPr>
            <w:r>
              <w:rPr>
                <w:color w:val="000000"/>
                <w:sz w:val="20"/>
                <w:szCs w:val="20"/>
              </w:rPr>
              <w:t xml:space="preserve"> --</w:t>
            </w:r>
          </w:p>
        </w:tc>
        <w:tc>
          <w:tcPr>
            <w:tcW w:w="636" w:type="dxa"/>
            <w:vAlign w:val="bottom"/>
          </w:tcPr>
          <w:p w:rsidR="0016150E" w:rsidRPr="00D33BA5" w:rsidRDefault="0016150E" w:rsidP="00CE5646">
            <w:pPr>
              <w:tabs>
                <w:tab w:val="decimal" w:pos="170"/>
              </w:tabs>
              <w:jc w:val="center"/>
              <w:rPr>
                <w:color w:val="000000"/>
                <w:sz w:val="20"/>
                <w:szCs w:val="20"/>
              </w:rPr>
            </w:pPr>
            <w:r>
              <w:rPr>
                <w:color w:val="000000"/>
                <w:sz w:val="20"/>
                <w:szCs w:val="20"/>
              </w:rPr>
              <w:t>--</w:t>
            </w:r>
          </w:p>
        </w:tc>
        <w:tc>
          <w:tcPr>
            <w:tcW w:w="815" w:type="dxa"/>
            <w:vAlign w:val="bottom"/>
          </w:tcPr>
          <w:p w:rsidR="0016150E" w:rsidRPr="00D33BA5" w:rsidRDefault="0016150E" w:rsidP="00CE5646">
            <w:pPr>
              <w:tabs>
                <w:tab w:val="decimal" w:pos="200"/>
              </w:tabs>
              <w:jc w:val="center"/>
              <w:rPr>
                <w:color w:val="000000"/>
                <w:sz w:val="20"/>
                <w:szCs w:val="20"/>
              </w:rPr>
            </w:pPr>
            <w:r w:rsidRPr="00D33BA5">
              <w:rPr>
                <w:color w:val="000000"/>
                <w:sz w:val="20"/>
                <w:szCs w:val="20"/>
              </w:rPr>
              <w:t>.</w:t>
            </w:r>
            <w:r>
              <w:rPr>
                <w:color w:val="000000"/>
                <w:sz w:val="20"/>
                <w:szCs w:val="20"/>
              </w:rPr>
              <w:t>20</w:t>
            </w:r>
          </w:p>
        </w:tc>
        <w:tc>
          <w:tcPr>
            <w:tcW w:w="970" w:type="dxa"/>
            <w:vAlign w:val="bottom"/>
          </w:tcPr>
          <w:p w:rsidR="0016150E" w:rsidRPr="00D33BA5" w:rsidRDefault="0016150E" w:rsidP="00CE5646">
            <w:pPr>
              <w:tabs>
                <w:tab w:val="decimal" w:pos="178"/>
              </w:tabs>
              <w:jc w:val="center"/>
              <w:rPr>
                <w:color w:val="000000"/>
                <w:sz w:val="20"/>
                <w:szCs w:val="20"/>
              </w:rPr>
            </w:pPr>
            <w:r>
              <w:rPr>
                <w:color w:val="000000"/>
                <w:sz w:val="20"/>
                <w:szCs w:val="20"/>
              </w:rPr>
              <w:t>--</w:t>
            </w:r>
          </w:p>
        </w:tc>
        <w:tc>
          <w:tcPr>
            <w:tcW w:w="950" w:type="dxa"/>
            <w:vAlign w:val="bottom"/>
          </w:tcPr>
          <w:p w:rsidR="0016150E" w:rsidRPr="00D33BA5" w:rsidRDefault="0016150E" w:rsidP="00CE5646">
            <w:pPr>
              <w:tabs>
                <w:tab w:val="decimal" w:pos="171"/>
              </w:tabs>
              <w:jc w:val="center"/>
              <w:rPr>
                <w:color w:val="000000"/>
                <w:sz w:val="20"/>
                <w:szCs w:val="20"/>
              </w:rPr>
            </w:pPr>
            <w:r>
              <w:rPr>
                <w:color w:val="000000"/>
                <w:sz w:val="20"/>
                <w:szCs w:val="20"/>
              </w:rPr>
              <w:t>--</w:t>
            </w:r>
          </w:p>
        </w:tc>
        <w:tc>
          <w:tcPr>
            <w:tcW w:w="950" w:type="dxa"/>
            <w:vAlign w:val="bottom"/>
          </w:tcPr>
          <w:p w:rsidR="0016150E" w:rsidRPr="00D33BA5" w:rsidRDefault="0016150E" w:rsidP="00CE5646">
            <w:pPr>
              <w:tabs>
                <w:tab w:val="decimal" w:pos="189"/>
              </w:tabs>
              <w:jc w:val="center"/>
              <w:rPr>
                <w:color w:val="000000"/>
                <w:sz w:val="20"/>
                <w:szCs w:val="20"/>
              </w:rPr>
            </w:pPr>
            <w:r>
              <w:rPr>
                <w:color w:val="000000"/>
                <w:sz w:val="20"/>
                <w:szCs w:val="20"/>
              </w:rPr>
              <w:t>--</w:t>
            </w:r>
          </w:p>
        </w:tc>
        <w:tc>
          <w:tcPr>
            <w:tcW w:w="644" w:type="dxa"/>
            <w:vAlign w:val="bottom"/>
          </w:tcPr>
          <w:p w:rsidR="0016150E" w:rsidRPr="00D33BA5" w:rsidRDefault="0016150E" w:rsidP="00CE5646">
            <w:pPr>
              <w:tabs>
                <w:tab w:val="decimal" w:pos="177"/>
              </w:tabs>
              <w:jc w:val="center"/>
              <w:rPr>
                <w:color w:val="000000"/>
                <w:sz w:val="20"/>
                <w:szCs w:val="20"/>
              </w:rPr>
            </w:pPr>
            <w:r>
              <w:rPr>
                <w:color w:val="000000"/>
                <w:sz w:val="20"/>
                <w:szCs w:val="20"/>
              </w:rPr>
              <w:t>--</w:t>
            </w:r>
          </w:p>
        </w:tc>
        <w:tc>
          <w:tcPr>
            <w:tcW w:w="283" w:type="dxa"/>
            <w:vAlign w:val="bottom"/>
          </w:tcPr>
          <w:p w:rsidR="0016150E" w:rsidRPr="00D33BA5" w:rsidRDefault="0016150E" w:rsidP="00CE5646">
            <w:pPr>
              <w:jc w:val="center"/>
              <w:rPr>
                <w:sz w:val="20"/>
                <w:szCs w:val="20"/>
              </w:rPr>
            </w:pPr>
          </w:p>
        </w:tc>
        <w:tc>
          <w:tcPr>
            <w:tcW w:w="611" w:type="dxa"/>
            <w:vAlign w:val="bottom"/>
          </w:tcPr>
          <w:p w:rsidR="0016150E" w:rsidRPr="00D33BA5" w:rsidRDefault="0016150E" w:rsidP="00CE5646">
            <w:pPr>
              <w:tabs>
                <w:tab w:val="decimal" w:pos="145"/>
              </w:tabs>
              <w:jc w:val="center"/>
              <w:rPr>
                <w:color w:val="000000"/>
                <w:sz w:val="20"/>
                <w:szCs w:val="20"/>
              </w:rPr>
            </w:pPr>
            <w:r>
              <w:rPr>
                <w:color w:val="000000"/>
                <w:sz w:val="20"/>
                <w:szCs w:val="20"/>
              </w:rPr>
              <w:t>--</w:t>
            </w:r>
          </w:p>
        </w:tc>
      </w:tr>
      <w:tr w:rsidR="0016150E" w:rsidRPr="00D33BA5" w:rsidTr="00677FB7">
        <w:tc>
          <w:tcPr>
            <w:tcW w:w="222" w:type="dxa"/>
            <w:tcBorders>
              <w:bottom w:val="single" w:sz="4" w:space="0" w:color="auto"/>
            </w:tcBorders>
          </w:tcPr>
          <w:p w:rsidR="0016150E" w:rsidRPr="00D33BA5" w:rsidRDefault="0016150E" w:rsidP="00CE5646">
            <w:pPr>
              <w:rPr>
                <w:sz w:val="20"/>
                <w:szCs w:val="20"/>
              </w:rPr>
            </w:pPr>
          </w:p>
        </w:tc>
        <w:tc>
          <w:tcPr>
            <w:tcW w:w="1572" w:type="dxa"/>
            <w:tcBorders>
              <w:bottom w:val="single" w:sz="4" w:space="0" w:color="auto"/>
            </w:tcBorders>
          </w:tcPr>
          <w:p w:rsidR="0016150E" w:rsidRPr="0052227E" w:rsidRDefault="0016150E" w:rsidP="00CE5646">
            <w:pPr>
              <w:rPr>
                <w:sz w:val="20"/>
                <w:szCs w:val="20"/>
              </w:rPr>
            </w:pPr>
            <w:r w:rsidRPr="0052227E">
              <w:rPr>
                <w:sz w:val="20"/>
                <w:szCs w:val="20"/>
              </w:rPr>
              <w:t>Social Norms</w:t>
            </w:r>
          </w:p>
        </w:tc>
        <w:tc>
          <w:tcPr>
            <w:tcW w:w="716" w:type="dxa"/>
            <w:tcBorders>
              <w:bottom w:val="single" w:sz="4" w:space="0" w:color="auto"/>
            </w:tcBorders>
            <w:vAlign w:val="bottom"/>
          </w:tcPr>
          <w:p w:rsidR="0016150E" w:rsidRPr="00D33BA5" w:rsidRDefault="0016150E" w:rsidP="00CE5646">
            <w:pPr>
              <w:jc w:val="center"/>
              <w:rPr>
                <w:color w:val="000000"/>
                <w:sz w:val="20"/>
                <w:szCs w:val="20"/>
              </w:rPr>
            </w:pPr>
            <w:r>
              <w:rPr>
                <w:color w:val="000000"/>
                <w:sz w:val="20"/>
                <w:szCs w:val="20"/>
              </w:rPr>
              <w:t>504</w:t>
            </w:r>
          </w:p>
        </w:tc>
        <w:tc>
          <w:tcPr>
            <w:tcW w:w="416" w:type="dxa"/>
            <w:tcBorders>
              <w:bottom w:val="single" w:sz="4" w:space="0" w:color="auto"/>
            </w:tcBorders>
            <w:vAlign w:val="bottom"/>
          </w:tcPr>
          <w:p w:rsidR="0016150E" w:rsidRPr="00D33BA5" w:rsidRDefault="0016150E" w:rsidP="00CE5646">
            <w:pPr>
              <w:jc w:val="center"/>
              <w:rPr>
                <w:color w:val="000000"/>
                <w:sz w:val="20"/>
                <w:szCs w:val="20"/>
              </w:rPr>
            </w:pPr>
            <w:r>
              <w:rPr>
                <w:color w:val="000000"/>
                <w:sz w:val="20"/>
                <w:szCs w:val="20"/>
              </w:rPr>
              <w:t>2</w:t>
            </w:r>
          </w:p>
        </w:tc>
        <w:tc>
          <w:tcPr>
            <w:tcW w:w="705" w:type="dxa"/>
            <w:tcBorders>
              <w:bottom w:val="single" w:sz="4" w:space="0" w:color="auto"/>
            </w:tcBorders>
            <w:vAlign w:val="bottom"/>
          </w:tcPr>
          <w:p w:rsidR="0016150E" w:rsidRPr="00D33BA5" w:rsidRDefault="0016150E" w:rsidP="00CE5646">
            <w:pPr>
              <w:tabs>
                <w:tab w:val="decimal" w:pos="129"/>
              </w:tabs>
              <w:jc w:val="center"/>
              <w:rPr>
                <w:color w:val="000000"/>
                <w:sz w:val="20"/>
                <w:szCs w:val="20"/>
              </w:rPr>
            </w:pPr>
            <w:r w:rsidRPr="00D33BA5">
              <w:rPr>
                <w:color w:val="000000"/>
                <w:sz w:val="20"/>
                <w:szCs w:val="20"/>
              </w:rPr>
              <w:t>.</w:t>
            </w:r>
            <w:r>
              <w:rPr>
                <w:color w:val="000000"/>
                <w:sz w:val="20"/>
                <w:szCs w:val="20"/>
              </w:rPr>
              <w:t>45</w:t>
            </w:r>
          </w:p>
        </w:tc>
        <w:tc>
          <w:tcPr>
            <w:tcW w:w="653" w:type="dxa"/>
            <w:tcBorders>
              <w:bottom w:val="single" w:sz="4" w:space="0" w:color="auto"/>
            </w:tcBorders>
            <w:vAlign w:val="bottom"/>
          </w:tcPr>
          <w:p w:rsidR="0016150E" w:rsidRPr="00D33BA5" w:rsidRDefault="0016150E" w:rsidP="00CE5646">
            <w:pPr>
              <w:tabs>
                <w:tab w:val="decimal" w:pos="185"/>
              </w:tabs>
              <w:jc w:val="center"/>
              <w:rPr>
                <w:color w:val="000000"/>
                <w:sz w:val="20"/>
                <w:szCs w:val="20"/>
              </w:rPr>
            </w:pPr>
            <w:r w:rsidRPr="00D33BA5">
              <w:rPr>
                <w:color w:val="000000"/>
                <w:sz w:val="20"/>
                <w:szCs w:val="20"/>
              </w:rPr>
              <w:t>.</w:t>
            </w:r>
            <w:r>
              <w:rPr>
                <w:color w:val="000000"/>
                <w:sz w:val="20"/>
                <w:szCs w:val="20"/>
              </w:rPr>
              <w:t>07</w:t>
            </w:r>
          </w:p>
        </w:tc>
        <w:tc>
          <w:tcPr>
            <w:tcW w:w="636" w:type="dxa"/>
            <w:tcBorders>
              <w:bottom w:val="single" w:sz="4" w:space="0" w:color="auto"/>
            </w:tcBorders>
            <w:vAlign w:val="bottom"/>
          </w:tcPr>
          <w:p w:rsidR="0016150E" w:rsidRPr="00D33BA5" w:rsidRDefault="0016150E" w:rsidP="00CE5646">
            <w:pPr>
              <w:tabs>
                <w:tab w:val="decimal" w:pos="170"/>
              </w:tabs>
              <w:jc w:val="center"/>
              <w:rPr>
                <w:color w:val="000000"/>
                <w:sz w:val="20"/>
                <w:szCs w:val="20"/>
              </w:rPr>
            </w:pPr>
            <w:r w:rsidRPr="00D33BA5">
              <w:rPr>
                <w:color w:val="000000"/>
                <w:sz w:val="20"/>
                <w:szCs w:val="20"/>
              </w:rPr>
              <w:t>.</w:t>
            </w:r>
            <w:r>
              <w:rPr>
                <w:color w:val="000000"/>
                <w:sz w:val="20"/>
                <w:szCs w:val="20"/>
              </w:rPr>
              <w:t>00</w:t>
            </w:r>
          </w:p>
        </w:tc>
        <w:tc>
          <w:tcPr>
            <w:tcW w:w="815" w:type="dxa"/>
            <w:tcBorders>
              <w:bottom w:val="single" w:sz="4" w:space="0" w:color="auto"/>
            </w:tcBorders>
            <w:vAlign w:val="bottom"/>
          </w:tcPr>
          <w:p w:rsidR="0016150E" w:rsidRPr="00D33BA5" w:rsidRDefault="0016150E" w:rsidP="00CE5646">
            <w:pPr>
              <w:tabs>
                <w:tab w:val="decimal" w:pos="200"/>
              </w:tabs>
              <w:jc w:val="center"/>
              <w:rPr>
                <w:color w:val="000000"/>
                <w:sz w:val="20"/>
                <w:szCs w:val="20"/>
              </w:rPr>
            </w:pPr>
            <w:r w:rsidRPr="00D33BA5">
              <w:rPr>
                <w:color w:val="000000"/>
                <w:sz w:val="20"/>
                <w:szCs w:val="20"/>
              </w:rPr>
              <w:t>.</w:t>
            </w:r>
            <w:r>
              <w:rPr>
                <w:color w:val="000000"/>
                <w:sz w:val="20"/>
                <w:szCs w:val="20"/>
              </w:rPr>
              <w:t>45</w:t>
            </w:r>
          </w:p>
        </w:tc>
        <w:tc>
          <w:tcPr>
            <w:tcW w:w="970" w:type="dxa"/>
            <w:tcBorders>
              <w:bottom w:val="single" w:sz="4" w:space="0" w:color="auto"/>
            </w:tcBorders>
            <w:vAlign w:val="bottom"/>
          </w:tcPr>
          <w:p w:rsidR="0016150E" w:rsidRPr="00D33BA5" w:rsidRDefault="0016150E" w:rsidP="00CE5646">
            <w:pPr>
              <w:tabs>
                <w:tab w:val="decimal" w:pos="178"/>
              </w:tabs>
              <w:jc w:val="center"/>
              <w:rPr>
                <w:color w:val="000000"/>
                <w:sz w:val="20"/>
                <w:szCs w:val="20"/>
              </w:rPr>
            </w:pPr>
            <w:r w:rsidRPr="00D33BA5">
              <w:rPr>
                <w:color w:val="000000"/>
                <w:sz w:val="20"/>
                <w:szCs w:val="20"/>
              </w:rPr>
              <w:t>.</w:t>
            </w:r>
            <w:r>
              <w:rPr>
                <w:color w:val="000000"/>
                <w:sz w:val="20"/>
                <w:szCs w:val="20"/>
              </w:rPr>
              <w:t>00</w:t>
            </w:r>
          </w:p>
        </w:tc>
        <w:tc>
          <w:tcPr>
            <w:tcW w:w="950" w:type="dxa"/>
            <w:tcBorders>
              <w:bottom w:val="single" w:sz="4" w:space="0" w:color="auto"/>
            </w:tcBorders>
            <w:vAlign w:val="bottom"/>
          </w:tcPr>
          <w:p w:rsidR="0016150E" w:rsidRPr="00D33BA5" w:rsidRDefault="0016150E" w:rsidP="00CE5646">
            <w:pPr>
              <w:tabs>
                <w:tab w:val="decimal" w:pos="171"/>
              </w:tabs>
              <w:jc w:val="center"/>
              <w:rPr>
                <w:color w:val="000000"/>
                <w:sz w:val="20"/>
                <w:szCs w:val="20"/>
              </w:rPr>
            </w:pPr>
            <w:r w:rsidRPr="00D33BA5">
              <w:rPr>
                <w:color w:val="000000"/>
                <w:sz w:val="20"/>
                <w:szCs w:val="20"/>
              </w:rPr>
              <w:t>--</w:t>
            </w:r>
          </w:p>
        </w:tc>
        <w:tc>
          <w:tcPr>
            <w:tcW w:w="950" w:type="dxa"/>
            <w:tcBorders>
              <w:bottom w:val="single" w:sz="4" w:space="0" w:color="auto"/>
            </w:tcBorders>
            <w:vAlign w:val="bottom"/>
          </w:tcPr>
          <w:p w:rsidR="0016150E" w:rsidRPr="00D33BA5" w:rsidRDefault="0016150E" w:rsidP="00CE5646">
            <w:pPr>
              <w:tabs>
                <w:tab w:val="decimal" w:pos="189"/>
              </w:tabs>
              <w:jc w:val="center"/>
              <w:rPr>
                <w:color w:val="000000"/>
                <w:sz w:val="20"/>
                <w:szCs w:val="20"/>
              </w:rPr>
            </w:pPr>
            <w:r w:rsidRPr="00D33BA5">
              <w:rPr>
                <w:color w:val="000000"/>
                <w:sz w:val="20"/>
                <w:szCs w:val="20"/>
              </w:rPr>
              <w:t>--</w:t>
            </w:r>
          </w:p>
        </w:tc>
        <w:tc>
          <w:tcPr>
            <w:tcW w:w="644" w:type="dxa"/>
            <w:tcBorders>
              <w:bottom w:val="single" w:sz="4" w:space="0" w:color="auto"/>
            </w:tcBorders>
            <w:vAlign w:val="bottom"/>
          </w:tcPr>
          <w:p w:rsidR="0016150E" w:rsidRPr="00D33BA5" w:rsidRDefault="0016150E" w:rsidP="00CE5646">
            <w:pPr>
              <w:tabs>
                <w:tab w:val="decimal" w:pos="177"/>
              </w:tabs>
              <w:jc w:val="center"/>
              <w:rPr>
                <w:color w:val="000000"/>
                <w:sz w:val="20"/>
                <w:szCs w:val="20"/>
              </w:rPr>
            </w:pPr>
            <w:r w:rsidRPr="00D33BA5">
              <w:rPr>
                <w:color w:val="000000"/>
                <w:sz w:val="20"/>
                <w:szCs w:val="20"/>
              </w:rPr>
              <w:t>.</w:t>
            </w:r>
            <w:r>
              <w:rPr>
                <w:color w:val="000000"/>
                <w:sz w:val="20"/>
                <w:szCs w:val="20"/>
              </w:rPr>
              <w:t>45</w:t>
            </w:r>
          </w:p>
        </w:tc>
        <w:tc>
          <w:tcPr>
            <w:tcW w:w="283" w:type="dxa"/>
            <w:tcBorders>
              <w:bottom w:val="single" w:sz="4" w:space="0" w:color="auto"/>
            </w:tcBorders>
            <w:vAlign w:val="bottom"/>
          </w:tcPr>
          <w:p w:rsidR="0016150E" w:rsidRPr="00D33BA5" w:rsidRDefault="0016150E" w:rsidP="00CE5646">
            <w:pPr>
              <w:jc w:val="center"/>
              <w:rPr>
                <w:color w:val="000000"/>
                <w:sz w:val="20"/>
                <w:szCs w:val="20"/>
              </w:rPr>
            </w:pPr>
            <w:r w:rsidRPr="00D33BA5">
              <w:rPr>
                <w:color w:val="000000"/>
                <w:sz w:val="20"/>
                <w:szCs w:val="20"/>
              </w:rPr>
              <w:t>-</w:t>
            </w:r>
          </w:p>
        </w:tc>
        <w:tc>
          <w:tcPr>
            <w:tcW w:w="611" w:type="dxa"/>
            <w:tcBorders>
              <w:bottom w:val="single" w:sz="4" w:space="0" w:color="auto"/>
            </w:tcBorders>
            <w:vAlign w:val="bottom"/>
          </w:tcPr>
          <w:p w:rsidR="0016150E" w:rsidRPr="00D33BA5" w:rsidRDefault="0016150E" w:rsidP="00CE5646">
            <w:pPr>
              <w:tabs>
                <w:tab w:val="decimal" w:pos="145"/>
              </w:tabs>
              <w:jc w:val="center"/>
              <w:rPr>
                <w:color w:val="000000"/>
                <w:sz w:val="20"/>
                <w:szCs w:val="20"/>
              </w:rPr>
            </w:pPr>
            <w:r w:rsidRPr="00D33BA5">
              <w:rPr>
                <w:color w:val="000000"/>
                <w:sz w:val="20"/>
                <w:szCs w:val="20"/>
              </w:rPr>
              <w:t>.</w:t>
            </w:r>
            <w:r>
              <w:rPr>
                <w:color w:val="000000"/>
                <w:sz w:val="20"/>
                <w:szCs w:val="20"/>
              </w:rPr>
              <w:t>45</w:t>
            </w:r>
          </w:p>
        </w:tc>
      </w:tr>
      <w:tr w:rsidR="0016150E" w:rsidRPr="00D33BA5" w:rsidTr="00677FB7">
        <w:tc>
          <w:tcPr>
            <w:tcW w:w="10143" w:type="dxa"/>
            <w:gridSpan w:val="14"/>
            <w:tcBorders>
              <w:top w:val="single" w:sz="4" w:space="0" w:color="auto"/>
            </w:tcBorders>
          </w:tcPr>
          <w:p w:rsidR="0016150E" w:rsidRDefault="0016150E" w:rsidP="00CE5646">
            <w:pPr>
              <w:autoSpaceDE w:val="0"/>
              <w:autoSpaceDN w:val="0"/>
              <w:adjustRightInd w:val="0"/>
              <w:rPr>
                <w:i/>
                <w:iCs/>
                <w:sz w:val="18"/>
                <w:szCs w:val="18"/>
              </w:rPr>
            </w:pPr>
          </w:p>
          <w:p w:rsidR="0016150E" w:rsidRDefault="0016150E" w:rsidP="00CE5646">
            <w:pPr>
              <w:autoSpaceDE w:val="0"/>
              <w:autoSpaceDN w:val="0"/>
              <w:adjustRightInd w:val="0"/>
              <w:rPr>
                <w:sz w:val="18"/>
                <w:szCs w:val="18"/>
              </w:rPr>
            </w:pPr>
            <w:r w:rsidRPr="00D33BA5">
              <w:rPr>
                <w:i/>
                <w:iCs/>
                <w:sz w:val="18"/>
                <w:szCs w:val="18"/>
              </w:rPr>
              <w:t xml:space="preserve">Note.  K = </w:t>
            </w:r>
            <w:r>
              <w:rPr>
                <w:sz w:val="18"/>
                <w:szCs w:val="18"/>
              </w:rPr>
              <w:t>number of effect sizes included in the meta-analysis.</w:t>
            </w:r>
            <w:r w:rsidRPr="00D33BA5">
              <w:rPr>
                <w:sz w:val="18"/>
                <w:szCs w:val="18"/>
              </w:rPr>
              <w:t xml:space="preserve"> </w:t>
            </w:r>
            <w:r w:rsidRPr="00F81E3A">
              <w:rPr>
                <w:rFonts w:eastAsia="Times New Roman"/>
                <w:color w:val="000000"/>
                <w:sz w:val="18"/>
                <w:szCs w:val="18"/>
              </w:rPr>
              <w:t xml:space="preserve">Mean </w:t>
            </w:r>
            <w:r w:rsidRPr="00F81E3A">
              <w:rPr>
                <w:rFonts w:eastAsia="Times New Roman"/>
                <w:i/>
                <w:iCs/>
                <w:color w:val="000000"/>
                <w:sz w:val="18"/>
                <w:szCs w:val="18"/>
              </w:rPr>
              <w:t>d</w:t>
            </w:r>
            <w:r w:rsidRPr="00F81E3A">
              <w:rPr>
                <w:rFonts w:eastAsia="Times New Roman"/>
                <w:color w:val="000000"/>
                <w:sz w:val="18"/>
                <w:szCs w:val="18"/>
                <w:vertAlign w:val="subscript"/>
              </w:rPr>
              <w:t>obs</w:t>
            </w:r>
            <w:r w:rsidRPr="00F81E3A">
              <w:rPr>
                <w:rFonts w:eastAsia="Times New Roman"/>
                <w:color w:val="000000"/>
                <w:sz w:val="18"/>
                <w:szCs w:val="18"/>
              </w:rPr>
              <w:t xml:space="preserve"> = sample size weighted mean observed </w:t>
            </w:r>
            <w:r w:rsidRPr="00F81E3A">
              <w:rPr>
                <w:rFonts w:eastAsia="Times New Roman"/>
                <w:i/>
                <w:iCs/>
                <w:color w:val="000000"/>
                <w:sz w:val="18"/>
                <w:szCs w:val="18"/>
              </w:rPr>
              <w:t>d</w:t>
            </w:r>
            <w:r w:rsidRPr="00F81E3A">
              <w:rPr>
                <w:rFonts w:eastAsia="Times New Roman"/>
                <w:color w:val="000000"/>
                <w:sz w:val="18"/>
                <w:szCs w:val="18"/>
              </w:rPr>
              <w:t xml:space="preserve"> value (standardized group mean-score difference; positive values indicate </w:t>
            </w:r>
            <w:r>
              <w:rPr>
                <w:rFonts w:eastAsia="Times New Roman"/>
                <w:color w:val="000000"/>
                <w:sz w:val="18"/>
                <w:szCs w:val="18"/>
              </w:rPr>
              <w:t>wo</w:t>
            </w:r>
            <w:r w:rsidRPr="00F81E3A">
              <w:rPr>
                <w:rFonts w:eastAsia="Times New Roman"/>
                <w:color w:val="000000"/>
                <w:sz w:val="18"/>
                <w:szCs w:val="18"/>
              </w:rPr>
              <w:t xml:space="preserve">men scored higher on average). </w:t>
            </w:r>
            <w:proofErr w:type="spellStart"/>
            <w:r w:rsidRPr="00F81E3A">
              <w:rPr>
                <w:rFonts w:eastAsia="Times New Roman"/>
                <w:i/>
                <w:iCs/>
                <w:color w:val="000000"/>
                <w:sz w:val="18"/>
                <w:szCs w:val="18"/>
              </w:rPr>
              <w:t>SD</w:t>
            </w:r>
            <w:r w:rsidRPr="00F81E3A">
              <w:rPr>
                <w:rFonts w:eastAsia="Times New Roman"/>
                <w:color w:val="000000"/>
                <w:sz w:val="18"/>
                <w:szCs w:val="18"/>
                <w:vertAlign w:val="subscript"/>
              </w:rPr>
              <w:t>obs</w:t>
            </w:r>
            <w:proofErr w:type="spellEnd"/>
            <w:r w:rsidRPr="00F81E3A">
              <w:rPr>
                <w:rFonts w:eastAsia="Times New Roman"/>
                <w:color w:val="000000"/>
                <w:sz w:val="18"/>
                <w:szCs w:val="18"/>
              </w:rPr>
              <w:t xml:space="preserve"> = sample size weighted standard deviation of observed effect sizes</w:t>
            </w:r>
            <w:r>
              <w:rPr>
                <w:rFonts w:eastAsia="Times New Roman"/>
                <w:color w:val="000000"/>
                <w:sz w:val="18"/>
                <w:szCs w:val="18"/>
              </w:rPr>
              <w:t xml:space="preserve">. </w:t>
            </w:r>
            <w:proofErr w:type="spellStart"/>
            <w:r w:rsidRPr="00D33BA5">
              <w:rPr>
                <w:i/>
                <w:iCs/>
                <w:sz w:val="18"/>
                <w:szCs w:val="18"/>
              </w:rPr>
              <w:t>SD</w:t>
            </w:r>
            <w:r w:rsidRPr="00D33BA5">
              <w:rPr>
                <w:i/>
                <w:iCs/>
                <w:sz w:val="12"/>
                <w:szCs w:val="12"/>
              </w:rPr>
              <w:t>res</w:t>
            </w:r>
            <w:proofErr w:type="spellEnd"/>
            <w:r w:rsidRPr="00D33BA5">
              <w:rPr>
                <w:i/>
                <w:iCs/>
                <w:sz w:val="12"/>
                <w:szCs w:val="12"/>
              </w:rPr>
              <w:t xml:space="preserve"> </w:t>
            </w:r>
            <w:r w:rsidRPr="00D33BA5">
              <w:rPr>
                <w:i/>
                <w:iCs/>
                <w:sz w:val="18"/>
                <w:szCs w:val="18"/>
              </w:rPr>
              <w:t xml:space="preserve">= </w:t>
            </w:r>
            <w:r w:rsidRPr="00D33BA5">
              <w:rPr>
                <w:sz w:val="18"/>
                <w:szCs w:val="18"/>
              </w:rPr>
              <w:t>residual standard deviation</w:t>
            </w:r>
            <w:r>
              <w:rPr>
                <w:sz w:val="18"/>
                <w:szCs w:val="18"/>
              </w:rPr>
              <w:t xml:space="preserve"> (after corrections for criterion unreliability and sampling error).</w:t>
            </w:r>
            <w:r w:rsidRPr="00D33BA5">
              <w:rPr>
                <w:sz w:val="18"/>
                <w:szCs w:val="18"/>
              </w:rPr>
              <w:t xml:space="preserve"> </w:t>
            </w:r>
            <w:r w:rsidRPr="00A40109">
              <w:rPr>
                <w:rFonts w:eastAsia="Times New Roman"/>
                <w:iCs/>
                <w:color w:val="000000"/>
                <w:sz w:val="18"/>
                <w:szCs w:val="18"/>
              </w:rPr>
              <w:t>Mean</w:t>
            </w:r>
            <w:r>
              <w:rPr>
                <w:rFonts w:eastAsia="Times New Roman"/>
                <w:i/>
                <w:iCs/>
                <w:color w:val="000000"/>
                <w:sz w:val="18"/>
                <w:szCs w:val="18"/>
              </w:rPr>
              <w:t xml:space="preserve"> </w:t>
            </w:r>
            <w:proofErr w:type="spellStart"/>
            <w:r w:rsidRPr="00F81E3A">
              <w:rPr>
                <w:rFonts w:eastAsia="Times New Roman"/>
                <w:i/>
                <w:iCs/>
                <w:color w:val="000000"/>
                <w:sz w:val="18"/>
                <w:szCs w:val="18"/>
              </w:rPr>
              <w:t>d</w:t>
            </w:r>
            <w:r w:rsidRPr="00F81E3A">
              <w:rPr>
                <w:rFonts w:eastAsia="Times New Roman"/>
                <w:color w:val="000000"/>
                <w:sz w:val="18"/>
                <w:szCs w:val="18"/>
                <w:vertAlign w:val="subscript"/>
              </w:rPr>
              <w:t>corrected</w:t>
            </w:r>
            <w:proofErr w:type="spellEnd"/>
            <w:r w:rsidRPr="00F81E3A">
              <w:rPr>
                <w:rFonts w:eastAsia="Times New Roman"/>
                <w:color w:val="000000"/>
                <w:sz w:val="18"/>
                <w:szCs w:val="18"/>
              </w:rPr>
              <w:t xml:space="preserve"> = corrected </w:t>
            </w:r>
            <w:r w:rsidRPr="00F81E3A">
              <w:rPr>
                <w:rFonts w:eastAsia="Times New Roman"/>
                <w:i/>
                <w:iCs/>
                <w:color w:val="000000"/>
                <w:sz w:val="18"/>
                <w:szCs w:val="18"/>
              </w:rPr>
              <w:t>d</w:t>
            </w:r>
            <w:r w:rsidRPr="00F81E3A">
              <w:rPr>
                <w:rFonts w:eastAsia="Times New Roman"/>
                <w:color w:val="000000"/>
                <w:sz w:val="18"/>
                <w:szCs w:val="18"/>
              </w:rPr>
              <w:t xml:space="preserve"> value.</w:t>
            </w:r>
            <w:r w:rsidRPr="00D33BA5">
              <w:rPr>
                <w:sz w:val="18"/>
                <w:szCs w:val="18"/>
              </w:rPr>
              <w:t xml:space="preserve"> </w:t>
            </w:r>
            <w:proofErr w:type="spellStart"/>
            <w:r w:rsidRPr="00D33BA5">
              <w:rPr>
                <w:i/>
                <w:iCs/>
                <w:sz w:val="18"/>
                <w:szCs w:val="18"/>
              </w:rPr>
              <w:t>SD</w:t>
            </w:r>
            <w:r>
              <w:rPr>
                <w:i/>
                <w:iCs/>
                <w:sz w:val="12"/>
                <w:szCs w:val="12"/>
              </w:rPr>
              <w:t>corrected</w:t>
            </w:r>
            <w:proofErr w:type="spellEnd"/>
            <w:r w:rsidRPr="00D33BA5">
              <w:rPr>
                <w:i/>
                <w:iCs/>
                <w:sz w:val="12"/>
                <w:szCs w:val="12"/>
              </w:rPr>
              <w:t xml:space="preserve"> </w:t>
            </w:r>
            <w:r w:rsidRPr="00D33BA5">
              <w:rPr>
                <w:i/>
                <w:iCs/>
                <w:sz w:val="18"/>
                <w:szCs w:val="18"/>
              </w:rPr>
              <w:t xml:space="preserve">= </w:t>
            </w:r>
            <w:r w:rsidRPr="00D33BA5">
              <w:rPr>
                <w:sz w:val="18"/>
                <w:szCs w:val="18"/>
              </w:rPr>
              <w:t>standard</w:t>
            </w:r>
            <w:r>
              <w:rPr>
                <w:sz w:val="18"/>
                <w:szCs w:val="18"/>
              </w:rPr>
              <w:t xml:space="preserve"> deviation of the corrected </w:t>
            </w:r>
            <w:r w:rsidRPr="00A40109">
              <w:rPr>
                <w:i/>
                <w:sz w:val="18"/>
                <w:szCs w:val="18"/>
              </w:rPr>
              <w:t>d</w:t>
            </w:r>
            <w:r>
              <w:rPr>
                <w:sz w:val="18"/>
                <w:szCs w:val="18"/>
              </w:rPr>
              <w:t xml:space="preserve"> value. </w:t>
            </w:r>
            <w:r w:rsidRPr="00D33BA5">
              <w:rPr>
                <w:sz w:val="18"/>
                <w:szCs w:val="18"/>
              </w:rPr>
              <w:t>% variance SE = percentage of variance due to sampling error;</w:t>
            </w:r>
            <w:r>
              <w:rPr>
                <w:sz w:val="18"/>
                <w:szCs w:val="18"/>
              </w:rPr>
              <w:t xml:space="preserve"> </w:t>
            </w:r>
            <w:r w:rsidRPr="00D33BA5">
              <w:rPr>
                <w:sz w:val="18"/>
                <w:szCs w:val="18"/>
              </w:rPr>
              <w:t>% variance acc. for = percentage of variance due to all corrected statistical artifacts.</w:t>
            </w:r>
          </w:p>
          <w:p w:rsidR="0016150E" w:rsidRPr="00F81E3A" w:rsidRDefault="0016150E" w:rsidP="00CE5646">
            <w:pPr>
              <w:autoSpaceDE w:val="0"/>
              <w:autoSpaceDN w:val="0"/>
              <w:adjustRightInd w:val="0"/>
              <w:rPr>
                <w:sz w:val="18"/>
                <w:szCs w:val="18"/>
              </w:rPr>
            </w:pPr>
          </w:p>
        </w:tc>
      </w:tr>
      <w:tr w:rsidR="0016150E" w:rsidRPr="00D33BA5" w:rsidTr="00CE5646">
        <w:tc>
          <w:tcPr>
            <w:tcW w:w="10143" w:type="dxa"/>
            <w:gridSpan w:val="14"/>
          </w:tcPr>
          <w:p w:rsidR="0016150E" w:rsidRPr="00D33BA5" w:rsidRDefault="0016150E" w:rsidP="00CE5646">
            <w:pPr>
              <w:autoSpaceDE w:val="0"/>
              <w:autoSpaceDN w:val="0"/>
              <w:adjustRightInd w:val="0"/>
              <w:rPr>
                <w:i/>
                <w:iCs/>
                <w:sz w:val="18"/>
                <w:szCs w:val="18"/>
              </w:rPr>
            </w:pPr>
          </w:p>
        </w:tc>
      </w:tr>
    </w:tbl>
    <w:p w:rsidR="00A67AB5" w:rsidRDefault="00A67AB5" w:rsidP="00A67AB5"/>
    <w:p w:rsidR="00A67AB5" w:rsidRDefault="00A67AB5" w:rsidP="00A67AB5">
      <w:pPr>
        <w:spacing w:after="200"/>
      </w:pPr>
    </w:p>
    <w:p w:rsidR="00A67AB5" w:rsidRDefault="00A67AB5" w:rsidP="00A67AB5">
      <w:pPr>
        <w:spacing w:after="200"/>
      </w:pPr>
    </w:p>
    <w:p w:rsidR="00C66ADA" w:rsidRDefault="00C66ADA" w:rsidP="00A67AB5">
      <w:pPr>
        <w:spacing w:after="200"/>
      </w:pPr>
    </w:p>
    <w:p w:rsidR="00C66ADA" w:rsidRDefault="00C66ADA" w:rsidP="00A67AB5">
      <w:pPr>
        <w:spacing w:after="200"/>
      </w:pPr>
    </w:p>
    <w:p w:rsidR="00C66ADA" w:rsidRDefault="00C66ADA" w:rsidP="00A67AB5">
      <w:pPr>
        <w:spacing w:after="200"/>
      </w:pPr>
    </w:p>
    <w:p w:rsidR="00161636" w:rsidRDefault="00161636" w:rsidP="00A67AB5">
      <w:pPr>
        <w:spacing w:after="200"/>
      </w:pPr>
    </w:p>
    <w:p w:rsidR="00161636" w:rsidRPr="00161636" w:rsidRDefault="00161636" w:rsidP="00161636">
      <w:pPr>
        <w:spacing w:line="240" w:lineRule="auto"/>
        <w:jc w:val="center"/>
        <w:rPr>
          <w:b/>
        </w:rPr>
      </w:pPr>
      <w:r w:rsidRPr="00161636">
        <w:rPr>
          <w:b/>
        </w:rPr>
        <w:lastRenderedPageBreak/>
        <w:t>Author Bios</w:t>
      </w:r>
    </w:p>
    <w:p w:rsidR="00161636" w:rsidRDefault="00161636" w:rsidP="00161636">
      <w:pPr>
        <w:spacing w:line="240" w:lineRule="auto"/>
        <w:jc w:val="center"/>
        <w:rPr>
          <w:b/>
        </w:rPr>
      </w:pPr>
    </w:p>
    <w:p w:rsidR="00161636" w:rsidRPr="00DF421D" w:rsidRDefault="00161636" w:rsidP="00161636">
      <w:pPr>
        <w:spacing w:line="240" w:lineRule="auto"/>
        <w:rPr>
          <w:b/>
        </w:rPr>
      </w:pPr>
      <w:r w:rsidRPr="00DF421D">
        <w:rPr>
          <w:b/>
        </w:rPr>
        <w:t xml:space="preserve">Rachael Klein </w:t>
      </w:r>
      <w:r w:rsidRPr="00DF421D">
        <w:t xml:space="preserve">is a Ph.D. student in Industrial/Organizational Psychology at the University of Minnesota. She graduated magna cum laude from Carleton College with a degree in psychology. Her research focuses on assessing employee motives for engaging in environmentally responsible and irresponsible behavior, as well as measuring and promoting environmental sustainability within organizations. She also does work on personnel selection, decision making, and leadership. Rachael’s research has been supported by a National Science Foundation Graduate Research Fellowship and a University of Minnesota Graduate School Fellowship. Rachael has presented numerous talks and posters at professional conferences, </w:t>
      </w:r>
      <w:r>
        <w:t>co-authored a book chapter on demographic differences in pro-environmental behaviors, and</w:t>
      </w:r>
      <w:r w:rsidRPr="00DF421D">
        <w:t xml:space="preserve"> served as a reviewer for the </w:t>
      </w:r>
      <w:r w:rsidRPr="00DF421D">
        <w:rPr>
          <w:i/>
        </w:rPr>
        <w:t>Journal of Organizational Behavior</w:t>
      </w:r>
      <w:r w:rsidRPr="00DF421D">
        <w:rPr>
          <w:szCs w:val="24"/>
        </w:rPr>
        <w:t>.</w:t>
      </w:r>
    </w:p>
    <w:p w:rsidR="00161636" w:rsidRPr="00DF421D" w:rsidRDefault="00161636" w:rsidP="00161636">
      <w:pPr>
        <w:spacing w:line="240" w:lineRule="auto"/>
        <w:rPr>
          <w:rFonts w:ascii="Calibri" w:hAnsi="Calibri"/>
          <w:b/>
          <w:bCs/>
          <w:szCs w:val="24"/>
        </w:rPr>
      </w:pPr>
    </w:p>
    <w:p w:rsidR="00161636" w:rsidRPr="00DF421D" w:rsidRDefault="00161636" w:rsidP="00161636">
      <w:pPr>
        <w:spacing w:line="240" w:lineRule="auto"/>
        <w:rPr>
          <w:szCs w:val="24"/>
        </w:rPr>
      </w:pPr>
      <w:proofErr w:type="spellStart"/>
      <w:r w:rsidRPr="00DF421D">
        <w:rPr>
          <w:rFonts w:ascii="Calibri" w:hAnsi="Calibri"/>
          <w:b/>
          <w:bCs/>
          <w:szCs w:val="24"/>
        </w:rPr>
        <w:t>Deniz</w:t>
      </w:r>
      <w:proofErr w:type="spellEnd"/>
      <w:r w:rsidRPr="00DF421D">
        <w:rPr>
          <w:rFonts w:ascii="Calibri" w:hAnsi="Calibri"/>
          <w:b/>
          <w:bCs/>
          <w:szCs w:val="24"/>
        </w:rPr>
        <w:t xml:space="preserve"> S. Ones</w:t>
      </w:r>
      <w:r w:rsidRPr="00DF421D">
        <w:rPr>
          <w:szCs w:val="24"/>
        </w:rPr>
        <w:t xml:space="preserve"> is the </w:t>
      </w:r>
      <w:proofErr w:type="spellStart"/>
      <w:r w:rsidRPr="00DF421D">
        <w:rPr>
          <w:szCs w:val="24"/>
        </w:rPr>
        <w:t>Hellervik</w:t>
      </w:r>
      <w:proofErr w:type="spellEnd"/>
      <w:r w:rsidRPr="00DF421D">
        <w:rPr>
          <w:szCs w:val="24"/>
        </w:rPr>
        <w:t xml:space="preserve"> Professor of Industrial Psychology and a Distinguished McKnight Professor at the University of Minnesota. Her research focuses on individual differences in work settings (e.g., personality, cognitive ability, job performance, counterproductive work behaviors, </w:t>
      </w:r>
      <w:proofErr w:type="gramStart"/>
      <w:r w:rsidRPr="00DF421D">
        <w:rPr>
          <w:szCs w:val="24"/>
        </w:rPr>
        <w:t>environmental</w:t>
      </w:r>
      <w:proofErr w:type="gramEnd"/>
      <w:r w:rsidRPr="00DF421D">
        <w:rPr>
          <w:szCs w:val="24"/>
        </w:rPr>
        <w:t xml:space="preserve"> sustainability behaviors). She has received numerous prestigious awards for her research, among them the 1998 Ernest J. McCormick Award for Distinguished Early Career Contributions from the Society for Industrial and Organizational Psychology (SIOP), as well as the 2003 </w:t>
      </w:r>
      <w:proofErr w:type="spellStart"/>
      <w:r w:rsidRPr="00DF421D">
        <w:rPr>
          <w:szCs w:val="24"/>
        </w:rPr>
        <w:t>Cattell</w:t>
      </w:r>
      <w:proofErr w:type="spellEnd"/>
      <w:r w:rsidRPr="00DF421D">
        <w:rPr>
          <w:szCs w:val="24"/>
        </w:rPr>
        <w:t xml:space="preserve"> Early Career Research Award from the Society for Multivariate Experimental Psychology. She is a Fellow of the Association for Psychological Science and the American Psychological Association (Divisions 5 and 14 – SIOP), for which she also chaired the Committee on Psychological Testing and Assessment (CPTA). Previously, she co-edited the two-volume </w:t>
      </w:r>
      <w:r w:rsidRPr="00DF421D">
        <w:rPr>
          <w:rFonts w:ascii="Calibri" w:hAnsi="Calibri"/>
          <w:i/>
          <w:iCs/>
          <w:szCs w:val="24"/>
        </w:rPr>
        <w:t>Handbook of Industrial, Work and Organizational Psychology</w:t>
      </w:r>
      <w:r w:rsidRPr="00DF421D">
        <w:rPr>
          <w:szCs w:val="24"/>
        </w:rPr>
        <w:t xml:space="preserve"> (2001) and served as an editor-in-chief of the </w:t>
      </w:r>
      <w:r w:rsidRPr="00DF421D">
        <w:rPr>
          <w:rFonts w:ascii="Calibri" w:hAnsi="Calibri"/>
          <w:i/>
          <w:iCs/>
          <w:szCs w:val="24"/>
        </w:rPr>
        <w:t xml:space="preserve">International Journal of Selection and Assessment </w:t>
      </w:r>
      <w:r w:rsidRPr="00DF421D">
        <w:rPr>
          <w:szCs w:val="24"/>
        </w:rPr>
        <w:t xml:space="preserve">and associate editor of the </w:t>
      </w:r>
      <w:r w:rsidRPr="00DF421D">
        <w:rPr>
          <w:rFonts w:ascii="Calibri" w:hAnsi="Calibri"/>
          <w:i/>
          <w:iCs/>
          <w:szCs w:val="24"/>
        </w:rPr>
        <w:t>Journal of Personnel Psychology</w:t>
      </w:r>
      <w:r w:rsidRPr="00DF421D">
        <w:rPr>
          <w:szCs w:val="24"/>
        </w:rPr>
        <w:t xml:space="preserve">. Most recently, she co-chaired the 2011 SIOP Theme Track on Environmental Sustainability, and edited (with Susan Jackson and Stephan </w:t>
      </w:r>
      <w:proofErr w:type="spellStart"/>
      <w:r w:rsidRPr="00DF421D">
        <w:rPr>
          <w:szCs w:val="24"/>
        </w:rPr>
        <w:t>Dilchert</w:t>
      </w:r>
      <w:proofErr w:type="spellEnd"/>
      <w:r w:rsidRPr="00DF421D">
        <w:rPr>
          <w:szCs w:val="24"/>
        </w:rPr>
        <w:t xml:space="preserve">) the latest volume in the SIOP Professional Practice Series dedicated to </w:t>
      </w:r>
      <w:r w:rsidRPr="00DF421D">
        <w:rPr>
          <w:rFonts w:ascii="Calibri" w:hAnsi="Calibri"/>
          <w:i/>
          <w:iCs/>
          <w:szCs w:val="24"/>
        </w:rPr>
        <w:t>Managing Human Resources for Environmental Sustainability</w:t>
      </w:r>
      <w:r w:rsidRPr="00DF421D">
        <w:rPr>
          <w:szCs w:val="24"/>
        </w:rPr>
        <w:t>. In her applied work, Ones helps organizations select, train, and motivate their employees for environmental sustainability.</w:t>
      </w:r>
    </w:p>
    <w:p w:rsidR="00161636" w:rsidRDefault="00161636" w:rsidP="00A67AB5">
      <w:pPr>
        <w:spacing w:after="200"/>
      </w:pPr>
    </w:p>
    <w:sectPr w:rsidR="00161636" w:rsidSect="007F0C64">
      <w:head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9E0" w:rsidRDefault="005349E0" w:rsidP="0016455A">
      <w:pPr>
        <w:spacing w:line="240" w:lineRule="auto"/>
      </w:pPr>
      <w:r>
        <w:separator/>
      </w:r>
    </w:p>
  </w:endnote>
  <w:endnote w:type="continuationSeparator" w:id="0">
    <w:p w:rsidR="005349E0" w:rsidRDefault="005349E0" w:rsidP="001645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9E0" w:rsidRDefault="005349E0" w:rsidP="0016455A">
      <w:pPr>
        <w:spacing w:line="240" w:lineRule="auto"/>
      </w:pPr>
      <w:r>
        <w:separator/>
      </w:r>
    </w:p>
  </w:footnote>
  <w:footnote w:type="continuationSeparator" w:id="0">
    <w:p w:rsidR="005349E0" w:rsidRDefault="005349E0" w:rsidP="001645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937973"/>
      <w:docPartObj>
        <w:docPartGallery w:val="Page Numbers (Top of Page)"/>
        <w:docPartUnique/>
      </w:docPartObj>
    </w:sdtPr>
    <w:sdtEndPr>
      <w:rPr>
        <w:noProof/>
      </w:rPr>
    </w:sdtEndPr>
    <w:sdtContent>
      <w:p w:rsidR="00B51B12" w:rsidRDefault="00B51B12">
        <w:pPr>
          <w:pStyle w:val="Header"/>
          <w:jc w:val="right"/>
        </w:pPr>
        <w:r>
          <w:fldChar w:fldCharType="begin"/>
        </w:r>
        <w:r>
          <w:instrText xml:space="preserve"> PAGE   \* MERGEFORMAT </w:instrText>
        </w:r>
        <w:r>
          <w:fldChar w:fldCharType="separate"/>
        </w:r>
        <w:r w:rsidR="008B5194">
          <w:rPr>
            <w:noProof/>
          </w:rPr>
          <w:t>1</w:t>
        </w:r>
        <w:r>
          <w:rPr>
            <w:noProof/>
          </w:rPr>
          <w:fldChar w:fldCharType="end"/>
        </w:r>
      </w:p>
    </w:sdtContent>
  </w:sdt>
  <w:p w:rsidR="00B51B12" w:rsidRDefault="00B51B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AB5"/>
    <w:rsid w:val="00026201"/>
    <w:rsid w:val="0006688D"/>
    <w:rsid w:val="0009208F"/>
    <w:rsid w:val="00093B07"/>
    <w:rsid w:val="000A4B85"/>
    <w:rsid w:val="000E1AE8"/>
    <w:rsid w:val="0016150E"/>
    <w:rsid w:val="00161636"/>
    <w:rsid w:val="0016455A"/>
    <w:rsid w:val="0016489C"/>
    <w:rsid w:val="0017001E"/>
    <w:rsid w:val="0019452E"/>
    <w:rsid w:val="001A5A04"/>
    <w:rsid w:val="001C042A"/>
    <w:rsid w:val="00236D3F"/>
    <w:rsid w:val="002A3B03"/>
    <w:rsid w:val="002B458D"/>
    <w:rsid w:val="003063EA"/>
    <w:rsid w:val="003270D5"/>
    <w:rsid w:val="003F3AE4"/>
    <w:rsid w:val="00410A81"/>
    <w:rsid w:val="0041413C"/>
    <w:rsid w:val="004248DB"/>
    <w:rsid w:val="00427C62"/>
    <w:rsid w:val="0044739D"/>
    <w:rsid w:val="00447FCD"/>
    <w:rsid w:val="004711DD"/>
    <w:rsid w:val="004A557F"/>
    <w:rsid w:val="005105A2"/>
    <w:rsid w:val="00510671"/>
    <w:rsid w:val="005349E0"/>
    <w:rsid w:val="005539CD"/>
    <w:rsid w:val="00575EF0"/>
    <w:rsid w:val="005D3F8C"/>
    <w:rsid w:val="005E3D3E"/>
    <w:rsid w:val="00602B1E"/>
    <w:rsid w:val="00621D3A"/>
    <w:rsid w:val="00626F2E"/>
    <w:rsid w:val="00633149"/>
    <w:rsid w:val="0064102F"/>
    <w:rsid w:val="006448EA"/>
    <w:rsid w:val="00677FB7"/>
    <w:rsid w:val="00687467"/>
    <w:rsid w:val="006A6B60"/>
    <w:rsid w:val="006B5F9A"/>
    <w:rsid w:val="006F25A7"/>
    <w:rsid w:val="007134C0"/>
    <w:rsid w:val="00734783"/>
    <w:rsid w:val="00785EAE"/>
    <w:rsid w:val="007A342E"/>
    <w:rsid w:val="007B1133"/>
    <w:rsid w:val="007F0C64"/>
    <w:rsid w:val="00841E27"/>
    <w:rsid w:val="008871E1"/>
    <w:rsid w:val="008B5194"/>
    <w:rsid w:val="00916F1F"/>
    <w:rsid w:val="0092449C"/>
    <w:rsid w:val="00952157"/>
    <w:rsid w:val="009F4E17"/>
    <w:rsid w:val="00A01689"/>
    <w:rsid w:val="00A40580"/>
    <w:rsid w:val="00A67AB5"/>
    <w:rsid w:val="00A83D8F"/>
    <w:rsid w:val="00AE58C5"/>
    <w:rsid w:val="00AE7CDD"/>
    <w:rsid w:val="00B16001"/>
    <w:rsid w:val="00B20925"/>
    <w:rsid w:val="00B51B12"/>
    <w:rsid w:val="00B63550"/>
    <w:rsid w:val="00B92EF9"/>
    <w:rsid w:val="00C351A1"/>
    <w:rsid w:val="00C3766E"/>
    <w:rsid w:val="00C63811"/>
    <w:rsid w:val="00C66AD9"/>
    <w:rsid w:val="00C66ADA"/>
    <w:rsid w:val="00C678CD"/>
    <w:rsid w:val="00CE5646"/>
    <w:rsid w:val="00D00070"/>
    <w:rsid w:val="00D24DDF"/>
    <w:rsid w:val="00D33071"/>
    <w:rsid w:val="00D4578A"/>
    <w:rsid w:val="00D7783D"/>
    <w:rsid w:val="00D84C62"/>
    <w:rsid w:val="00DB6CDB"/>
    <w:rsid w:val="00DD3761"/>
    <w:rsid w:val="00DD779F"/>
    <w:rsid w:val="00DE72BA"/>
    <w:rsid w:val="00DF5AC3"/>
    <w:rsid w:val="00E3442D"/>
    <w:rsid w:val="00E374D6"/>
    <w:rsid w:val="00E376B3"/>
    <w:rsid w:val="00E45853"/>
    <w:rsid w:val="00E750A9"/>
    <w:rsid w:val="00ED6009"/>
    <w:rsid w:val="00F31718"/>
    <w:rsid w:val="00F422DD"/>
    <w:rsid w:val="00F50E65"/>
    <w:rsid w:val="00F53F54"/>
    <w:rsid w:val="00F63452"/>
    <w:rsid w:val="00F63B4E"/>
    <w:rsid w:val="00F64291"/>
    <w:rsid w:val="00F82D2F"/>
    <w:rsid w:val="00F84184"/>
    <w:rsid w:val="00F9117B"/>
    <w:rsid w:val="00FA0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AB5"/>
    <w:pPr>
      <w:spacing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31718"/>
    <w:pPr>
      <w:spacing w:line="480" w:lineRule="auto"/>
      <w:ind w:firstLine="720"/>
    </w:pPr>
    <w:rPr>
      <w:rFonts w:eastAsia="Times New Roman"/>
      <w:szCs w:val="24"/>
    </w:rPr>
  </w:style>
  <w:style w:type="character" w:customStyle="1" w:styleId="BodyTextIndentChar">
    <w:name w:val="Body Text Indent Char"/>
    <w:basedOn w:val="DefaultParagraphFont"/>
    <w:link w:val="BodyTextIndent"/>
    <w:rsid w:val="00F31718"/>
    <w:rPr>
      <w:rFonts w:eastAsia="Times New Roman"/>
      <w:sz w:val="24"/>
      <w:szCs w:val="24"/>
    </w:rPr>
  </w:style>
  <w:style w:type="character" w:styleId="CommentReference">
    <w:name w:val="annotation reference"/>
    <w:basedOn w:val="DefaultParagraphFont"/>
    <w:uiPriority w:val="99"/>
    <w:semiHidden/>
    <w:unhideWhenUsed/>
    <w:rsid w:val="00785EAE"/>
    <w:rPr>
      <w:sz w:val="16"/>
      <w:szCs w:val="16"/>
    </w:rPr>
  </w:style>
  <w:style w:type="paragraph" w:styleId="CommentText">
    <w:name w:val="annotation text"/>
    <w:basedOn w:val="Normal"/>
    <w:link w:val="CommentTextChar"/>
    <w:uiPriority w:val="99"/>
    <w:semiHidden/>
    <w:unhideWhenUsed/>
    <w:rsid w:val="00785EAE"/>
    <w:rPr>
      <w:sz w:val="20"/>
      <w:szCs w:val="20"/>
    </w:rPr>
  </w:style>
  <w:style w:type="character" w:customStyle="1" w:styleId="CommentTextChar">
    <w:name w:val="Comment Text Char"/>
    <w:basedOn w:val="DefaultParagraphFont"/>
    <w:link w:val="CommentText"/>
    <w:uiPriority w:val="99"/>
    <w:semiHidden/>
    <w:rsid w:val="00785EAE"/>
  </w:style>
  <w:style w:type="paragraph" w:styleId="CommentSubject">
    <w:name w:val="annotation subject"/>
    <w:basedOn w:val="CommentText"/>
    <w:next w:val="CommentText"/>
    <w:link w:val="CommentSubjectChar"/>
    <w:uiPriority w:val="99"/>
    <w:semiHidden/>
    <w:unhideWhenUsed/>
    <w:rsid w:val="00785EAE"/>
    <w:rPr>
      <w:b/>
      <w:bCs/>
    </w:rPr>
  </w:style>
  <w:style w:type="character" w:customStyle="1" w:styleId="CommentSubjectChar">
    <w:name w:val="Comment Subject Char"/>
    <w:basedOn w:val="CommentTextChar"/>
    <w:link w:val="CommentSubject"/>
    <w:uiPriority w:val="99"/>
    <w:semiHidden/>
    <w:rsid w:val="00785EAE"/>
    <w:rPr>
      <w:b/>
      <w:bCs/>
    </w:rPr>
  </w:style>
  <w:style w:type="paragraph" w:styleId="BalloonText">
    <w:name w:val="Balloon Text"/>
    <w:basedOn w:val="Normal"/>
    <w:link w:val="BalloonTextChar"/>
    <w:uiPriority w:val="99"/>
    <w:semiHidden/>
    <w:unhideWhenUsed/>
    <w:rsid w:val="00785EA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EAE"/>
    <w:rPr>
      <w:rFonts w:ascii="Tahoma" w:hAnsi="Tahoma" w:cs="Tahoma"/>
      <w:sz w:val="16"/>
      <w:szCs w:val="16"/>
    </w:rPr>
  </w:style>
  <w:style w:type="paragraph" w:customStyle="1" w:styleId="References">
    <w:name w:val="References"/>
    <w:basedOn w:val="Normal"/>
    <w:rsid w:val="007134C0"/>
    <w:pPr>
      <w:suppressAutoHyphens/>
      <w:spacing w:line="480" w:lineRule="auto"/>
      <w:ind w:left="720" w:hanging="720"/>
    </w:pPr>
    <w:rPr>
      <w:rFonts w:eastAsia="Times New Roman"/>
      <w:szCs w:val="24"/>
    </w:rPr>
  </w:style>
  <w:style w:type="paragraph" w:styleId="Header">
    <w:name w:val="header"/>
    <w:basedOn w:val="Normal"/>
    <w:link w:val="HeaderChar"/>
    <w:uiPriority w:val="99"/>
    <w:unhideWhenUsed/>
    <w:rsid w:val="0016455A"/>
    <w:pPr>
      <w:tabs>
        <w:tab w:val="center" w:pos="4680"/>
        <w:tab w:val="right" w:pos="9360"/>
      </w:tabs>
      <w:spacing w:line="240" w:lineRule="auto"/>
    </w:pPr>
  </w:style>
  <w:style w:type="character" w:customStyle="1" w:styleId="HeaderChar">
    <w:name w:val="Header Char"/>
    <w:basedOn w:val="DefaultParagraphFont"/>
    <w:link w:val="Header"/>
    <w:uiPriority w:val="99"/>
    <w:rsid w:val="0016455A"/>
    <w:rPr>
      <w:sz w:val="24"/>
      <w:szCs w:val="22"/>
    </w:rPr>
  </w:style>
  <w:style w:type="paragraph" w:styleId="Footer">
    <w:name w:val="footer"/>
    <w:basedOn w:val="Normal"/>
    <w:link w:val="FooterChar"/>
    <w:uiPriority w:val="99"/>
    <w:unhideWhenUsed/>
    <w:rsid w:val="0016455A"/>
    <w:pPr>
      <w:tabs>
        <w:tab w:val="center" w:pos="4680"/>
        <w:tab w:val="right" w:pos="9360"/>
      </w:tabs>
      <w:spacing w:line="240" w:lineRule="auto"/>
    </w:pPr>
  </w:style>
  <w:style w:type="character" w:customStyle="1" w:styleId="FooterChar">
    <w:name w:val="Footer Char"/>
    <w:basedOn w:val="DefaultParagraphFont"/>
    <w:link w:val="Footer"/>
    <w:uiPriority w:val="99"/>
    <w:rsid w:val="0016455A"/>
    <w:rPr>
      <w:sz w:val="24"/>
      <w:szCs w:val="22"/>
    </w:rPr>
  </w:style>
  <w:style w:type="paragraph" w:styleId="ListParagraph">
    <w:name w:val="List Paragraph"/>
    <w:basedOn w:val="Normal"/>
    <w:uiPriority w:val="34"/>
    <w:qFormat/>
    <w:rsid w:val="00B51B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AB5"/>
    <w:pPr>
      <w:spacing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31718"/>
    <w:pPr>
      <w:spacing w:line="480" w:lineRule="auto"/>
      <w:ind w:firstLine="720"/>
    </w:pPr>
    <w:rPr>
      <w:rFonts w:eastAsia="Times New Roman"/>
      <w:szCs w:val="24"/>
    </w:rPr>
  </w:style>
  <w:style w:type="character" w:customStyle="1" w:styleId="BodyTextIndentChar">
    <w:name w:val="Body Text Indent Char"/>
    <w:basedOn w:val="DefaultParagraphFont"/>
    <w:link w:val="BodyTextIndent"/>
    <w:rsid w:val="00F31718"/>
    <w:rPr>
      <w:rFonts w:eastAsia="Times New Roman"/>
      <w:sz w:val="24"/>
      <w:szCs w:val="24"/>
    </w:rPr>
  </w:style>
  <w:style w:type="character" w:styleId="CommentReference">
    <w:name w:val="annotation reference"/>
    <w:basedOn w:val="DefaultParagraphFont"/>
    <w:uiPriority w:val="99"/>
    <w:semiHidden/>
    <w:unhideWhenUsed/>
    <w:rsid w:val="00785EAE"/>
    <w:rPr>
      <w:sz w:val="16"/>
      <w:szCs w:val="16"/>
    </w:rPr>
  </w:style>
  <w:style w:type="paragraph" w:styleId="CommentText">
    <w:name w:val="annotation text"/>
    <w:basedOn w:val="Normal"/>
    <w:link w:val="CommentTextChar"/>
    <w:uiPriority w:val="99"/>
    <w:semiHidden/>
    <w:unhideWhenUsed/>
    <w:rsid w:val="00785EAE"/>
    <w:rPr>
      <w:sz w:val="20"/>
      <w:szCs w:val="20"/>
    </w:rPr>
  </w:style>
  <w:style w:type="character" w:customStyle="1" w:styleId="CommentTextChar">
    <w:name w:val="Comment Text Char"/>
    <w:basedOn w:val="DefaultParagraphFont"/>
    <w:link w:val="CommentText"/>
    <w:uiPriority w:val="99"/>
    <w:semiHidden/>
    <w:rsid w:val="00785EAE"/>
  </w:style>
  <w:style w:type="paragraph" w:styleId="CommentSubject">
    <w:name w:val="annotation subject"/>
    <w:basedOn w:val="CommentText"/>
    <w:next w:val="CommentText"/>
    <w:link w:val="CommentSubjectChar"/>
    <w:uiPriority w:val="99"/>
    <w:semiHidden/>
    <w:unhideWhenUsed/>
    <w:rsid w:val="00785EAE"/>
    <w:rPr>
      <w:b/>
      <w:bCs/>
    </w:rPr>
  </w:style>
  <w:style w:type="character" w:customStyle="1" w:styleId="CommentSubjectChar">
    <w:name w:val="Comment Subject Char"/>
    <w:basedOn w:val="CommentTextChar"/>
    <w:link w:val="CommentSubject"/>
    <w:uiPriority w:val="99"/>
    <w:semiHidden/>
    <w:rsid w:val="00785EAE"/>
    <w:rPr>
      <w:b/>
      <w:bCs/>
    </w:rPr>
  </w:style>
  <w:style w:type="paragraph" w:styleId="BalloonText">
    <w:name w:val="Balloon Text"/>
    <w:basedOn w:val="Normal"/>
    <w:link w:val="BalloonTextChar"/>
    <w:uiPriority w:val="99"/>
    <w:semiHidden/>
    <w:unhideWhenUsed/>
    <w:rsid w:val="00785EA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EAE"/>
    <w:rPr>
      <w:rFonts w:ascii="Tahoma" w:hAnsi="Tahoma" w:cs="Tahoma"/>
      <w:sz w:val="16"/>
      <w:szCs w:val="16"/>
    </w:rPr>
  </w:style>
  <w:style w:type="paragraph" w:customStyle="1" w:styleId="References">
    <w:name w:val="References"/>
    <w:basedOn w:val="Normal"/>
    <w:rsid w:val="007134C0"/>
    <w:pPr>
      <w:suppressAutoHyphens/>
      <w:spacing w:line="480" w:lineRule="auto"/>
      <w:ind w:left="720" w:hanging="720"/>
    </w:pPr>
    <w:rPr>
      <w:rFonts w:eastAsia="Times New Roman"/>
      <w:szCs w:val="24"/>
    </w:rPr>
  </w:style>
  <w:style w:type="paragraph" w:styleId="Header">
    <w:name w:val="header"/>
    <w:basedOn w:val="Normal"/>
    <w:link w:val="HeaderChar"/>
    <w:uiPriority w:val="99"/>
    <w:unhideWhenUsed/>
    <w:rsid w:val="0016455A"/>
    <w:pPr>
      <w:tabs>
        <w:tab w:val="center" w:pos="4680"/>
        <w:tab w:val="right" w:pos="9360"/>
      </w:tabs>
      <w:spacing w:line="240" w:lineRule="auto"/>
    </w:pPr>
  </w:style>
  <w:style w:type="character" w:customStyle="1" w:styleId="HeaderChar">
    <w:name w:val="Header Char"/>
    <w:basedOn w:val="DefaultParagraphFont"/>
    <w:link w:val="Header"/>
    <w:uiPriority w:val="99"/>
    <w:rsid w:val="0016455A"/>
    <w:rPr>
      <w:sz w:val="24"/>
      <w:szCs w:val="22"/>
    </w:rPr>
  </w:style>
  <w:style w:type="paragraph" w:styleId="Footer">
    <w:name w:val="footer"/>
    <w:basedOn w:val="Normal"/>
    <w:link w:val="FooterChar"/>
    <w:uiPriority w:val="99"/>
    <w:unhideWhenUsed/>
    <w:rsid w:val="0016455A"/>
    <w:pPr>
      <w:tabs>
        <w:tab w:val="center" w:pos="4680"/>
        <w:tab w:val="right" w:pos="9360"/>
      </w:tabs>
      <w:spacing w:line="240" w:lineRule="auto"/>
    </w:pPr>
  </w:style>
  <w:style w:type="character" w:customStyle="1" w:styleId="FooterChar">
    <w:name w:val="Footer Char"/>
    <w:basedOn w:val="DefaultParagraphFont"/>
    <w:link w:val="Footer"/>
    <w:uiPriority w:val="99"/>
    <w:rsid w:val="0016455A"/>
    <w:rPr>
      <w:sz w:val="24"/>
      <w:szCs w:val="22"/>
    </w:rPr>
  </w:style>
  <w:style w:type="paragraph" w:styleId="ListParagraph">
    <w:name w:val="List Paragraph"/>
    <w:basedOn w:val="Normal"/>
    <w:uiPriority w:val="34"/>
    <w:qFormat/>
    <w:rsid w:val="00B51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C363C-7FFC-4F7A-9472-92EEFA5B3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26</Pages>
  <Words>6746</Words>
  <Characters>38453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45109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Klein</dc:creator>
  <cp:lastModifiedBy>Rachael M Klein</cp:lastModifiedBy>
  <cp:revision>12</cp:revision>
  <dcterms:created xsi:type="dcterms:W3CDTF">2013-02-16T04:00:00Z</dcterms:created>
  <dcterms:modified xsi:type="dcterms:W3CDTF">2013-02-16T09:19:00Z</dcterms:modified>
</cp:coreProperties>
</file>